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83.33</w:t>
            </w:r>
            <w:bookmarkStart w:id="0" w:name="_GoBack"/>
            <w:bookmarkEnd w:id="0"/>
            <w:r>
              <w:rPr>
                <w:rFonts w:hint="eastAsia" w:ascii="仿宋_GB2312" w:hAnsi="仿宋_GB2312" w:eastAsia="仿宋_GB2312" w:cs="仿宋_GB2312"/>
                <w:sz w:val="20"/>
                <w:szCs w:val="20"/>
                <w:highlight w:val="none"/>
                <w:lang w:val="en-US" w:eastAsia="zh-CN"/>
              </w:rPr>
              <w:t>%</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4.20</w:t>
            </w:r>
          </w:p>
        </w:tc>
      </w:tr>
      <w:tr>
        <w:tblPrEx>
          <w:tblCellMar>
            <w:top w:w="0" w:type="dxa"/>
            <w:left w:w="108" w:type="dxa"/>
            <w:bottom w:w="0" w:type="dxa"/>
            <w:right w:w="108" w:type="dxa"/>
          </w:tblCellMar>
        </w:tblPrEx>
        <w:trPr>
          <w:trHeight w:val="371"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95.76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55.89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125.00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95.76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57.50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17.60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72.00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11.41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49.45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top"/>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0.78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2.25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top"/>
          </w:tcPr>
          <w:p>
            <w:pPr>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113.49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126.20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186.65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248.83</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开展“节约型机关”创建，建章立制，从严控制“三公”经费，提倡节俭，倡导环保节能。</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中国共产党岳阳市岳阳楼区委员会统一战线工作部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311.65</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344.59</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344.59</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rPr>
              <w:t>311.65</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rPr>
              <w:t>248.83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sz w:val="20"/>
                <w:szCs w:val="20"/>
                <w:highlight w:val="none"/>
              </w:rPr>
              <w:t>95.76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1.协调开展全区统一战线重大理论研究；</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2.负责发现、培养党外代表人士，负责党外人士的政治安排；</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3.参与拟订、推动落实鼓励支持引导非公有制经济发展的政策；</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4.统一领导全区海外统战工作，牵头开展港澳统战工作，开展对台统战工作；</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统一管理全区侨务工作。</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已完成预期目标</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开展模范政治机关集中学习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召开统战工作领导小组会议</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解决涉及民主监督、民族宗教等领域存在的问题</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28个</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28个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民族宣传率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组织培训率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在规定时间内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在预算内</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highlight w:val="none"/>
              </w:rPr>
              <w:t>344.59</w:t>
            </w:r>
            <w:r>
              <w:rPr>
                <w:rFonts w:hint="eastAsia" w:ascii="仿宋_GB2312" w:hAnsi="仿宋_GB2312" w:eastAsia="仿宋_GB2312" w:cs="仿宋_GB2312"/>
                <w:color w:val="auto"/>
                <w:sz w:val="20"/>
                <w:szCs w:val="20"/>
                <w:highlight w:val="none"/>
                <w:lang w:eastAsia="zh-CN"/>
              </w:rPr>
              <w:t>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highlight w:val="none"/>
              </w:rPr>
              <w:t>344.59</w:t>
            </w:r>
            <w:r>
              <w:rPr>
                <w:rFonts w:hint="eastAsia" w:ascii="仿宋_GB2312" w:hAnsi="仿宋_GB2312" w:eastAsia="仿宋_GB2312" w:cs="仿宋_GB2312"/>
                <w:color w:val="auto"/>
                <w:sz w:val="20"/>
                <w:szCs w:val="20"/>
                <w:highlight w:val="none"/>
                <w:lang w:eastAsia="zh-CN"/>
              </w:rPr>
              <w:t>万元</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救助困难户经济水平提升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716"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为全区经济社会发展凝聚广泛的统战力量。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有加强</w:t>
            </w:r>
          </w:p>
        </w:tc>
        <w:tc>
          <w:tcPr>
            <w:tcW w:w="716"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716"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中国共产党岳阳市岳阳楼区委员会统一战线工作部</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95.76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95.76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95.76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95.76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在2023年完成党外干部配备数、同心社区创建数、党外人士培训班次数工作，按项目计划进行，将成本控制在预算内。</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主题培训</w:t>
            </w:r>
            <w:r>
              <w:rPr>
                <w:rFonts w:hint="eastAsia" w:ascii="仿宋_GB2312" w:hAnsi="仿宋_GB2312" w:eastAsia="仿宋_GB2312" w:cs="仿宋_GB2312"/>
                <w:color w:val="000000"/>
                <w:sz w:val="20"/>
                <w:szCs w:val="20"/>
                <w:highlight w:val="none"/>
                <w:lang w:eastAsia="zh-CN"/>
              </w:rPr>
              <w:t>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常态化检查指导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推行“党建+网格化微治理+民族宗教”工作法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在规定时间内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95.76</w:t>
            </w:r>
            <w:r>
              <w:rPr>
                <w:rFonts w:hint="eastAsia" w:ascii="仿宋_GB2312" w:hAnsi="仿宋_GB2312" w:eastAsia="仿宋_GB2312" w:cs="仿宋_GB2312"/>
                <w:color w:val="auto"/>
                <w:sz w:val="20"/>
                <w:szCs w:val="20"/>
                <w:highlight w:val="none"/>
                <w:lang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95.76</w:t>
            </w:r>
            <w:r>
              <w:rPr>
                <w:rFonts w:hint="eastAsia" w:ascii="仿宋_GB2312" w:hAnsi="仿宋_GB2312" w:eastAsia="仿宋_GB2312" w:cs="仿宋_GB2312"/>
                <w:color w:val="auto"/>
                <w:sz w:val="20"/>
                <w:szCs w:val="20"/>
                <w:highlight w:val="none"/>
                <w:lang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助推经济发展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优化营商环境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有所优化</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有所优化</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w:t>
            </w:r>
          </w:p>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年度中国共产党岳阳市岳阳楼区委员会统一战线工作部整体支出绩效自评报告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年度中国共产党岳阳市岳阳楼区委员会统一战线工作部整体支出绩效自评报告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一、单位基本情况</w:t>
      </w:r>
    </w:p>
    <w:p>
      <w:pPr>
        <w:widowControl/>
        <w:spacing w:line="60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（一）职能职责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贯彻落实和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2、协调开展全区统一战线重大理论研究，拟订全区统一战线政策并推动落实。深入调查研究，及时向区委报告统一战线工作情况并提出建议。统筹协调和指导各街道（乡）、区直各单位统一战线工作。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负责发现、培养党外代表人士，负责党外人士的政治安排，会同有关部门做好安排党外人士担任政府和司法机关等领导职务的工作，协助各民主党派驻区组织、区工商联做好干部管理工作，反映和协调解决党外代表人士工作生活中的实际困难。</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4、贯彻落实党的宣传工作方针，统筹推进全区统一战线宣传工作，拟订全区统一战线宣传工作规划并组织实施，研判涉及统一战线的舆情并协调有关部门应对处置。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负责联系各民主党派，通报情况、反映意见，贯彻落实中国共产党领导的多党合作和政治协商制度以及对民主党派的方针政策，支持、帮助各民主党派加强自身建设，做好支持民主党派履行职责、发挥作用的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6、统一管理民族宗教工作，贯彻落实党的民族和宗教工作方针和政策，研究拟订全区民族宗教工作的政策措施并督促落实，协调处理民族和宗教工作中的重大问题，依法管理民族宗教事务，根据分工做好少数民族干部工作，联系、培养宗教界代表人士，引导各宗教坚持中国化方向，巩固和发展党同宗教界的爱国统一战线。</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负责联系、培养无党派代表人士，支持、帮助无党派人士加强自身建设、发挥作用，调查研究党外知识分子情况，反映意见，协调关系，提出政策建议；联系、培养党外知识分子，开展思想政治工作，指导国有企业等有关单位和社会组织开展党外知识分子统战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调查研究新的社会阶层人士情况并提出政策建议；负责联系、培养新的社会阶层代表人士，充分发挥新的社会阶层人士在推动经济社会发展中的作用；积极探索建立新的社会阶层人士统战工作的机制和方法；建立一支高素质的新的社会阶层人士代表人士队伍。指导有关单位和社会组织开展新的社会阶层人士统战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参与拟订、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10、统一领导全区海外统战工作，牵头开展港澳统战工作，开展对台统战工作。联系香港、澳门、台湾有关党派、团体及代表人士，联系海外有关社团及代表人士，做好统一战线外事管理工作。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统一管理全区侨务工作，贯彻落实党的侨务工作方针政策以及区委关于侨务工作的决定，调查研究全区有关侨情和侨务工作情况，管理侨务行政事务，统筹协调有关部门和社会团体涉侨工作，联系海外有关侨团和代表人士，指导推动涉侨宣传、文化交流、华文教育等工作，保护华侨和归侨侨眷合法权利和利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12、指导街道（乡）党（工）委统一战线工作。指导协调政府有关部门统一战线工作。受区委委托，领导区工商联党组，指导区工商联工作和区侨联工作。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13、负责本单位、本系统的信访维稳和安全生产工作，承办区委、区政府交办的其他工作。</w:t>
      </w:r>
    </w:p>
    <w:p>
      <w:pPr>
        <w:widowControl/>
        <w:spacing w:line="60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kern w:val="0"/>
          <w:sz w:val="32"/>
          <w:szCs w:val="32"/>
          <w:highlight w:val="none"/>
          <w:lang w:val="en-US" w:eastAsia="zh-CN" w:bidi="ar-SA"/>
        </w:rPr>
        <w:t>（二）机构设置</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lang w:val="en-US" w:eastAsia="zh-CN"/>
        </w:rPr>
        <w:t>本单位是行政机关，现共有编制人数12人，实有10人。机关内设5个股室：办公室、民主党派工作办公室、经济联络办公室、民族宗教事务办公室、侨务办公室。</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default" w:ascii="仿宋_GB2312" w:hAnsi="仿宋_GB2312" w:eastAsia="仿宋_GB2312" w:cs="仿宋_GB2312"/>
          <w:bCs/>
          <w:sz w:val="32"/>
          <w:szCs w:val="32"/>
          <w:lang w:val="en-US" w:eastAsia="zh-CN"/>
        </w:rPr>
        <w:t>2023年基本支出预算数</w:t>
      </w:r>
      <w:r>
        <w:rPr>
          <w:rFonts w:hint="eastAsia" w:ascii="仿宋_GB2312" w:hAnsi="仿宋_GB2312" w:eastAsia="仿宋_GB2312" w:cs="仿宋_GB2312"/>
          <w:bCs/>
          <w:sz w:val="32"/>
          <w:szCs w:val="32"/>
          <w:lang w:val="en-US" w:eastAsia="zh-CN"/>
        </w:rPr>
        <w:t>186.65</w:t>
      </w:r>
      <w:r>
        <w:rPr>
          <w:rFonts w:hint="default" w:ascii="仿宋_GB2312" w:hAnsi="仿宋_GB2312" w:eastAsia="仿宋_GB2312" w:cs="仿宋_GB2312"/>
          <w:bCs/>
          <w:sz w:val="32"/>
          <w:szCs w:val="32"/>
          <w:lang w:val="en-US" w:eastAsia="zh-CN"/>
        </w:rPr>
        <w:t>万元，实际支出决算数</w:t>
      </w:r>
      <w:r>
        <w:rPr>
          <w:rFonts w:hint="eastAsia" w:ascii="仿宋_GB2312" w:hAnsi="仿宋_GB2312" w:eastAsia="仿宋_GB2312" w:cs="仿宋_GB2312"/>
          <w:bCs/>
          <w:sz w:val="32"/>
          <w:szCs w:val="32"/>
          <w:lang w:val="en-US" w:eastAsia="zh-CN"/>
        </w:rPr>
        <w:t>248.83</w:t>
      </w:r>
      <w:r>
        <w:rPr>
          <w:rFonts w:hint="default" w:ascii="仿宋_GB2312" w:hAnsi="仿宋_GB2312" w:eastAsia="仿宋_GB2312" w:cs="仿宋_GB2312"/>
          <w:bCs/>
          <w:sz w:val="32"/>
          <w:szCs w:val="32"/>
          <w:lang w:val="en-US" w:eastAsia="zh-CN"/>
        </w:rPr>
        <w:t>万元。主要包括：基本工资、津贴补贴、奖金、伙食补助费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绩效工资、机关事业单位基本养老保险缴费、职工基本医疗保险缴费、其他社会保障缴费、住房公积金、其他工资福利支出、其他对个人和家庭的补助；办公费、印刷费、邮电费、差旅费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维修（护）费、租赁费</w:t>
      </w:r>
      <w:r>
        <w:rPr>
          <w:rFonts w:hint="eastAsia" w:ascii="仿宋_GB2312" w:hAnsi="仿宋_GB2312" w:eastAsia="仿宋_GB2312" w:cs="仿宋_GB2312"/>
          <w:bCs/>
          <w:sz w:val="32"/>
          <w:szCs w:val="32"/>
          <w:lang w:val="en-US" w:eastAsia="zh-CN"/>
        </w:rPr>
        <w:t>、会议费、</w:t>
      </w:r>
      <w:r>
        <w:rPr>
          <w:rFonts w:hint="default" w:ascii="仿宋_GB2312" w:hAnsi="仿宋_GB2312" w:eastAsia="仿宋_GB2312" w:cs="仿宋_GB2312"/>
          <w:bCs/>
          <w:sz w:val="32"/>
          <w:szCs w:val="32"/>
          <w:lang w:val="en-US" w:eastAsia="zh-CN"/>
        </w:rPr>
        <w:t>培训费、公务接待费</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劳务费、工会经费、其他交通费用</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其他商品和服务支出等。</w:t>
      </w:r>
    </w:p>
    <w:p>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年项目资金年初预算项目支出为</w:t>
      </w:r>
      <w:r>
        <w:rPr>
          <w:rFonts w:hint="eastAsia" w:ascii="仿宋_GB2312" w:hAnsi="仿宋_GB2312" w:eastAsia="仿宋_GB2312" w:cs="仿宋_GB2312"/>
          <w:bCs/>
          <w:sz w:val="32"/>
          <w:szCs w:val="32"/>
          <w:lang w:val="en-US" w:eastAsia="zh-CN"/>
        </w:rPr>
        <w:t>125</w:t>
      </w:r>
      <w:r>
        <w:rPr>
          <w:rFonts w:hint="eastAsia" w:ascii="仿宋_GB2312" w:hAnsi="仿宋_GB2312" w:eastAsia="仿宋_GB2312" w:cs="仿宋_GB2312"/>
          <w:bCs/>
          <w:sz w:val="32"/>
          <w:szCs w:val="32"/>
        </w:rPr>
        <w:t>.00万元，实际支出为</w:t>
      </w:r>
      <w:r>
        <w:rPr>
          <w:rFonts w:hint="eastAsia" w:ascii="仿宋_GB2312" w:hAnsi="仿宋_GB2312" w:eastAsia="仿宋_GB2312" w:cs="仿宋_GB2312"/>
          <w:bCs/>
          <w:sz w:val="32"/>
          <w:szCs w:val="32"/>
          <w:lang w:val="en-US" w:eastAsia="zh-CN"/>
        </w:rPr>
        <w:t>95.76</w:t>
      </w:r>
      <w:r>
        <w:rPr>
          <w:rFonts w:hint="eastAsia" w:ascii="仿宋_GB2312" w:hAnsi="仿宋_GB2312" w:eastAsia="仿宋_GB2312" w:cs="仿宋_GB2312"/>
          <w:bCs/>
          <w:sz w:val="32"/>
          <w:szCs w:val="32"/>
        </w:rPr>
        <w:t>万元，主要用于</w:t>
      </w:r>
      <w:r>
        <w:rPr>
          <w:rFonts w:hint="eastAsia" w:ascii="仿宋_GB2312" w:hAnsi="仿宋_GB2312" w:eastAsia="仿宋_GB2312" w:cs="仿宋_GB2312"/>
          <w:bCs/>
          <w:sz w:val="32"/>
          <w:szCs w:val="32"/>
          <w:lang w:eastAsia="zh-CN"/>
        </w:rPr>
        <w:t>处理涉及民族宗教领域有关事务；联络新的社会阶层人士、党外知识分子，处理好相关事宜；各驻区民主党派工作经费开支和全区党外干部培训及其相关工作等方面</w:t>
      </w:r>
      <w:r>
        <w:rPr>
          <w:rFonts w:hint="eastAsia" w:ascii="仿宋_GB2312" w:hAnsi="仿宋_GB2312" w:eastAsia="仿宋_GB2312" w:cs="仿宋_GB2312"/>
          <w:bCs/>
          <w:sz w:val="32"/>
          <w:szCs w:val="32"/>
        </w:rPr>
        <w:t>。</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年度本单位无政府性基金安排的支出。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年度本单位无国有资本经营预算支出。</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rPr>
        <w:t>年度本单位无国有资本经营预算支出。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kinsoku/>
        <w:wordWrap/>
        <w:overflowPunct/>
        <w:topLinePunct w:val="0"/>
        <w:autoSpaceDE/>
        <w:autoSpaceDN/>
        <w:bidi w:val="0"/>
        <w:adjustRightInd/>
        <w:snapToGrid/>
        <w:spacing w:line="640" w:lineRule="exact"/>
        <w:ind w:firstLine="684" w:firstLineChars="200"/>
        <w:jc w:val="both"/>
        <w:textAlignment w:val="auto"/>
        <w:rPr>
          <w:rFonts w:hint="default" w:ascii="Times New Roman" w:hAnsi="Times New Roman" w:eastAsia="仿宋_GB2312" w:cs="Times New Roman"/>
          <w:spacing w:val="11"/>
          <w:sz w:val="32"/>
          <w:szCs w:val="32"/>
          <w:highlight w:val="none"/>
        </w:rPr>
      </w:pPr>
      <w:r>
        <w:rPr>
          <w:rFonts w:hint="eastAsia" w:ascii="Times New Roman" w:hAnsi="Times New Roman" w:eastAsia="仿宋_GB2312" w:cs="Times New Roman"/>
          <w:spacing w:val="11"/>
          <w:sz w:val="32"/>
          <w:szCs w:val="32"/>
          <w:highlight w:val="none"/>
          <w:lang w:val="en-US" w:eastAsia="zh-CN"/>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pacing w:val="11"/>
          <w:kern w:val="0"/>
          <w:sz w:val="32"/>
          <w:szCs w:val="32"/>
          <w:highlight w:val="none"/>
          <w:lang w:val="en-US" w:eastAsia="zh-CN" w:bidi="ar-SA"/>
        </w:rPr>
      </w:pPr>
      <w:r>
        <w:rPr>
          <w:rFonts w:hint="eastAsia" w:ascii="Times New Roman" w:hAnsi="Times New Roman" w:eastAsia="仿宋_GB2312" w:cs="Times New Roman"/>
          <w:spacing w:val="11"/>
          <w:kern w:val="0"/>
          <w:sz w:val="32"/>
          <w:szCs w:val="32"/>
          <w:highlight w:val="none"/>
          <w:lang w:val="en-US" w:eastAsia="zh-CN" w:bidi="ar-SA"/>
        </w:rPr>
        <w:t>（一）资金分配使用和管理方面</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80" w:lineRule="atLeast"/>
        <w:ind w:left="0" w:leftChars="0" w:right="0" w:firstLine="684" w:firstLineChars="200"/>
        <w:textAlignment w:val="auto"/>
        <w:rPr>
          <w:rFonts w:hint="default" w:ascii="Times New Roman" w:hAnsi="Times New Roman" w:eastAsia="仿宋_GB2312" w:cs="Times New Roman"/>
          <w:color w:val="000000"/>
          <w:sz w:val="32"/>
          <w:szCs w:val="32"/>
          <w:shd w:val="clear" w:color="auto" w:fill="FFFFFF"/>
          <w:lang w:val="en-US"/>
        </w:rPr>
      </w:pPr>
      <w:r>
        <w:rPr>
          <w:rFonts w:hint="eastAsia" w:ascii="Times New Roman" w:hAnsi="Times New Roman" w:eastAsia="仿宋_GB2312" w:cs="Times New Roman"/>
          <w:spacing w:val="11"/>
          <w:kern w:val="0"/>
          <w:sz w:val="32"/>
          <w:szCs w:val="32"/>
          <w:highlight w:val="none"/>
          <w:lang w:val="en-US" w:eastAsia="zh-CN" w:bidi="ar-SA"/>
        </w:rPr>
        <w:t>资金分配与项目预算不匹配，使用过程中与压缩财政一般性支出要求不相适。资金分配由财政主导，行业部门需根据政府财力获取分配资金，目前各级各部门存在经费保障不足的困境，政府出台了相关措施压缩经费支出，造成与使用过程中不相适应的局面。</w:t>
      </w:r>
    </w:p>
    <w:p>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pacing w:val="11"/>
          <w:kern w:val="0"/>
          <w:sz w:val="32"/>
          <w:szCs w:val="32"/>
          <w:highlight w:val="none"/>
          <w:lang w:val="en-US" w:eastAsia="zh-CN" w:bidi="ar-SA"/>
        </w:rPr>
      </w:pPr>
      <w:r>
        <w:rPr>
          <w:rFonts w:hint="eastAsia" w:ascii="Times New Roman" w:hAnsi="Times New Roman" w:eastAsia="仿宋_GB2312" w:cs="Times New Roman"/>
          <w:spacing w:val="11"/>
          <w:kern w:val="0"/>
          <w:sz w:val="32"/>
          <w:szCs w:val="32"/>
          <w:highlight w:val="none"/>
          <w:lang w:val="en-US" w:eastAsia="zh-CN" w:bidi="ar-SA"/>
        </w:rPr>
        <w:t>（二）资产和财务管理与政府采购方面</w:t>
      </w:r>
    </w:p>
    <w:p>
      <w:pPr>
        <w:pStyle w:val="4"/>
        <w:keepNext w:val="0"/>
        <w:keepLines w:val="0"/>
        <w:widowControl/>
        <w:suppressLineNumbers w:val="0"/>
        <w:spacing w:before="0" w:beforeAutospacing="0" w:after="0" w:afterAutospacing="0" w:line="560" w:lineRule="exact"/>
        <w:ind w:left="0" w:right="0" w:firstLine="684" w:firstLineChars="200"/>
        <w:jc w:val="both"/>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pacing w:val="11"/>
          <w:kern w:val="0"/>
          <w:sz w:val="32"/>
          <w:szCs w:val="32"/>
          <w:highlight w:val="none"/>
          <w:lang w:val="en-US" w:eastAsia="zh-CN" w:bidi="ar-SA"/>
        </w:rPr>
        <w:t>资产采购不够科学。在实际预算执行中，全年实际执行与年初编制预算会存在一定偏差。部分资产管理存在报废年限长</w:t>
      </w:r>
      <w:r>
        <w:rPr>
          <w:rFonts w:hint="default" w:ascii="Times New Roman" w:hAnsi="Times New Roman" w:eastAsia="仿宋_GB2312" w:cs="Times New Roman"/>
          <w:spacing w:val="11"/>
          <w:kern w:val="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加快基层队伍建设，提高绩效意识和管理人员专业水平。</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强化绩效目标管理，践行相关程序。</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科学分配预算资金，切实有效保障资金供给。需财政部门加强开源节流，充分保障单位人员经费和公用经费开支，项目设定后严格按年初计划予以保障，以便工作能顺利开展。</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全面编制预算，充分运用信息化手段不断完善资产管理水平。严格加强政府采购预算管理工作，政府采购预算编制是否科学、规范，采购项目是否完善、细致直接关系到整个政府采购活动的质量。优化政府采购预算的编制，将预计的省市区、其他资金等全口径进行预算，细化采购项目预算的编制工作，制定切实可行的采购计划，增强采购的计划性，减少随意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color w:val="auto"/>
          <w:sz w:val="32"/>
          <w:szCs w:val="32"/>
          <w:lang w:eastAsia="zh-CN"/>
        </w:rPr>
        <w:t>绩效自评结果可以进一步规范财政资金管理，强化部门绩效和责任意识，切实提高财政资金使用效益，同时编制下一年的部门预算可以参考绩效自评结果，以提高预算编制的精准性。已按相关要求及时进行预决算公开及整体支出绩效自评的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1"/>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87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A25750"/>
    <w:rsid w:val="00B706D9"/>
    <w:rsid w:val="09EB430C"/>
    <w:rsid w:val="11A51F14"/>
    <w:rsid w:val="15225038"/>
    <w:rsid w:val="21101F15"/>
    <w:rsid w:val="225278E7"/>
    <w:rsid w:val="25AA086D"/>
    <w:rsid w:val="2CA27263"/>
    <w:rsid w:val="2D236912"/>
    <w:rsid w:val="336126A0"/>
    <w:rsid w:val="34E9168F"/>
    <w:rsid w:val="36B17396"/>
    <w:rsid w:val="37C506FA"/>
    <w:rsid w:val="3DC63FAB"/>
    <w:rsid w:val="3FE536F1"/>
    <w:rsid w:val="442E5667"/>
    <w:rsid w:val="4BE15260"/>
    <w:rsid w:val="4D06044A"/>
    <w:rsid w:val="56F664B8"/>
    <w:rsid w:val="59886344"/>
    <w:rsid w:val="5C995864"/>
    <w:rsid w:val="681C1AF7"/>
    <w:rsid w:val="688B4586"/>
    <w:rsid w:val="710E3FA6"/>
    <w:rsid w:val="724C3BD7"/>
    <w:rsid w:val="73893DB8"/>
    <w:rsid w:val="7EB53831"/>
    <w:rsid w:val="7F8F09A8"/>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keepNext w:val="0"/>
      <w:keepLines w:val="0"/>
      <w:widowControl w:val="0"/>
      <w:suppressLineNumbers w:val="0"/>
      <w:spacing w:before="100" w:beforeAutospacing="1" w:after="100" w:afterAutospacing="1"/>
      <w:ind w:left="0" w:right="0"/>
      <w:jc w:val="left"/>
    </w:pPr>
    <w:rPr>
      <w:rFonts w:hint="eastAsia" w:ascii="仿宋" w:hAnsi="仿宋" w:eastAsia="宋体" w:cs="Times New Roman"/>
      <w:kern w:val="0"/>
      <w:sz w:val="24"/>
      <w:szCs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5476</Words>
  <Characters>5950</Characters>
  <Lines>0</Lines>
  <Paragraphs>0</Paragraphs>
  <TotalTime>0</TotalTime>
  <ScaleCrop>false</ScaleCrop>
  <LinksUpToDate>false</LinksUpToDate>
  <CharactersWithSpaces>6135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2024-07-18T04:20:13Z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