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85</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93.41%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2023年决算数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22.30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22.30</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16.00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317.86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640.00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891.03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317.86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640.00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891.03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138.49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184.80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206.15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66.77</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114.00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204.54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0.83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4.51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0.46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337.38</w:t>
            </w:r>
          </w:p>
        </w:tc>
        <w:tc>
          <w:tcPr>
            <w:tcW w:w="2240"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494.00</w:t>
            </w:r>
          </w:p>
        </w:tc>
        <w:tc>
          <w:tcPr>
            <w:tcW w:w="2041"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475.75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105.3</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Lines="0" w:line="400" w:lineRule="exact"/>
        <w:jc w:val="left"/>
        <w:rPr>
          <w:rFonts w:hint="default" w:ascii="Times New Roman" w:hAnsi="Times New Roman" w:eastAsia="仿宋_GB2312" w:cs="Times New Roman"/>
          <w:sz w:val="2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中共岳阳市岳阳楼区纪律检查委员会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06" w:hRule="atLeast"/>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2,087.73</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2,444.06</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2,444.06</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2430.69</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1553.03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891.03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13.37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numPr>
                <w:ilvl w:val="0"/>
                <w:numId w:val="0"/>
              </w:numPr>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一、</w:t>
            </w:r>
            <w:r>
              <w:rPr>
                <w:rFonts w:hint="eastAsia" w:ascii="仿宋_GB2312" w:hAnsi="仿宋_GB2312" w:eastAsia="仿宋_GB2312" w:cs="仿宋_GB2312"/>
                <w:color w:val="000000"/>
                <w:sz w:val="20"/>
                <w:szCs w:val="20"/>
                <w:highlight w:val="none"/>
              </w:rPr>
              <w:t>压实全面从严治党政治责任；</w:t>
            </w:r>
            <w:r>
              <w:rPr>
                <w:rFonts w:hint="eastAsia" w:ascii="仿宋_GB2312" w:hAnsi="仿宋_GB2312" w:eastAsia="仿宋_GB2312" w:cs="仿宋_GB2312"/>
                <w:color w:val="000000"/>
                <w:kern w:val="0"/>
                <w:sz w:val="20"/>
                <w:szCs w:val="20"/>
                <w:lang w:val="en-US" w:eastAsia="zh-CN" w:bidi="ar-SA"/>
              </w:rPr>
              <w:t>二、</w:t>
            </w:r>
            <w:r>
              <w:rPr>
                <w:rFonts w:hint="eastAsia" w:ascii="仿宋_GB2312" w:hAnsi="仿宋_GB2312" w:eastAsia="仿宋_GB2312" w:cs="仿宋_GB2312"/>
                <w:color w:val="000000"/>
                <w:sz w:val="20"/>
                <w:szCs w:val="20"/>
                <w:highlight w:val="none"/>
              </w:rPr>
              <w:t>持续深化反腐败工作；</w:t>
            </w:r>
            <w:r>
              <w:rPr>
                <w:rFonts w:hint="eastAsia" w:ascii="仿宋_GB2312" w:hAnsi="仿宋_GB2312" w:eastAsia="仿宋_GB2312" w:cs="仿宋_GB2312"/>
                <w:color w:val="000000"/>
                <w:kern w:val="0"/>
                <w:sz w:val="20"/>
                <w:szCs w:val="20"/>
                <w:lang w:val="en-US" w:eastAsia="zh-CN" w:bidi="ar-SA"/>
              </w:rPr>
              <w:t>三、</w:t>
            </w:r>
            <w:r>
              <w:rPr>
                <w:rFonts w:hint="eastAsia" w:ascii="仿宋_GB2312" w:hAnsi="仿宋_GB2312" w:eastAsia="仿宋_GB2312" w:cs="仿宋_GB2312"/>
                <w:color w:val="000000"/>
                <w:sz w:val="20"/>
                <w:szCs w:val="20"/>
                <w:highlight w:val="none"/>
              </w:rPr>
              <w:t>纠治“四风”，推动中央八项规定精神落实；</w:t>
            </w:r>
            <w:r>
              <w:rPr>
                <w:rFonts w:hint="eastAsia" w:ascii="仿宋_GB2312" w:hAnsi="仿宋_GB2312" w:eastAsia="仿宋_GB2312" w:cs="仿宋_GB2312"/>
                <w:color w:val="000000"/>
                <w:kern w:val="0"/>
                <w:sz w:val="20"/>
                <w:szCs w:val="20"/>
                <w:lang w:val="en-US" w:eastAsia="zh-CN" w:bidi="ar-SA"/>
              </w:rPr>
              <w:t>四、</w:t>
            </w:r>
            <w:r>
              <w:rPr>
                <w:rFonts w:hint="eastAsia" w:ascii="仿宋_GB2312" w:hAnsi="仿宋_GB2312" w:eastAsia="仿宋_GB2312" w:cs="仿宋_GB2312"/>
                <w:color w:val="000000"/>
                <w:sz w:val="20"/>
                <w:szCs w:val="20"/>
                <w:highlight w:val="none"/>
              </w:rPr>
              <w:t>整治群众身边腐败和作风问题；</w:t>
            </w:r>
            <w:r>
              <w:rPr>
                <w:rFonts w:hint="eastAsia" w:ascii="仿宋_GB2312" w:hAnsi="仿宋_GB2312" w:eastAsia="仿宋_GB2312" w:cs="仿宋_GB2312"/>
                <w:color w:val="000000"/>
                <w:kern w:val="0"/>
                <w:sz w:val="20"/>
                <w:szCs w:val="20"/>
                <w:lang w:val="en-US" w:eastAsia="zh-CN" w:bidi="ar-SA"/>
              </w:rPr>
              <w:t>五、</w:t>
            </w:r>
            <w:r>
              <w:rPr>
                <w:rFonts w:hint="eastAsia" w:ascii="仿宋_GB2312" w:hAnsi="仿宋_GB2312" w:eastAsia="仿宋_GB2312" w:cs="仿宋_GB2312"/>
                <w:color w:val="000000"/>
                <w:sz w:val="20"/>
                <w:szCs w:val="20"/>
                <w:highlight w:val="none"/>
              </w:rPr>
              <w:t>发挥监督效能，推动各类监督贯通发力</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kern w:val="0"/>
                <w:sz w:val="20"/>
                <w:szCs w:val="20"/>
                <w:lang w:val="en-US" w:eastAsia="zh-CN" w:bidi="ar-SA"/>
              </w:rPr>
              <w:t>六、</w:t>
            </w:r>
            <w:r>
              <w:rPr>
                <w:rFonts w:hint="eastAsia" w:ascii="仿宋_GB2312" w:hAnsi="仿宋_GB2312" w:eastAsia="仿宋_GB2312" w:cs="仿宋_GB2312"/>
                <w:color w:val="000000"/>
                <w:sz w:val="20"/>
                <w:szCs w:val="20"/>
                <w:highlight w:val="none"/>
              </w:rPr>
              <w:t>履行监督职责，确保监督全覆盖。</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一、深入学习领悟习近平新时代中国特色社会主义思想，围绕落实党的二十大战略部署强化政治监督。</w:t>
            </w:r>
          </w:p>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二扎实开展主题教育和教育整顿，以彻底的自我革命精神纯洁思想、纯洁组织。</w:t>
            </w:r>
          </w:p>
          <w:p>
            <w:pPr>
              <w:widowControl/>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三以零容忍态度反腐惩恶，持续巩固反腐败斗争压倒性胜利。</w:t>
            </w:r>
          </w:p>
          <w:p>
            <w:pPr>
              <w:widowControl/>
              <w:numPr>
                <w:ilvl w:val="0"/>
                <w:numId w:val="0"/>
              </w:num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四、</w:t>
            </w:r>
            <w:r>
              <w:rPr>
                <w:rFonts w:hint="eastAsia" w:ascii="仿宋_GB2312" w:hAnsi="仿宋_GB2312" w:eastAsia="仿宋_GB2312" w:cs="仿宋_GB2312"/>
                <w:color w:val="000000"/>
                <w:sz w:val="20"/>
                <w:szCs w:val="20"/>
                <w:highlight w:val="none"/>
                <w:lang w:eastAsia="zh-CN"/>
              </w:rPr>
              <w:t>锲而不舍落实中央八项规定精神，持续深化纠治“四风”。</w:t>
            </w:r>
          </w:p>
          <w:p>
            <w:pPr>
              <w:widowControl/>
              <w:numPr>
                <w:ilvl w:val="0"/>
                <w:numId w:val="0"/>
              </w:num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五、</w:t>
            </w:r>
            <w:r>
              <w:rPr>
                <w:rFonts w:hint="eastAsia" w:ascii="仿宋_GB2312" w:hAnsi="仿宋_GB2312" w:eastAsia="仿宋_GB2312" w:cs="仿宋_GB2312"/>
                <w:color w:val="000000"/>
                <w:sz w:val="20"/>
                <w:szCs w:val="20"/>
                <w:highlight w:val="none"/>
                <w:lang w:eastAsia="zh-CN"/>
              </w:rPr>
              <w:t>全面加强党的纪律建设，推动形成遵规守纪的高度自觉。</w:t>
            </w:r>
          </w:p>
          <w:p>
            <w:pPr>
              <w:widowControl/>
              <w:numPr>
                <w:ilvl w:val="0"/>
                <w:numId w:val="0"/>
              </w:num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六、</w:t>
            </w:r>
            <w:r>
              <w:rPr>
                <w:rFonts w:hint="eastAsia" w:ascii="仿宋_GB2312" w:hAnsi="仿宋_GB2312" w:eastAsia="仿宋_GB2312" w:cs="仿宋_GB2312"/>
                <w:color w:val="000000"/>
                <w:sz w:val="20"/>
                <w:szCs w:val="20"/>
                <w:highlight w:val="none"/>
                <w:lang w:eastAsia="zh-CN"/>
              </w:rPr>
              <w:t>巩固深化政治巡察，有力发挥巡察利剑作用。</w:t>
            </w:r>
          </w:p>
          <w:p>
            <w:pPr>
              <w:widowControl/>
              <w:numPr>
                <w:ilvl w:val="0"/>
                <w:numId w:val="0"/>
              </w:numPr>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七、持续推进规范化法治化正规化建设，打造忠诚干净担当、敢于善于斗争的纪检监察铁军。</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专项监督检查</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法制教育次数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75次</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109</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问题线索处置率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举报办结率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案件事故发生次数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案件办理时效达标率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工作开展时间</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2023年度</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2023年度</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严格控制在年度预算资金以内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sz w:val="20"/>
                <w:szCs w:val="20"/>
                <w:highlight w:val="none"/>
                <w:lang w:val="en-US" w:eastAsia="zh-CN"/>
              </w:rPr>
              <w:t>2,444.06</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sz w:val="20"/>
                <w:szCs w:val="20"/>
                <w:highlight w:val="none"/>
                <w:lang w:val="en-US" w:eastAsia="zh-CN"/>
              </w:rPr>
              <w:t>2,444.06</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不适用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不适用</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不适用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提高社会人群的安全健康</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有提高</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有提高</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加强党风建设和组织协调反腐败工作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有加强</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有加强</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服务对象</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满意度指</w:t>
            </w:r>
          </w:p>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标</w:t>
            </w:r>
            <w:r>
              <w:rPr>
                <w:rFonts w:hint="eastAsia" w:ascii="仿宋_GB2312" w:hAnsi="仿宋_GB2312" w:eastAsia="仿宋_GB2312" w:cs="仿宋_GB2312"/>
                <w:color w:val="000000"/>
                <w:sz w:val="20"/>
                <w:szCs w:val="20"/>
                <w:highlight w:val="none"/>
                <w:lang w:val="en-US" w:eastAsia="zh-CN"/>
              </w:rPr>
              <w:t>95%</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业务工作经费</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区委</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中共岳阳市岳阳楼区纪律检查委员会</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640.00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891.03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891.03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640.00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891.03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891.03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在2023年完成开展纪检监察业务工作及办案场所、设备、专网等维护，按项目计划进行，将成本控制在预算内。</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专项监督检查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48</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法制教育次数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75次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问题线索处置率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举报办结率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案件事故发生次数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案件办理时效达标率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工作开展时间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2023年度</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严格控制在年度预算资金以内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sz w:val="20"/>
                <w:szCs w:val="20"/>
                <w:highlight w:val="none"/>
                <w:lang w:val="en-US" w:eastAsia="zh-CN"/>
              </w:rPr>
              <w:t>2,444.06</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2,444.06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提高社会人群的安全健康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有提高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有提高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加强党风建设和组织协调反腐败工作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有加强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有加强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服务对象</w:t>
            </w:r>
          </w:p>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满意度指</w:t>
            </w:r>
          </w:p>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标</w:t>
            </w: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年度中共岳阳市岳阳楼区纪律检查</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委员会整体支出绩效自评报告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年度中共岳阳市岳阳楼区纪律检查</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委员会整体支出绩效自评报告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中共岳阳市岳阳楼区纪律检查委员会与岳阳楼区监察委员会合署办公，实行一套工作机构、两个机关名称的体制，在区委、区政府和市纪委监委的双重领导下开展工作，履行纪律检查、国家监察两项职能。维护党的章程和其他党内法规，检查党的路线、方针、政策和决议的执行情况，协助区委推进全面从严治党，加强党风建设和组织协调反腐败工作。依照《中华人民共和国监察法》和有关法律规定履行监督、调查、处置职责。</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现有编制91人，在职85人。区纪委监委组织机构包括：区纪委监委机关内设职能部门和直属单位，区纪委监委派驻纪检监察组。区纪委监委机关设立办公室、组织部、党风政风监督室、信访室、案件监督管理室、第一至第六纪检监察室、案件审理室、纪检监察干部监督室等13个内设职能部门。区纪委监委机关下设岳阳楼区廉政警示教育中心直属单位，区纪委监委设立11个派驻纪</w:t>
      </w:r>
      <w:bookmarkStart w:id="0" w:name="_GoBack"/>
      <w:bookmarkEnd w:id="0"/>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检监察组。</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基本支出1,553.03万元，其中：人员经费1,346.89万元，主要包括：基本工资、津贴补贴、奖金、绩效工资、机关事业单位基本养老保险缴费、职工基本医疗保险缴费、其他社会保障缴费、住房公积金、抚恤金、生活补助、医疗费补助；公用经费206.15万元，主要包括：办公费、印刷费、咨询费、邮电费、差旅费维修（护）费、租赁费、培训费、公务接待费、劳务费、工会经费、其他交通费用。</w:t>
      </w:r>
    </w:p>
    <w:p>
      <w:pPr>
        <w:pStyle w:val="1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2023年项目支出891.03万元，主要用于开展纪检监察业务工作及办案场所、设备、专网等维护等方面。</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为保证预算管理工作规范有序进行，我单位按照依法理财、勤俭办事，明确责任，量入为出、保证重点，综合平衡、讲求实效的基本原则，建立健全财务管理制度，对预算编制、资金管理、经费收支审批等均作了明确规定。</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2023年度无政府性基金预算支出。</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2023年度无国有资本经营预算支出。</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2023年度无社会保险基金预算支出。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i w:val="0"/>
          <w:iCs w:val="0"/>
          <w:caps w:val="0"/>
          <w:color w:val="000000"/>
          <w:spacing w:val="0"/>
          <w:sz w:val="32"/>
          <w:szCs w:val="32"/>
          <w:shd w:val="clear" w:fill="FFFFFF"/>
          <w:lang w:val="en-US" w:eastAsia="zh-CN"/>
        </w:rPr>
      </w:pPr>
      <w:r>
        <w:rPr>
          <w:rFonts w:ascii="仿宋" w:hAnsi="仿宋" w:eastAsia="仿宋" w:cs="仿宋"/>
          <w:b w:val="0"/>
          <w:bCs w:val="0"/>
          <w:i w:val="0"/>
          <w:iCs w:val="0"/>
          <w:caps w:val="0"/>
          <w:color w:val="000000"/>
          <w:spacing w:val="0"/>
          <w:sz w:val="32"/>
          <w:szCs w:val="32"/>
          <w:shd w:val="clear" w:fill="FFFFFF"/>
        </w:rPr>
        <w:t>我单位</w:t>
      </w:r>
      <w:r>
        <w:rPr>
          <w:rFonts w:hint="eastAsia" w:ascii="仿宋" w:hAnsi="仿宋" w:eastAsia="仿宋" w:cs="仿宋"/>
          <w:b w:val="0"/>
          <w:bCs w:val="0"/>
          <w:i w:val="0"/>
          <w:iCs w:val="0"/>
          <w:caps w:val="0"/>
          <w:color w:val="000000"/>
          <w:spacing w:val="0"/>
          <w:sz w:val="32"/>
          <w:szCs w:val="32"/>
          <w:shd w:val="clear" w:fill="FFFFFF"/>
        </w:rPr>
        <w:t>在收集单位三定方案、202</w:t>
      </w:r>
      <w:r>
        <w:rPr>
          <w:rFonts w:hint="eastAsia" w:eastAsia="仿宋" w:cs="仿宋"/>
          <w:b w:val="0"/>
          <w:bCs w:val="0"/>
          <w:i w:val="0"/>
          <w:iCs w:val="0"/>
          <w:caps w:val="0"/>
          <w:color w:val="000000"/>
          <w:spacing w:val="0"/>
          <w:sz w:val="32"/>
          <w:szCs w:val="32"/>
          <w:shd w:val="clear" w:fill="FFFFFF"/>
          <w:lang w:val="en-US" w:eastAsia="zh-CN"/>
        </w:rPr>
        <w:t>3</w:t>
      </w:r>
      <w:r>
        <w:rPr>
          <w:rFonts w:hint="eastAsia" w:ascii="仿宋" w:hAnsi="仿宋" w:eastAsia="仿宋" w:cs="仿宋"/>
          <w:b w:val="0"/>
          <w:bCs w:val="0"/>
          <w:i w:val="0"/>
          <w:iCs w:val="0"/>
          <w:caps w:val="0"/>
          <w:color w:val="000000"/>
          <w:spacing w:val="0"/>
          <w:sz w:val="32"/>
          <w:szCs w:val="32"/>
          <w:shd w:val="clear" w:fill="FFFFFF"/>
        </w:rPr>
        <w:t>年工作计划及工作总结</w:t>
      </w:r>
      <w:r>
        <w:rPr>
          <w:rFonts w:hint="eastAsia" w:eastAsia="仿宋" w:cs="仿宋"/>
          <w:b w:val="0"/>
          <w:bCs w:val="0"/>
          <w:i w:val="0"/>
          <w:iCs w:val="0"/>
          <w:caps w:val="0"/>
          <w:color w:val="000000"/>
          <w:spacing w:val="0"/>
          <w:sz w:val="32"/>
          <w:szCs w:val="32"/>
          <w:shd w:val="clear" w:fill="FFFFFF"/>
          <w:lang w:eastAsia="zh-CN"/>
        </w:rPr>
        <w:t>、</w:t>
      </w:r>
      <w:r>
        <w:rPr>
          <w:rFonts w:hint="eastAsia" w:ascii="仿宋" w:hAnsi="仿宋" w:eastAsia="仿宋" w:cs="仿宋"/>
          <w:b w:val="0"/>
          <w:bCs w:val="0"/>
          <w:i w:val="0"/>
          <w:iCs w:val="0"/>
          <w:caps w:val="0"/>
          <w:color w:val="000000"/>
          <w:spacing w:val="0"/>
          <w:sz w:val="32"/>
          <w:szCs w:val="32"/>
          <w:shd w:val="clear" w:fill="FFFFFF"/>
        </w:rPr>
        <w:t>决算数据的基础上，结合单位202</w:t>
      </w:r>
      <w:r>
        <w:rPr>
          <w:rFonts w:hint="eastAsia" w:eastAsia="仿宋" w:cs="仿宋"/>
          <w:b w:val="0"/>
          <w:bCs w:val="0"/>
          <w:i w:val="0"/>
          <w:iCs w:val="0"/>
          <w:caps w:val="0"/>
          <w:color w:val="000000"/>
          <w:spacing w:val="0"/>
          <w:sz w:val="32"/>
          <w:szCs w:val="32"/>
          <w:shd w:val="clear" w:fill="FFFFFF"/>
          <w:lang w:val="en-US" w:eastAsia="zh-CN"/>
        </w:rPr>
        <w:t>3</w:t>
      </w:r>
      <w:r>
        <w:rPr>
          <w:rFonts w:hint="eastAsia" w:ascii="仿宋" w:hAnsi="仿宋" w:eastAsia="仿宋" w:cs="仿宋"/>
          <w:b w:val="0"/>
          <w:bCs w:val="0"/>
          <w:i w:val="0"/>
          <w:iCs w:val="0"/>
          <w:caps w:val="0"/>
          <w:color w:val="000000"/>
          <w:spacing w:val="0"/>
          <w:sz w:val="32"/>
          <w:szCs w:val="32"/>
          <w:shd w:val="clear" w:fill="FFFFFF"/>
        </w:rPr>
        <w:t>年度</w:t>
      </w:r>
      <w:r>
        <w:rPr>
          <w:rFonts w:hint="eastAsia" w:eastAsia="仿宋" w:cs="仿宋"/>
          <w:b w:val="0"/>
          <w:bCs w:val="0"/>
          <w:i w:val="0"/>
          <w:iCs w:val="0"/>
          <w:caps w:val="0"/>
          <w:color w:val="000000"/>
          <w:spacing w:val="0"/>
          <w:sz w:val="32"/>
          <w:szCs w:val="32"/>
          <w:shd w:val="clear" w:fill="FFFFFF"/>
          <w:lang w:eastAsia="zh-CN"/>
        </w:rPr>
        <w:t>预算</w:t>
      </w:r>
      <w:r>
        <w:rPr>
          <w:rFonts w:hint="eastAsia" w:ascii="仿宋" w:hAnsi="仿宋" w:eastAsia="仿宋" w:cs="仿宋"/>
          <w:b w:val="0"/>
          <w:bCs w:val="0"/>
          <w:i w:val="0"/>
          <w:iCs w:val="0"/>
          <w:caps w:val="0"/>
          <w:color w:val="000000"/>
          <w:spacing w:val="0"/>
          <w:sz w:val="32"/>
          <w:szCs w:val="32"/>
          <w:shd w:val="clear" w:fill="FFFFFF"/>
        </w:rPr>
        <w:t>绩效目标表开展了本次部门整体绩效自评工作。</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（一）忠诚践行“两个维护”，政治监督持续增强。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（二）积极履行监督首责，监督治理成效日益凸显。</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（三）从严正风肃纪反腐，“三不”一体推进成果巩固拓展。</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（四）稳步推进巡察全覆盖，利剑作用充分彰显。</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（五）扎实推进“清廉湖南”建设，党风政风社风更加清朗。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（六）全面加强自身建设，“铁军”底色愈加鲜明</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（七）全区党风政风持续好转，党内政治生态气象更新，反腐败斗争取得压倒性胜利，全面从严治党取得重大成果。</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是办文办会办事的水平还不高，以文辅政的作用发挥还不够。二是调查研究工作不够深不够实，建言献策水平不够高。三是督查落实能力还有待进一步加强。四是制度管理落实不够全。五是队伍素质还不够高，自我学习还不够，慵懒散的情况时有发生，谋事想事成事的水平还要进一步提升。</w:t>
      </w:r>
    </w:p>
    <w:p>
      <w:pPr>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一是在以文辅政上聚焦用力、持续提升。在调查研究、文稿起草、公文处理、政务信息等重点工作上，坚持高标准、高质量、出精品、创一流，力求调查研究高质高效、文稿起草精益求精、公文处理规范高效，全面提升政务服务工作水平。</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二是在督查落实上聚焦用力、持续提升。聚焦区纪委常委会部署的重点工作，集中力量抓好督查督办，进一步提高督查督办质量、强化督导问责，确保政令畅通，各项决策部署落实落地。</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三是在协调联系上聚焦用力、持续提升。进一步加强上下、内外之间的协调联系，对上争取关心支持，对下进行督促指导，对内优化业务流程，对外促进交流学习，全力推进各项制度落实落细，切实成为区纪委常委会的得力助手。</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四是在队伍建设上聚焦用力、持续提升。按照政治上强、业务上精、作风上硬、工作上实、廉政上好的总体要求，全面加强办公室干部的思想、作风、纪律建设，树立雷厉风行的工作作风，不断提高工作效率。</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高度重视此项绩效自评工作，积极落实主体责任，切实加强组织领导，按照绩效评价相关制度规定，明确具体责任人，认真开展自评，撰写了此份绩效评价报告，确保绩效自评工作顺利实施，并将按照要求进行信息公开，对存在的问题积极整改。</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SIOKXPKOI0_19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TSCPDBJZ0_19_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0A3C6"/>
    <w:multiLevelType w:val="singleLevel"/>
    <w:tmpl w:val="3810A3C6"/>
    <w:lvl w:ilvl="0" w:tentative="0">
      <w:start w:val="1"/>
      <w:numFmt w:val="chineseCounting"/>
      <w:suff w:val="nothing"/>
      <w:lvlText w:val="%1、"/>
      <w:lvlJc w:val="left"/>
      <w:rPr>
        <w:rFonts w:hint="eastAsia"/>
      </w:rPr>
    </w:lvl>
  </w:abstractNum>
  <w:abstractNum w:abstractNumId="1">
    <w:nsid w:val="4FEECA21"/>
    <w:multiLevelType w:val="singleLevel"/>
    <w:tmpl w:val="4FEECA21"/>
    <w:lvl w:ilvl="0" w:tentative="0">
      <w:start w:val="8"/>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0F20367"/>
    <w:rsid w:val="011078C7"/>
    <w:rsid w:val="0156392B"/>
    <w:rsid w:val="017E0CD4"/>
    <w:rsid w:val="01D04896"/>
    <w:rsid w:val="02B315C6"/>
    <w:rsid w:val="02F94AB6"/>
    <w:rsid w:val="03630182"/>
    <w:rsid w:val="036A59B4"/>
    <w:rsid w:val="03934FDA"/>
    <w:rsid w:val="040D64B5"/>
    <w:rsid w:val="062A31D9"/>
    <w:rsid w:val="06672D9E"/>
    <w:rsid w:val="06CC071E"/>
    <w:rsid w:val="07E92CA1"/>
    <w:rsid w:val="080A1514"/>
    <w:rsid w:val="084E7652"/>
    <w:rsid w:val="08CE42EF"/>
    <w:rsid w:val="092D54BA"/>
    <w:rsid w:val="0B907F82"/>
    <w:rsid w:val="0CA041F5"/>
    <w:rsid w:val="0D8D29CB"/>
    <w:rsid w:val="0DD405FA"/>
    <w:rsid w:val="0E1A3B33"/>
    <w:rsid w:val="0F031129"/>
    <w:rsid w:val="0F615EBD"/>
    <w:rsid w:val="108D2CE2"/>
    <w:rsid w:val="110411F6"/>
    <w:rsid w:val="113118BF"/>
    <w:rsid w:val="121F1CA1"/>
    <w:rsid w:val="123141F1"/>
    <w:rsid w:val="1293615E"/>
    <w:rsid w:val="14295324"/>
    <w:rsid w:val="1517097B"/>
    <w:rsid w:val="15432418"/>
    <w:rsid w:val="16670DD1"/>
    <w:rsid w:val="1759391E"/>
    <w:rsid w:val="180C273E"/>
    <w:rsid w:val="18221F62"/>
    <w:rsid w:val="1873518C"/>
    <w:rsid w:val="190B4AAB"/>
    <w:rsid w:val="190D208D"/>
    <w:rsid w:val="1ACC4407"/>
    <w:rsid w:val="1C0427BD"/>
    <w:rsid w:val="1C091100"/>
    <w:rsid w:val="1C5F19D6"/>
    <w:rsid w:val="1CDD2776"/>
    <w:rsid w:val="1D3679F9"/>
    <w:rsid w:val="1DE81558"/>
    <w:rsid w:val="1E362435"/>
    <w:rsid w:val="1E8E20FF"/>
    <w:rsid w:val="1F4E0726"/>
    <w:rsid w:val="1F801C9B"/>
    <w:rsid w:val="1FEC17D3"/>
    <w:rsid w:val="208319DF"/>
    <w:rsid w:val="20914D43"/>
    <w:rsid w:val="20A51982"/>
    <w:rsid w:val="20E83906"/>
    <w:rsid w:val="21780E44"/>
    <w:rsid w:val="22680EB9"/>
    <w:rsid w:val="22EF0D9B"/>
    <w:rsid w:val="2349376D"/>
    <w:rsid w:val="295B3526"/>
    <w:rsid w:val="2A25379E"/>
    <w:rsid w:val="2A97233B"/>
    <w:rsid w:val="2CAD22EA"/>
    <w:rsid w:val="2D5B77E0"/>
    <w:rsid w:val="2E3B3FB2"/>
    <w:rsid w:val="2EBF6305"/>
    <w:rsid w:val="2F3E36CD"/>
    <w:rsid w:val="30DF67EA"/>
    <w:rsid w:val="3102072B"/>
    <w:rsid w:val="310821E5"/>
    <w:rsid w:val="310D5099"/>
    <w:rsid w:val="31926A3D"/>
    <w:rsid w:val="31D65E3F"/>
    <w:rsid w:val="32116E77"/>
    <w:rsid w:val="33833CFC"/>
    <w:rsid w:val="34174A98"/>
    <w:rsid w:val="345968B4"/>
    <w:rsid w:val="34AC10D9"/>
    <w:rsid w:val="35A6695C"/>
    <w:rsid w:val="35C12962"/>
    <w:rsid w:val="376E08C8"/>
    <w:rsid w:val="37A367C3"/>
    <w:rsid w:val="38804D57"/>
    <w:rsid w:val="38A9631F"/>
    <w:rsid w:val="39953421"/>
    <w:rsid w:val="39DF4537"/>
    <w:rsid w:val="3A555125"/>
    <w:rsid w:val="3A783A83"/>
    <w:rsid w:val="3BBD597A"/>
    <w:rsid w:val="3CDA6666"/>
    <w:rsid w:val="3CE84C78"/>
    <w:rsid w:val="3D6953E6"/>
    <w:rsid w:val="3DCB276D"/>
    <w:rsid w:val="3F7E18C4"/>
    <w:rsid w:val="3FF676AC"/>
    <w:rsid w:val="40540E36"/>
    <w:rsid w:val="40662A84"/>
    <w:rsid w:val="445F3A72"/>
    <w:rsid w:val="44827761"/>
    <w:rsid w:val="4669507C"/>
    <w:rsid w:val="47C06F1E"/>
    <w:rsid w:val="49945C16"/>
    <w:rsid w:val="4A2B43F6"/>
    <w:rsid w:val="4B9A7A86"/>
    <w:rsid w:val="4BAB2B88"/>
    <w:rsid w:val="4BF663FF"/>
    <w:rsid w:val="4C1415E6"/>
    <w:rsid w:val="4C152E18"/>
    <w:rsid w:val="4E17716C"/>
    <w:rsid w:val="4F6E725F"/>
    <w:rsid w:val="502618E8"/>
    <w:rsid w:val="502678E2"/>
    <w:rsid w:val="50B25FB2"/>
    <w:rsid w:val="510D4856"/>
    <w:rsid w:val="52CF6267"/>
    <w:rsid w:val="52D71FC3"/>
    <w:rsid w:val="53BA0CC5"/>
    <w:rsid w:val="5469209E"/>
    <w:rsid w:val="554C3B9F"/>
    <w:rsid w:val="554C696B"/>
    <w:rsid w:val="55943798"/>
    <w:rsid w:val="56D71B8E"/>
    <w:rsid w:val="57BA1646"/>
    <w:rsid w:val="59886344"/>
    <w:rsid w:val="5A9515D5"/>
    <w:rsid w:val="5BCF1086"/>
    <w:rsid w:val="5C321615"/>
    <w:rsid w:val="5C6043D4"/>
    <w:rsid w:val="5C6B60E0"/>
    <w:rsid w:val="5D0905C7"/>
    <w:rsid w:val="5DAB78D0"/>
    <w:rsid w:val="5EA04F5B"/>
    <w:rsid w:val="5F8623A3"/>
    <w:rsid w:val="605F7185"/>
    <w:rsid w:val="613E2F72"/>
    <w:rsid w:val="6155202D"/>
    <w:rsid w:val="617C580C"/>
    <w:rsid w:val="628C7CD0"/>
    <w:rsid w:val="645D6AA5"/>
    <w:rsid w:val="66AF3F8D"/>
    <w:rsid w:val="674C0E45"/>
    <w:rsid w:val="67FA7D4C"/>
    <w:rsid w:val="684F4585"/>
    <w:rsid w:val="6A570BC4"/>
    <w:rsid w:val="6B15282D"/>
    <w:rsid w:val="6B8D0B95"/>
    <w:rsid w:val="6B99345E"/>
    <w:rsid w:val="6B9A2731"/>
    <w:rsid w:val="6D782168"/>
    <w:rsid w:val="6DBB316F"/>
    <w:rsid w:val="6EF74724"/>
    <w:rsid w:val="6FD809F9"/>
    <w:rsid w:val="708741CD"/>
    <w:rsid w:val="72F62F44"/>
    <w:rsid w:val="74082F2F"/>
    <w:rsid w:val="75DA6B4D"/>
    <w:rsid w:val="766F1796"/>
    <w:rsid w:val="77640DC4"/>
    <w:rsid w:val="78393FFF"/>
    <w:rsid w:val="79030169"/>
    <w:rsid w:val="797572B9"/>
    <w:rsid w:val="7B4B6523"/>
    <w:rsid w:val="7B564EC8"/>
    <w:rsid w:val="7BA472E4"/>
    <w:rsid w:val="7CA12173"/>
    <w:rsid w:val="7E1E56F5"/>
    <w:rsid w:val="7E484F9C"/>
    <w:rsid w:val="7F450D2C"/>
    <w:rsid w:val="7F791185"/>
    <w:rsid w:val="7FEE5EDC"/>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yperlink"/>
    <w:basedOn w:val="5"/>
    <w:uiPriority w:val="0"/>
    <w:rPr>
      <w:color w:val="333333"/>
      <w:u w:val="none"/>
    </w:rPr>
  </w:style>
  <w:style w:type="character" w:styleId="10">
    <w:name w:val="HTML Code"/>
    <w:basedOn w:val="5"/>
    <w:qFormat/>
    <w:uiPriority w:val="0"/>
    <w:rPr>
      <w:rFonts w:hint="default" w:ascii="Consolas" w:hAnsi="Consolas" w:eastAsia="Consolas" w:cs="Consolas"/>
      <w:color w:val="E83E8C"/>
      <w:sz w:val="21"/>
      <w:szCs w:val="21"/>
    </w:rPr>
  </w:style>
  <w:style w:type="character" w:styleId="11">
    <w:name w:val="HTML Keyboard"/>
    <w:basedOn w:val="5"/>
    <w:uiPriority w:val="0"/>
    <w:rPr>
      <w:rFonts w:ascii="Consolas" w:hAnsi="Consolas" w:eastAsia="Consolas" w:cs="Consolas"/>
      <w:color w:val="FFFFFF"/>
      <w:sz w:val="21"/>
      <w:szCs w:val="21"/>
      <w:shd w:val="clear" w:fill="212529"/>
    </w:rPr>
  </w:style>
  <w:style w:type="character" w:styleId="12">
    <w:name w:val="HTML Sample"/>
    <w:basedOn w:val="5"/>
    <w:qFormat/>
    <w:uiPriority w:val="0"/>
    <w:rPr>
      <w:rFonts w:hint="default" w:ascii="Consolas" w:hAnsi="Consolas" w:eastAsia="Consolas" w:cs="Consolas"/>
      <w:sz w:val="21"/>
      <w:szCs w:val="21"/>
    </w:rPr>
  </w:style>
  <w:style w:type="paragraph" w:customStyle="1" w:styleId="13">
    <w:name w:val="列出段落1"/>
    <w:basedOn w:val="1"/>
    <w:autoRedefine/>
    <w:qFormat/>
    <w:uiPriority w:val="34"/>
    <w:pPr>
      <w:ind w:firstLine="420" w:firstLineChars="200"/>
    </w:pPr>
  </w:style>
  <w:style w:type="paragraph" w:styleId="14">
    <w:name w:val="List Paragraph"/>
    <w:basedOn w:val="1"/>
    <w:autoRedefine/>
    <w:qFormat/>
    <w:uiPriority w:val="99"/>
    <w:pPr>
      <w:ind w:firstLine="420" w:firstLineChars="200"/>
    </w:pPr>
    <w:rPr>
      <w:rFonts w:ascii="Calibri" w:hAnsi="Calibri"/>
      <w:szCs w:val="22"/>
    </w:rPr>
  </w:style>
  <w:style w:type="character" w:customStyle="1" w:styleId="15">
    <w:name w:val="wx-space"/>
    <w:basedOn w:val="5"/>
    <w:qFormat/>
    <w:uiPriority w:val="0"/>
  </w:style>
  <w:style w:type="character" w:customStyle="1" w:styleId="16">
    <w:name w:val="wx-space1"/>
    <w:basedOn w:val="5"/>
    <w:uiPriority w:val="0"/>
  </w:style>
  <w:style w:type="character" w:customStyle="1" w:styleId="17">
    <w:name w:val="hover7"/>
    <w:basedOn w:val="5"/>
    <w:qFormat/>
    <w:uiPriority w:val="0"/>
    <w:rPr>
      <w:color w:val="000000"/>
      <w:shd w:val="clear" w:fill="FFFFFF"/>
    </w:rPr>
  </w:style>
  <w:style w:type="table" w:customStyle="1" w:styleId="18">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4707</Words>
  <Characters>5181</Characters>
  <Lines>0</Lines>
  <Paragraphs>0</Paragraphs>
  <TotalTime>6</TotalTime>
  <ScaleCrop>false</ScaleCrop>
  <LinksUpToDate>false</LinksUpToDate>
  <CharactersWithSpaces>5395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Gat</cp:lastModifiedBy>
  <dcterms:modified xsi:type="dcterms:W3CDTF">2024-07-19T00:57:56Z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