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中共岳阳市岳阳楼区委政策研究中心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center"/>
              <w:rPr>
                <w:rFonts w:hint="eastAsia" w:ascii="宋体" w:hAnsi="宋体" w:eastAsia="宋体" w:cs="宋体"/>
                <w:color w:val="000000"/>
                <w:sz w:val="24"/>
                <w:szCs w:val="24"/>
              </w:rPr>
            </w:pPr>
          </w:p>
        </w:tc>
        <w:tc>
          <w:tcPr>
            <w:tcW w:w="181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232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0.22</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pPr>
              <w:jc w:val="center"/>
              <w:rPr>
                <w:rFonts w:hint="eastAsia"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pPr>
              <w:jc w:val="center"/>
              <w:rPr>
                <w:rFonts w:hint="eastAsia"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pPr>
              <w:jc w:val="center"/>
              <w:rPr>
                <w:rFonts w:hint="eastAsia"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pPr>
              <w:jc w:val="center"/>
              <w:rPr>
                <w:rFonts w:hint="eastAsia"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0.22</w:t>
            </w:r>
          </w:p>
        </w:tc>
        <w:tc>
          <w:tcPr>
            <w:tcW w:w="2325" w:type="dxa"/>
            <w:gridSpan w:val="2"/>
            <w:noWrap w:val="0"/>
            <w:vAlign w:val="center"/>
          </w:tcPr>
          <w:p>
            <w:pPr>
              <w:jc w:val="center"/>
              <w:rPr>
                <w:rFonts w:hint="default"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11.89</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11.89</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pPr>
              <w:jc w:val="center"/>
              <w:rPr>
                <w:rFonts w:hint="default"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宋体" w:hAnsi="宋体" w:eastAsia="宋体" w:cs="宋体"/>
                <w:color w:val="000000"/>
                <w:sz w:val="24"/>
                <w:szCs w:val="24"/>
                <w:lang w:val="en-US" w:eastAsia="zh-CN"/>
              </w:rPr>
            </w:pPr>
          </w:p>
        </w:tc>
        <w:tc>
          <w:tcPr>
            <w:tcW w:w="1815" w:type="dxa"/>
            <w:gridSpan w:val="2"/>
            <w:noWrap w:val="0"/>
            <w:vAlign w:val="center"/>
          </w:tcPr>
          <w:p>
            <w:pPr>
              <w:jc w:val="center"/>
              <w:rPr>
                <w:rFonts w:hint="eastAsia"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pPr>
              <w:jc w:val="center"/>
              <w:rPr>
                <w:rFonts w:hint="eastAsia"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trPr>
        <w:tc>
          <w:tcPr>
            <w:tcW w:w="3850" w:type="dxa"/>
            <w:noWrap w:val="0"/>
            <w:vAlign w:val="top"/>
          </w:tcPr>
          <w:p>
            <w:pPr>
              <w:jc w:val="left"/>
              <w:rPr>
                <w:rFonts w:hint="eastAsia" w:ascii="宋体" w:hAnsi="宋体" w:eastAsia="宋体" w:cs="宋体"/>
                <w:color w:val="000000"/>
                <w:sz w:val="24"/>
                <w:szCs w:val="24"/>
              </w:rPr>
            </w:pPr>
          </w:p>
        </w:tc>
        <w:tc>
          <w:tcPr>
            <w:tcW w:w="1815" w:type="dxa"/>
            <w:gridSpan w:val="2"/>
            <w:noWrap w:val="0"/>
            <w:vAlign w:val="center"/>
          </w:tcPr>
          <w:p>
            <w:pPr>
              <w:jc w:val="center"/>
              <w:rPr>
                <w:rFonts w:hint="eastAsia"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pPr>
              <w:jc w:val="center"/>
              <w:rPr>
                <w:rFonts w:hint="eastAsia"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10.7</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10.80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8.52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10.7</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9.40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6.70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0.10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0.05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22.00</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pPr>
              <w:jc w:val="center"/>
              <w:rPr>
                <w:rFonts w:hint="default" w:ascii="宋体" w:hAnsi="宋体" w:eastAsia="宋体" w:cs="宋体"/>
                <w:color w:val="000000"/>
                <w:sz w:val="24"/>
                <w:szCs w:val="24"/>
                <w:lang w:val="en-US" w:eastAsia="zh-CN"/>
              </w:rPr>
            </w:pP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13.61</w:t>
            </w: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40"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85"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10"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69"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297"/>
        <w:gridCol w:w="1061"/>
        <w:gridCol w:w="1255"/>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460"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623" w:type="dxa"/>
            <w:gridSpan w:val="6"/>
            <w:noWrap w:val="0"/>
            <w:vAlign w:val="top"/>
          </w:tcPr>
          <w:p>
            <w:pPr>
              <w:pStyle w:val="8"/>
              <w:spacing w:line="239" w:lineRule="exact"/>
              <w:jc w:val="center"/>
              <w:rPr>
                <w:rFonts w:hint="eastAsia" w:ascii="宋体" w:hAnsi="宋体" w:eastAsia="宋体" w:cs="宋体"/>
                <w:sz w:val="20"/>
              </w:rPr>
            </w:pPr>
            <w:r>
              <w:rPr>
                <w:rFonts w:hint="eastAsia" w:ascii="宋体" w:hAnsi="宋体" w:eastAsia="宋体" w:cs="宋体"/>
                <w:color w:val="000000"/>
                <w:spacing w:val="-2"/>
                <w:sz w:val="20"/>
                <w:szCs w:val="20"/>
              </w:rPr>
              <w:t>中共岳阳市岳阳楼区委政策研究中心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top"/>
          </w:tcPr>
          <w:p>
            <w:pPr>
              <w:spacing w:before="62" w:line="232" w:lineRule="auto"/>
              <w:ind w:right="144"/>
              <w:jc w:val="both"/>
              <w:rPr>
                <w:rFonts w:hint="eastAsia" w:ascii="宋体" w:hAnsi="宋体" w:eastAsia="宋体" w:cs="宋体"/>
                <w:spacing w:val="6"/>
                <w:sz w:val="19"/>
                <w:szCs w:val="19"/>
              </w:rPr>
            </w:pPr>
          </w:p>
          <w:p>
            <w:pPr>
              <w:spacing w:before="62" w:line="232" w:lineRule="auto"/>
              <w:ind w:right="144"/>
              <w:jc w:val="both"/>
              <w:rPr>
                <w:rFonts w:hint="eastAsia" w:ascii="宋体" w:hAnsi="宋体" w:eastAsia="宋体" w:cs="宋体"/>
                <w:spacing w:val="6"/>
                <w:sz w:val="19"/>
                <w:szCs w:val="19"/>
              </w:rPr>
            </w:pPr>
          </w:p>
          <w:p>
            <w:pPr>
              <w:spacing w:before="62" w:line="232" w:lineRule="auto"/>
              <w:ind w:right="14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376" w:type="dxa"/>
            <w:gridSpan w:val="2"/>
            <w:noWrap w:val="0"/>
            <w:vAlign w:val="top"/>
          </w:tcPr>
          <w:p>
            <w:pPr>
              <w:pStyle w:val="8"/>
              <w:spacing w:line="235" w:lineRule="exact"/>
              <w:rPr>
                <w:rFonts w:hint="eastAsia" w:ascii="宋体" w:hAnsi="宋体" w:eastAsia="宋体" w:cs="宋体"/>
                <w:sz w:val="20"/>
              </w:rPr>
            </w:pPr>
          </w:p>
        </w:tc>
        <w:tc>
          <w:tcPr>
            <w:tcW w:w="1061" w:type="dxa"/>
            <w:noWrap w:val="0"/>
            <w:vAlign w:val="center"/>
          </w:tcPr>
          <w:p>
            <w:pPr>
              <w:spacing w:before="20" w:line="208" w:lineRule="auto"/>
              <w:ind w:left="140"/>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55" w:type="dxa"/>
            <w:noWrap w:val="0"/>
            <w:vAlign w:val="center"/>
          </w:tcPr>
          <w:p>
            <w:pPr>
              <w:spacing w:before="20" w:line="208" w:lineRule="auto"/>
              <w:ind w:left="159"/>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center"/>
          </w:tcPr>
          <w:p>
            <w:pPr>
              <w:spacing w:before="20" w:line="208" w:lineRule="auto"/>
              <w:ind w:left="138"/>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center"/>
          </w:tcPr>
          <w:p>
            <w:pPr>
              <w:spacing w:before="20" w:line="208" w:lineRule="auto"/>
              <w:ind w:left="166"/>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pPr>
              <w:spacing w:before="20" w:line="208" w:lineRule="auto"/>
              <w:ind w:left="147"/>
              <w:jc w:val="center"/>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center"/>
          </w:tcPr>
          <w:p>
            <w:pPr>
              <w:spacing w:before="20" w:line="208" w:lineRule="auto"/>
              <w:ind w:left="366"/>
              <w:jc w:val="center"/>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376"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061"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101.29</w:t>
            </w:r>
          </w:p>
        </w:tc>
        <w:tc>
          <w:tcPr>
            <w:tcW w:w="1255" w:type="dxa"/>
            <w:noWrap w:val="0"/>
            <w:vAlign w:val="center"/>
          </w:tcPr>
          <w:p>
            <w:pPr>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119.65</w:t>
            </w:r>
          </w:p>
        </w:tc>
        <w:tc>
          <w:tcPr>
            <w:tcW w:w="1268" w:type="dxa"/>
            <w:noWrap w:val="0"/>
            <w:vAlign w:val="center"/>
          </w:tcPr>
          <w:p>
            <w:pPr>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119.65</w:t>
            </w:r>
          </w:p>
        </w:tc>
        <w:tc>
          <w:tcPr>
            <w:tcW w:w="716" w:type="dxa"/>
            <w:noWrap w:val="0"/>
            <w:vAlign w:val="center"/>
          </w:tcPr>
          <w:p>
            <w:pPr>
              <w:pStyle w:val="8"/>
              <w:spacing w:before="54" w:line="194" w:lineRule="auto"/>
              <w:ind w:left="270"/>
              <w:jc w:val="both"/>
              <w:rPr>
                <w:rFonts w:hint="eastAsia" w:ascii="宋体" w:hAnsi="宋体" w:eastAsia="宋体" w:cs="宋体"/>
                <w:sz w:val="19"/>
                <w:szCs w:val="19"/>
              </w:rPr>
            </w:pPr>
            <w:r>
              <w:rPr>
                <w:rFonts w:hint="eastAsia" w:ascii="仿宋_GB2312" w:hAnsi="仿宋_GB2312" w:eastAsia="仿宋_GB2312" w:cs="仿宋_GB2312"/>
                <w:kern w:val="2"/>
                <w:sz w:val="20"/>
                <w:szCs w:val="20"/>
                <w:highlight w:val="none"/>
                <w:lang w:val="en-US" w:eastAsia="zh-CN" w:bidi="ar-SA"/>
              </w:rPr>
              <w:t>10</w:t>
            </w:r>
          </w:p>
        </w:tc>
        <w:tc>
          <w:tcPr>
            <w:tcW w:w="873" w:type="dxa"/>
            <w:noWrap w:val="0"/>
            <w:vAlign w:val="center"/>
          </w:tcPr>
          <w:p>
            <w:pPr>
              <w:spacing w:line="24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100%</w:t>
            </w:r>
          </w:p>
        </w:tc>
        <w:tc>
          <w:tcPr>
            <w:tcW w:w="1450" w:type="dxa"/>
            <w:noWrap w:val="0"/>
            <w:vAlign w:val="center"/>
          </w:tcPr>
          <w:p>
            <w:pPr>
              <w:spacing w:line="24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z w:val="20"/>
                <w:lang w:val="en-US" w:eastAsia="zh-CN"/>
              </w:rPr>
              <w:t>119.65</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97.90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21.75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pPr>
              <w:pStyle w:val="8"/>
              <w:spacing w:line="242" w:lineRule="auto"/>
              <w:jc w:val="center"/>
              <w:rPr>
                <w:rFonts w:hint="eastAsia" w:ascii="宋体" w:hAnsi="宋体" w:eastAsia="宋体" w:cs="宋体"/>
              </w:rPr>
            </w:pPr>
          </w:p>
          <w:p>
            <w:pPr>
              <w:pStyle w:val="8"/>
              <w:spacing w:line="243" w:lineRule="auto"/>
              <w:jc w:val="center"/>
              <w:rPr>
                <w:rFonts w:hint="eastAsia" w:ascii="宋体" w:hAnsi="宋体" w:eastAsia="宋体" w:cs="宋体"/>
              </w:rPr>
            </w:pPr>
          </w:p>
          <w:p>
            <w:pPr>
              <w:spacing w:before="62" w:line="230" w:lineRule="auto"/>
              <w:ind w:right="139"/>
              <w:jc w:val="center"/>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pPr>
              <w:pStyle w:val="8"/>
              <w:rPr>
                <w:rFonts w:hint="eastAsia" w:ascii="宋体" w:hAnsi="宋体" w:eastAsia="宋体" w:cs="宋体"/>
              </w:rPr>
            </w:pPr>
          </w:p>
        </w:tc>
        <w:tc>
          <w:tcPr>
            <w:tcW w:w="4692" w:type="dxa"/>
            <w:gridSpan w:val="4"/>
            <w:tcBorders>
              <w:bottom w:val="single" w:color="auto" w:sz="4" w:space="0"/>
            </w:tcBorders>
            <w:noWrap w:val="0"/>
            <w:vAlign w:val="top"/>
          </w:tcPr>
          <w:p>
            <w:pPr>
              <w:pStyle w:val="8"/>
              <w:numPr>
                <w:ilvl w:val="0"/>
                <w:numId w:val="0"/>
              </w:numPr>
              <w:jc w:val="left"/>
              <w:rPr>
                <w:rFonts w:hint="default" w:ascii="黑体" w:hAnsi="黑体" w:eastAsia="黑体" w:cs="仿宋_GB2312"/>
                <w:sz w:val="32"/>
                <w:szCs w:val="32"/>
                <w:lang w:val="en-US" w:eastAsia="zh-CN"/>
              </w:rPr>
            </w:pPr>
            <w:r>
              <w:rPr>
                <w:rFonts w:hint="eastAsia" w:ascii="Arial"/>
                <w:color w:val="000000" w:themeColor="text1"/>
                <w:sz w:val="20"/>
                <w14:textFill>
                  <w14:solidFill>
                    <w14:schemeClr w14:val="tx1"/>
                  </w14:solidFill>
                </w14:textFill>
              </w:rPr>
              <w:t>负责对全区经济社会发展战略和经济、政治、文化、党建等方面的重大问题进行了调查研究，提出意见和建议，供区委决策参考等工作。</w:t>
            </w:r>
          </w:p>
        </w:tc>
        <w:tc>
          <w:tcPr>
            <w:tcW w:w="4307" w:type="dxa"/>
            <w:gridSpan w:val="4"/>
            <w:tcBorders>
              <w:bottom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全面贯彻落实党的二十大精神和习近平新时代中国特色社会主义思想，全面</w:t>
            </w:r>
            <w:r>
              <w:rPr>
                <w:rFonts w:hint="default" w:ascii="宋体" w:hAnsi="宋体" w:eastAsia="宋体" w:cs="宋体"/>
                <w:spacing w:val="5"/>
                <w:kern w:val="2"/>
                <w:sz w:val="19"/>
                <w:szCs w:val="19"/>
                <w:lang w:val="en-US" w:eastAsia="zh-CN" w:bidi="ar-SA"/>
              </w:rPr>
              <w:t>深入学习</w:t>
            </w:r>
            <w:r>
              <w:rPr>
                <w:rFonts w:hint="eastAsia" w:ascii="宋体" w:hAnsi="宋体" w:eastAsia="宋体" w:cs="宋体"/>
                <w:spacing w:val="5"/>
                <w:kern w:val="2"/>
                <w:sz w:val="19"/>
                <w:szCs w:val="19"/>
                <w:lang w:val="en-US" w:eastAsia="zh-CN" w:bidi="ar-SA"/>
              </w:rPr>
              <w:t>新理论、</w:t>
            </w:r>
            <w:r>
              <w:rPr>
                <w:rFonts w:hint="default" w:ascii="宋体" w:hAnsi="宋体" w:eastAsia="宋体" w:cs="宋体"/>
                <w:spacing w:val="5"/>
                <w:kern w:val="2"/>
                <w:sz w:val="19"/>
                <w:szCs w:val="19"/>
                <w:lang w:val="en-US" w:eastAsia="zh-CN" w:bidi="ar-SA"/>
              </w:rPr>
              <w:t>新思想、新精神</w:t>
            </w:r>
            <w:r>
              <w:rPr>
                <w:rFonts w:hint="eastAsia" w:ascii="宋体" w:hAnsi="宋体" w:eastAsia="宋体" w:cs="宋体"/>
                <w:spacing w:val="5"/>
                <w:kern w:val="2"/>
                <w:sz w:val="19"/>
                <w:szCs w:val="19"/>
                <w:lang w:val="en-US" w:eastAsia="zh-CN" w:bidi="ar-SA"/>
              </w:rPr>
              <w:t>，进一步</w:t>
            </w:r>
            <w:r>
              <w:rPr>
                <w:rFonts w:hint="default" w:ascii="宋体" w:hAnsi="宋体" w:eastAsia="宋体" w:cs="宋体"/>
                <w:spacing w:val="5"/>
                <w:kern w:val="2"/>
                <w:sz w:val="19"/>
                <w:szCs w:val="19"/>
                <w:lang w:val="en-US" w:eastAsia="zh-CN" w:bidi="ar-SA"/>
              </w:rPr>
              <w:t>强化理论指导实践</w:t>
            </w:r>
            <w:r>
              <w:rPr>
                <w:rFonts w:hint="eastAsia" w:ascii="宋体" w:hAnsi="宋体" w:eastAsia="宋体" w:cs="宋体"/>
                <w:spacing w:val="5"/>
                <w:kern w:val="2"/>
                <w:sz w:val="19"/>
                <w:szCs w:val="19"/>
                <w:lang w:val="en-US" w:eastAsia="zh-CN" w:bidi="ar-SA"/>
              </w:rPr>
              <w:t>，努力提高思想政治素质和业务工作能力自行制定学习计划，</w:t>
            </w:r>
            <w:r>
              <w:rPr>
                <w:rFonts w:hint="default" w:ascii="宋体" w:hAnsi="宋体" w:eastAsia="宋体" w:cs="宋体"/>
                <w:spacing w:val="5"/>
                <w:kern w:val="2"/>
                <w:sz w:val="19"/>
                <w:szCs w:val="19"/>
                <w:lang w:val="en-US" w:eastAsia="zh-CN" w:bidi="ar-SA"/>
              </w:rPr>
              <w:t>经常性开展自我检视，查找自身不足，</w:t>
            </w:r>
            <w:r>
              <w:rPr>
                <w:rFonts w:hint="eastAsia" w:ascii="宋体" w:hAnsi="宋体" w:eastAsia="宋体" w:cs="宋体"/>
                <w:spacing w:val="5"/>
                <w:kern w:val="2"/>
                <w:sz w:val="19"/>
                <w:szCs w:val="19"/>
                <w:lang w:val="en-US" w:eastAsia="zh-CN" w:bidi="ar-SA"/>
              </w:rPr>
              <w:t>进一步锤炼党性修养，夯实理论基础。</w:t>
            </w:r>
          </w:p>
          <w:p>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坚持“为楼区写好领导材料，为领导写好楼区材料”的理念，撰写区委主要领导讲话200余篇，认真总结各类综合报告7</w:t>
            </w:r>
            <w:r>
              <w:rPr>
                <w:rFonts w:hint="default" w:ascii="宋体" w:hAnsi="宋体" w:eastAsia="宋体" w:cs="宋体"/>
                <w:spacing w:val="5"/>
                <w:kern w:val="2"/>
                <w:sz w:val="19"/>
                <w:szCs w:val="19"/>
                <w:lang w:val="en-US" w:eastAsia="zh-CN" w:bidi="ar-SA"/>
              </w:rPr>
              <w:t>0</w:t>
            </w:r>
            <w:r>
              <w:rPr>
                <w:rFonts w:hint="eastAsia" w:ascii="宋体" w:hAnsi="宋体" w:eastAsia="宋体" w:cs="宋体"/>
                <w:spacing w:val="5"/>
                <w:kern w:val="2"/>
                <w:sz w:val="19"/>
                <w:szCs w:val="19"/>
                <w:lang w:val="en-US" w:eastAsia="zh-CN" w:bidi="ar-SA"/>
              </w:rPr>
              <w:t>余篇，撰写《践行新时代党的组织路线为推动岳阳楼区高质量发展提供坚强组织保证》《人民城市为人民 此心安处是吾乡》等理论文章6篇，其中在省级刊物《红星云》发表1篇，在《岳阳日报》《清廉岳阳》发表5篇。组织编辑《区委专刊》5期，有力推动了区委中心工作的部署落实；组织编辑会议纪要34篇，推动常委会部署的各项工作落实有章可循、有据可依。</w:t>
            </w:r>
          </w:p>
          <w:p>
            <w:pPr>
              <w:pStyle w:val="9"/>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结合主题教育大兴调查研究“走找想促”活动，围绕产业发展、财税保障、党的建设等方面开展决策参谋服务调研，深入洞庭在线、小龙城数字产业园、胥家桥综合物流园和中交智慧物流园等开展调研</w:t>
            </w:r>
            <w:r>
              <w:rPr>
                <w:rFonts w:hint="default" w:ascii="宋体" w:hAnsi="宋体" w:eastAsia="宋体" w:cs="宋体"/>
                <w:color w:val="auto"/>
                <w:spacing w:val="5"/>
                <w:kern w:val="2"/>
                <w:sz w:val="19"/>
                <w:szCs w:val="19"/>
                <w:lang w:val="en-US" w:eastAsia="zh-CN" w:bidi="ar-SA"/>
              </w:rPr>
              <w:t>10</w:t>
            </w:r>
            <w:r>
              <w:rPr>
                <w:rFonts w:hint="eastAsia" w:ascii="宋体" w:hAnsi="宋体" w:eastAsia="宋体" w:cs="宋体"/>
                <w:color w:val="auto"/>
                <w:spacing w:val="5"/>
                <w:kern w:val="2"/>
                <w:sz w:val="19"/>
                <w:szCs w:val="19"/>
                <w:lang w:val="en-US" w:eastAsia="zh-CN" w:bidi="ar-SA"/>
              </w:rPr>
              <w:t>余次。</w:t>
            </w:r>
          </w:p>
          <w:p>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紧紧围绕贯彻落实上级方针政策的意见和建议、干部群众关注的热点焦点问题，认真反映情况、报送信息，全力当好党委的“千里眼、顺风耳”。全年共往上级党委信息系统报送信息190多条，向上报送基层反映180多篇，被省市级领导刊物采用80多条。</w:t>
            </w:r>
          </w:p>
          <w:p>
            <w:pPr>
              <w:pStyle w:val="9"/>
              <w:rPr>
                <w:rFonts w:hint="eastAsia" w:ascii="宋体" w:hAnsi="宋体" w:eastAsia="宋体" w:cs="宋体"/>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坚决落实中央八项规定精神，严格落实“三重一大”集体决策制度，班子成员带头改作风、转文风、办实事。严格落实意识形态工作责任制，坚决同</w:t>
            </w:r>
            <w:r>
              <w:rPr>
                <w:rFonts w:hint="default" w:ascii="宋体" w:hAnsi="宋体" w:eastAsia="宋体" w:cs="宋体"/>
                <w:color w:val="auto"/>
                <w:spacing w:val="5"/>
                <w:kern w:val="2"/>
                <w:sz w:val="19"/>
                <w:szCs w:val="19"/>
                <w:lang w:val="en-US" w:eastAsia="zh-CN" w:bidi="ar-SA"/>
              </w:rPr>
              <w:t>歪风邪气作斗争，</w:t>
            </w:r>
            <w:r>
              <w:rPr>
                <w:rFonts w:hint="eastAsia" w:ascii="宋体" w:hAnsi="宋体" w:eastAsia="宋体" w:cs="宋体"/>
                <w:color w:val="auto"/>
                <w:spacing w:val="5"/>
                <w:kern w:val="2"/>
                <w:sz w:val="19"/>
                <w:szCs w:val="19"/>
                <w:lang w:val="en-US" w:eastAsia="zh-CN" w:bidi="ar-SA"/>
              </w:rPr>
              <w:t>切实维护意识形态领域安全稳定。</w:t>
            </w:r>
            <w:r>
              <w:rPr>
                <w:rFonts w:hint="eastAsia" w:ascii="宋体" w:hAnsi="宋体" w:eastAsia="宋体" w:cs="宋体"/>
                <w:color w:val="auto"/>
                <w:spacing w:val="5"/>
                <w:kern w:val="2"/>
                <w:sz w:val="19"/>
                <w:szCs w:val="19"/>
                <w:lang w:val="zh-CN" w:eastAsia="zh-CN" w:bidi="ar-SA"/>
              </w:rPr>
              <w:t>坚持把严的基调、严的措施、严的氛围长期坚持下去，严格落实区委提出的</w:t>
            </w:r>
            <w:r>
              <w:rPr>
                <w:rFonts w:hint="default" w:ascii="宋体" w:hAnsi="宋体" w:eastAsia="宋体" w:cs="宋体"/>
                <w:color w:val="auto"/>
                <w:spacing w:val="5"/>
                <w:kern w:val="2"/>
                <w:sz w:val="19"/>
                <w:szCs w:val="19"/>
                <w:lang w:val="zh-CN" w:eastAsia="zh-CN" w:bidi="ar-SA"/>
              </w:rPr>
              <w:t>“</w:t>
            </w:r>
            <w:r>
              <w:rPr>
                <w:rFonts w:hint="eastAsia" w:ascii="宋体" w:hAnsi="宋体" w:eastAsia="宋体" w:cs="宋体"/>
                <w:color w:val="auto"/>
                <w:spacing w:val="5"/>
                <w:kern w:val="2"/>
                <w:sz w:val="19"/>
                <w:szCs w:val="19"/>
                <w:lang w:val="zh-CN" w:eastAsia="zh-CN" w:bidi="ar-SA"/>
              </w:rPr>
              <w:t>八个严禁</w:t>
            </w:r>
            <w:r>
              <w:rPr>
                <w:rFonts w:hint="default" w:ascii="宋体" w:hAnsi="宋体" w:eastAsia="宋体" w:cs="宋体"/>
                <w:color w:val="auto"/>
                <w:spacing w:val="5"/>
                <w:kern w:val="2"/>
                <w:sz w:val="19"/>
                <w:szCs w:val="19"/>
                <w:lang w:val="zh-CN" w:eastAsia="zh-CN" w:bidi="ar-SA"/>
              </w:rPr>
              <w:t>”“</w:t>
            </w:r>
            <w:r>
              <w:rPr>
                <w:rFonts w:hint="eastAsia" w:ascii="宋体" w:hAnsi="宋体" w:eastAsia="宋体" w:cs="宋体"/>
                <w:color w:val="auto"/>
                <w:spacing w:val="5"/>
                <w:kern w:val="2"/>
                <w:sz w:val="19"/>
                <w:szCs w:val="19"/>
                <w:lang w:val="zh-CN" w:eastAsia="zh-CN" w:bidi="ar-SA"/>
              </w:rPr>
              <w:t>三个严管</w:t>
            </w:r>
            <w:r>
              <w:rPr>
                <w:rFonts w:hint="default" w:ascii="宋体" w:hAnsi="宋体" w:eastAsia="宋体" w:cs="宋体"/>
                <w:color w:val="auto"/>
                <w:spacing w:val="5"/>
                <w:kern w:val="2"/>
                <w:sz w:val="19"/>
                <w:szCs w:val="19"/>
                <w:lang w:val="zh-CN" w:eastAsia="zh-CN" w:bidi="ar-SA"/>
              </w:rPr>
              <w:t>”“</w:t>
            </w:r>
            <w:r>
              <w:rPr>
                <w:rFonts w:hint="eastAsia" w:ascii="宋体" w:hAnsi="宋体" w:eastAsia="宋体" w:cs="宋体"/>
                <w:color w:val="auto"/>
                <w:spacing w:val="5"/>
                <w:kern w:val="2"/>
                <w:sz w:val="19"/>
                <w:szCs w:val="19"/>
                <w:lang w:val="zh-CN" w:eastAsia="zh-CN" w:bidi="ar-SA"/>
              </w:rPr>
              <w:t>九个严防</w:t>
            </w:r>
            <w:r>
              <w:rPr>
                <w:rFonts w:hint="default" w:ascii="宋体" w:hAnsi="宋体" w:eastAsia="宋体" w:cs="宋体"/>
                <w:color w:val="auto"/>
                <w:spacing w:val="5"/>
                <w:kern w:val="2"/>
                <w:sz w:val="19"/>
                <w:szCs w:val="19"/>
                <w:lang w:val="zh-CN" w:eastAsia="zh-CN" w:bidi="ar-SA"/>
              </w:rPr>
              <w:t>”</w:t>
            </w:r>
            <w:r>
              <w:rPr>
                <w:rFonts w:hint="eastAsia" w:ascii="宋体" w:hAnsi="宋体" w:eastAsia="宋体" w:cs="宋体"/>
                <w:color w:val="auto"/>
                <w:spacing w:val="5"/>
                <w:kern w:val="2"/>
                <w:sz w:val="19"/>
                <w:szCs w:val="19"/>
                <w:lang w:val="zh-CN" w:eastAsia="zh-CN" w:bidi="ar-SA"/>
              </w:rPr>
              <w:t>，持续推进“三不一体”建设，不断筑牢党员干部拒腐防变的思想防线。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pPr>
              <w:pStyle w:val="8"/>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297"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253"/>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三级指标</w:t>
            </w:r>
          </w:p>
        </w:tc>
        <w:tc>
          <w:tcPr>
            <w:tcW w:w="1255"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p>
            <w:pPr>
              <w:pStyle w:val="8"/>
              <w:spacing w:line="235" w:lineRule="exact"/>
              <w:jc w:val="center"/>
              <w:rPr>
                <w:rFonts w:hint="eastAsia" w:ascii="宋体" w:hAnsi="宋体" w:eastAsia="宋体" w:cs="宋体"/>
                <w:kern w:val="2"/>
                <w:sz w:val="19"/>
                <w:szCs w:val="19"/>
                <w:lang w:val="en-US" w:eastAsia="zh-CN" w:bidi="ar-SA"/>
              </w:rPr>
            </w:pPr>
          </w:p>
          <w:p>
            <w:pPr>
              <w:pStyle w:val="8"/>
              <w:spacing w:line="235" w:lineRule="exact"/>
              <w:jc w:val="center"/>
              <w:rPr>
                <w:rFonts w:hint="eastAsia" w:ascii="宋体" w:hAnsi="宋体" w:eastAsia="宋体" w:cs="宋体"/>
                <w:kern w:val="2"/>
                <w:sz w:val="19"/>
                <w:szCs w:val="19"/>
                <w:lang w:val="en-US" w:eastAsia="zh-CN" w:bidi="ar-SA"/>
              </w:rPr>
            </w:pPr>
          </w:p>
          <w:p>
            <w:pPr>
              <w:pStyle w:val="8"/>
              <w:spacing w:line="235" w:lineRule="exact"/>
              <w:jc w:val="center"/>
              <w:rPr>
                <w:rFonts w:hint="eastAsia" w:ascii="宋体" w:hAnsi="宋体" w:eastAsia="宋体" w:cs="宋体"/>
                <w:kern w:val="2"/>
                <w:sz w:val="19"/>
                <w:szCs w:val="19"/>
                <w:lang w:val="en-US" w:eastAsia="zh-CN" w:bidi="ar-SA"/>
              </w:rPr>
            </w:pPr>
          </w:p>
          <w:p>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产出指标</w:t>
            </w:r>
          </w:p>
          <w:p>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(50 分)</w:t>
            </w:r>
          </w:p>
        </w:tc>
        <w:tc>
          <w:tcPr>
            <w:tcW w:w="1297" w:type="dxa"/>
            <w:vMerge w:val="restart"/>
            <w:tcBorders>
              <w:top w:val="single" w:color="auto" w:sz="4" w:space="0"/>
              <w:left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数量指标</w:t>
            </w:r>
          </w:p>
        </w:tc>
        <w:tc>
          <w:tcPr>
            <w:tcW w:w="1061"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撰写区委主要领导讲话</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200篇</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200篇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continue"/>
            <w:tcBorders>
              <w:left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color w:val="auto"/>
                <w:spacing w:val="5"/>
                <w:kern w:val="2"/>
                <w:sz w:val="19"/>
                <w:szCs w:val="19"/>
                <w:lang w:val="en-US" w:eastAsia="zh-CN" w:bidi="ar-SA"/>
              </w:rPr>
              <w:t>认真总结各类综合报告</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70篇</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70篇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continue"/>
            <w:tcBorders>
              <w:left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30" w:lineRule="exact"/>
              <w:jc w:val="center"/>
              <w:rPr>
                <w:rFonts w:hint="eastAsia" w:ascii="宋体" w:hAnsi="宋体" w:eastAsia="宋体" w:cs="宋体"/>
                <w:kern w:val="2"/>
                <w:sz w:val="20"/>
                <w:szCs w:val="21"/>
                <w:lang w:val="en-US" w:eastAsia="zh-CN" w:bidi="ar-SA"/>
              </w:rPr>
            </w:pPr>
            <w:r>
              <w:rPr>
                <w:rFonts w:hint="eastAsia" w:ascii="Arial"/>
                <w:color w:val="000000" w:themeColor="text1"/>
                <w:sz w:val="20"/>
                <w14:textFill>
                  <w14:solidFill>
                    <w14:schemeClr w14:val="tx1"/>
                  </w14:solidFill>
                </w14:textFill>
              </w:rPr>
              <w:t>按照区委领导指示和确定的课题，开展调查研究</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10次</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continue"/>
            <w:tcBorders>
              <w:left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组织编辑会议纪要</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eastAsia="zh-CN"/>
              </w:rPr>
              <w:t>34篇</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eastAsia="zh-CN"/>
              </w:rPr>
              <w:t>34篇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continue"/>
            <w:tcBorders>
              <w:left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Arial" w:eastAsia="仿宋_GB2312"/>
                <w:color w:val="000000" w:themeColor="text1"/>
                <w:sz w:val="20"/>
                <w:lang w:eastAsia="zh-CN"/>
                <w14:textFill>
                  <w14:solidFill>
                    <w14:schemeClr w14:val="tx1"/>
                  </w14:solidFill>
                </w14:textFill>
              </w:rPr>
            </w:pPr>
            <w:r>
              <w:rPr>
                <w:rFonts w:hint="eastAsia" w:ascii="宋体" w:hAnsi="宋体" w:eastAsia="宋体" w:cs="宋体"/>
                <w:sz w:val="20"/>
                <w:lang w:eastAsia="zh-CN"/>
              </w:rPr>
              <w:t>撰写刊登理论文章</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6篇</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6篇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continue"/>
            <w:tcBorders>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sz w:val="20"/>
                <w:lang w:eastAsia="zh-CN"/>
              </w:rPr>
            </w:pPr>
            <w:r>
              <w:rPr>
                <w:rFonts w:hint="eastAsia" w:ascii="Arial"/>
                <w:color w:val="000000" w:themeColor="text1"/>
                <w:sz w:val="20"/>
                <w14:textFill>
                  <w14:solidFill>
                    <w14:schemeClr w14:val="tx1"/>
                  </w14:solidFill>
                </w14:textFill>
              </w:rPr>
              <w:t>向省委、市委报送信息</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190条</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190条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restart"/>
            <w:tcBorders>
              <w:top w:val="single" w:color="auto" w:sz="4" w:space="0"/>
              <w:left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质量指标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撰写文稿材</w:t>
            </w:r>
            <w:r>
              <w:rPr>
                <w:rFonts w:hint="eastAsia" w:ascii="Arial"/>
                <w:color w:val="000000" w:themeColor="text1"/>
                <w:sz w:val="20"/>
                <w:lang w:val="en-US" w:eastAsia="zh-CN"/>
                <w14:textFill>
                  <w14:solidFill>
                    <w14:schemeClr w14:val="tx1"/>
                  </w14:solidFill>
                </w14:textFill>
              </w:rPr>
              <w:t>料</w:t>
            </w:r>
            <w:r>
              <w:rPr>
                <w:rFonts w:hint="eastAsia" w:ascii="Arial"/>
                <w:color w:val="000000" w:themeColor="text1"/>
                <w:sz w:val="20"/>
                <w14:textFill>
                  <w14:solidFill>
                    <w14:schemeClr w14:val="tx1"/>
                  </w14:solidFill>
                </w14:textFill>
              </w:rPr>
              <w:t>完成率</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Cs w:val="21"/>
                <w14:textFill>
                  <w14:solidFill>
                    <w14:schemeClr w14:val="tx1"/>
                  </w14:solidFill>
                </w14:textFill>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Cs w:val="21"/>
                <w14:textFill>
                  <w14:solidFill>
                    <w14:schemeClr w14:val="tx1"/>
                  </w14:solidFill>
                </w14:textFill>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Cs w:val="21"/>
                <w:lang w:val="en-US" w:eastAsia="zh-CN"/>
                <w14:textFill>
                  <w14:solidFill>
                    <w14:schemeClr w14:val="tx1"/>
                  </w14:solidFill>
                </w14:textFill>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Cs w:val="21"/>
                <w:lang w:val="en-US" w:eastAsia="zh-CN"/>
                <w14:textFill>
                  <w14:solidFill>
                    <w14:schemeClr w14:val="tx1"/>
                  </w14:solidFill>
                </w14:textFill>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continue"/>
            <w:tcBorders>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Arial"/>
                <w:color w:val="000000" w:themeColor="text1"/>
                <w:sz w:val="20"/>
                <w14:textFill>
                  <w14:solidFill>
                    <w14:schemeClr w14:val="tx1"/>
                  </w14:solidFill>
                </w14:textFill>
              </w:rPr>
            </w:pPr>
            <w:r>
              <w:rPr>
                <w:rFonts w:hint="eastAsia" w:ascii="Arial"/>
                <w:color w:val="000000" w:themeColor="text1"/>
                <w:sz w:val="20"/>
                <w:lang w:eastAsia="zh-CN"/>
                <w14:textFill>
                  <w14:solidFill>
                    <w14:schemeClr w14:val="tx1"/>
                  </w14:solidFill>
                </w14:textFill>
              </w:rPr>
              <w:t>开展调查研究完成率</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color w:val="000000" w:themeColor="text1"/>
                <w:spacing w:val="-6"/>
                <w:szCs w:val="21"/>
                <w:lang w:val="en-US" w:eastAsia="zh-CN"/>
                <w14:textFill>
                  <w14:solidFill>
                    <w14:schemeClr w14:val="tx1"/>
                  </w14:solidFill>
                </w14:textFill>
              </w:rPr>
            </w:pPr>
            <w:r>
              <w:rPr>
                <w:rFonts w:hint="eastAsia" w:ascii="宋体" w:hAnsi="宋体" w:eastAsia="宋体" w:cs="宋体"/>
                <w:color w:val="000000" w:themeColor="text1"/>
                <w:spacing w:val="-6"/>
                <w:szCs w:val="21"/>
                <w14:textFill>
                  <w14:solidFill>
                    <w14:schemeClr w14:val="tx1"/>
                  </w14:solidFill>
                </w14:textFill>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color w:val="000000" w:themeColor="text1"/>
                <w:spacing w:val="-6"/>
                <w:szCs w:val="21"/>
                <w:lang w:val="en-US" w:eastAsia="zh-CN"/>
                <w14:textFill>
                  <w14:solidFill>
                    <w14:schemeClr w14:val="tx1"/>
                  </w14:solidFill>
                </w14:textFill>
              </w:rPr>
            </w:pPr>
            <w:r>
              <w:rPr>
                <w:rFonts w:hint="eastAsia" w:ascii="宋体" w:hAnsi="宋体" w:eastAsia="宋体" w:cs="宋体"/>
                <w:color w:val="000000" w:themeColor="text1"/>
                <w:spacing w:val="-6"/>
                <w:szCs w:val="21"/>
                <w14:textFill>
                  <w14:solidFill>
                    <w14:schemeClr w14:val="tx1"/>
                  </w14:solidFill>
                </w14:textFill>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color w:val="000000" w:themeColor="text1"/>
                <w:spacing w:val="-6"/>
                <w:szCs w:val="21"/>
                <w:lang w:val="en-US" w:eastAsia="zh-CN"/>
                <w14:textFill>
                  <w14:solidFill>
                    <w14:schemeClr w14:val="tx1"/>
                  </w14:solidFill>
                </w14:textFill>
              </w:rPr>
            </w:pPr>
            <w:r>
              <w:rPr>
                <w:rFonts w:hint="eastAsia" w:ascii="宋体" w:hAnsi="宋体" w:eastAsia="宋体" w:cs="宋体"/>
                <w:color w:val="000000" w:themeColor="text1"/>
                <w:spacing w:val="-6"/>
                <w:szCs w:val="21"/>
                <w:lang w:val="en-US" w:eastAsia="zh-CN"/>
                <w14:textFill>
                  <w14:solidFill>
                    <w14:schemeClr w14:val="tx1"/>
                  </w14:solidFill>
                </w14:textFill>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color w:val="000000" w:themeColor="text1"/>
                <w:spacing w:val="-6"/>
                <w:szCs w:val="21"/>
                <w:lang w:val="en-US" w:eastAsia="zh-CN"/>
                <w14:textFill>
                  <w14:solidFill>
                    <w14:schemeClr w14:val="tx1"/>
                  </w14:solidFill>
                </w14:textFill>
              </w:rPr>
            </w:pPr>
            <w:r>
              <w:rPr>
                <w:rFonts w:hint="eastAsia" w:ascii="宋体" w:hAnsi="宋体" w:eastAsia="宋体" w:cs="宋体"/>
                <w:color w:val="000000" w:themeColor="text1"/>
                <w:spacing w:val="-6"/>
                <w:szCs w:val="21"/>
                <w:lang w:val="en-US" w:eastAsia="zh-CN"/>
                <w14:textFill>
                  <w14:solidFill>
                    <w14:schemeClr w14:val="tx1"/>
                  </w14:solidFill>
                </w14:textFill>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continue"/>
            <w:tcBorders>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lang w:eastAsia="zh-CN"/>
              </w:rPr>
            </w:pPr>
            <w:r>
              <w:rPr>
                <w:rFonts w:hint="eastAsia" w:ascii="Arial"/>
                <w:color w:val="000000" w:themeColor="text1"/>
                <w:sz w:val="20"/>
                <w:lang w:eastAsia="zh-CN"/>
                <w14:textFill>
                  <w14:solidFill>
                    <w14:schemeClr w14:val="tx1"/>
                  </w14:solidFill>
                </w14:textFill>
              </w:rPr>
              <w:t>报送信息完成率</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default" w:ascii="宋体" w:hAnsi="宋体" w:eastAsia="宋体" w:cs="宋体"/>
                <w:color w:val="000000" w:themeColor="text1"/>
                <w:spacing w:val="-6"/>
                <w:szCs w:val="21"/>
                <w:lang w:val="en-US" w:eastAsia="zh-CN"/>
                <w14:textFill>
                  <w14:solidFill>
                    <w14:schemeClr w14:val="tx1"/>
                  </w14:solidFill>
                </w14:textFill>
              </w:rPr>
            </w:pPr>
            <w:r>
              <w:rPr>
                <w:rFonts w:hint="eastAsia" w:ascii="宋体" w:hAnsi="宋体" w:eastAsia="宋体" w:cs="宋体"/>
                <w:color w:val="000000" w:themeColor="text1"/>
                <w:spacing w:val="-6"/>
                <w:szCs w:val="21"/>
                <w14:textFill>
                  <w14:solidFill>
                    <w14:schemeClr w14:val="tx1"/>
                  </w14:solidFill>
                </w14:textFill>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default" w:ascii="宋体" w:hAnsi="宋体" w:eastAsia="宋体" w:cs="宋体"/>
                <w:color w:val="000000" w:themeColor="text1"/>
                <w:spacing w:val="-6"/>
                <w:szCs w:val="21"/>
                <w:lang w:val="en-US" w:eastAsia="zh-CN"/>
                <w14:textFill>
                  <w14:solidFill>
                    <w14:schemeClr w14:val="tx1"/>
                  </w14:solidFill>
                </w14:textFill>
              </w:rPr>
            </w:pPr>
            <w:r>
              <w:rPr>
                <w:rFonts w:hint="eastAsia" w:ascii="宋体" w:hAnsi="宋体" w:eastAsia="宋体" w:cs="宋体"/>
                <w:color w:val="000000" w:themeColor="text1"/>
                <w:spacing w:val="-6"/>
                <w:szCs w:val="21"/>
                <w14:textFill>
                  <w14:solidFill>
                    <w14:schemeClr w14:val="tx1"/>
                  </w14:solidFill>
                </w14:textFill>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color w:val="000000" w:themeColor="text1"/>
                <w:spacing w:val="-6"/>
                <w:szCs w:val="21"/>
                <w:lang w:val="en-US" w:eastAsia="zh-CN"/>
                <w14:textFill>
                  <w14:solidFill>
                    <w14:schemeClr w14:val="tx1"/>
                  </w14:solidFill>
                </w14:textFill>
              </w:rPr>
            </w:pPr>
            <w:r>
              <w:rPr>
                <w:rFonts w:hint="eastAsia" w:ascii="宋体" w:hAnsi="宋体" w:eastAsia="宋体" w:cs="宋体"/>
                <w:color w:val="000000" w:themeColor="text1"/>
                <w:spacing w:val="-6"/>
                <w:szCs w:val="21"/>
                <w14:textFill>
                  <w14:solidFill>
                    <w14:schemeClr w14:val="tx1"/>
                  </w14:solidFill>
                </w14:textFill>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color w:val="000000" w:themeColor="text1"/>
                <w:spacing w:val="-6"/>
                <w:szCs w:val="21"/>
                <w:lang w:val="en-US" w:eastAsia="zh-CN"/>
                <w14:textFill>
                  <w14:solidFill>
                    <w14:schemeClr w14:val="tx1"/>
                  </w14:solidFill>
                </w14:textFill>
              </w:rPr>
            </w:pPr>
            <w:r>
              <w:rPr>
                <w:rFonts w:hint="eastAsia" w:ascii="宋体" w:hAnsi="宋体" w:eastAsia="宋体" w:cs="宋体"/>
                <w:color w:val="000000" w:themeColor="text1"/>
                <w:spacing w:val="-6"/>
                <w:szCs w:val="21"/>
                <w14:textFill>
                  <w14:solidFill>
                    <w14:schemeClr w14:val="tx1"/>
                  </w14:solidFill>
                </w14:textFill>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时效指标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p>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完成时间</w:t>
            </w:r>
          </w:p>
          <w:p>
            <w:pPr>
              <w:spacing w:before="175" w:line="60" w:lineRule="exact"/>
              <w:ind w:left="452"/>
              <w:jc w:val="center"/>
              <w:rPr>
                <w:rFonts w:hint="eastAsia" w:ascii="宋体" w:hAnsi="宋体" w:eastAsia="宋体" w:cs="宋体"/>
                <w:sz w:val="19"/>
                <w:szCs w:val="19"/>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2023年度</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r>
              <w:rPr>
                <w:rFonts w:hint="eastAsia" w:ascii="宋体" w:hAnsi="宋体" w:eastAsia="宋体" w:cs="宋体"/>
                <w:sz w:val="20"/>
                <w:lang w:val="en-US" w:eastAsia="zh-CN"/>
              </w:rPr>
              <w:t>2023年度</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kern w:val="2"/>
                <w:sz w:val="19"/>
                <w:szCs w:val="19"/>
                <w:lang w:val="en-US" w:eastAsia="zh-CN" w:bidi="ar-SA"/>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spacing w:before="173" w:line="61" w:lineRule="exact"/>
              <w:ind w:firstLine="190" w:firstLineChars="100"/>
              <w:jc w:val="both"/>
              <w:rPr>
                <w:rFonts w:hint="eastAsia"/>
                <w:lang w:val="en-US" w:eastAsia="zh-CN"/>
              </w:rPr>
            </w:pPr>
            <w:r>
              <w:rPr>
                <w:rFonts w:hint="eastAsia" w:ascii="宋体" w:hAnsi="宋体" w:eastAsia="宋体" w:cs="宋体"/>
                <w:sz w:val="19"/>
                <w:szCs w:val="19"/>
                <w:lang w:val="en-US" w:eastAsia="zh-CN"/>
              </w:rPr>
              <w:t>成本指标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spacing w:before="173" w:line="61" w:lineRule="exact"/>
              <w:ind w:firstLine="190" w:firstLineChars="100"/>
              <w:jc w:val="both"/>
              <w:rPr>
                <w:rFonts w:hint="eastAsia" w:ascii="宋体" w:hAnsi="宋体" w:eastAsia="宋体" w:cs="宋体"/>
                <w:sz w:val="19"/>
                <w:szCs w:val="19"/>
                <w:lang w:eastAsia="zh-CN"/>
              </w:rPr>
            </w:pPr>
            <w:r>
              <w:rPr>
                <w:rFonts w:hint="eastAsia" w:ascii="宋体" w:hAnsi="宋体" w:eastAsia="宋体" w:cs="宋体"/>
                <w:sz w:val="19"/>
                <w:szCs w:val="19"/>
                <w:lang w:eastAsia="zh-CN"/>
              </w:rPr>
              <w:t>成本控制</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r>
              <w:rPr>
                <w:rFonts w:hint="eastAsia" w:ascii="宋体" w:hAnsi="宋体" w:eastAsia="宋体" w:cs="宋体"/>
                <w:sz w:val="20"/>
                <w:lang w:val="en-US" w:eastAsia="zh-CN"/>
              </w:rPr>
              <w:t>119.65</w:t>
            </w:r>
            <w:r>
              <w:rPr>
                <w:rFonts w:hint="eastAsia" w:ascii="宋体" w:hAnsi="宋体" w:eastAsia="宋体" w:cs="宋体"/>
                <w:spacing w:val="1"/>
                <w:sz w:val="19"/>
                <w:szCs w:val="19"/>
                <w:lang w:val="en-US" w:eastAsia="zh-CN"/>
              </w:rPr>
              <w:t>万元</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r>
              <w:rPr>
                <w:rFonts w:hint="eastAsia" w:ascii="宋体" w:hAnsi="宋体" w:eastAsia="宋体" w:cs="宋体"/>
                <w:sz w:val="20"/>
                <w:lang w:val="en-US" w:eastAsia="zh-CN"/>
              </w:rPr>
              <w:t>119.65</w:t>
            </w:r>
            <w:r>
              <w:rPr>
                <w:rFonts w:hint="eastAsia" w:ascii="宋体" w:hAnsi="宋体" w:eastAsia="宋体" w:cs="宋体"/>
                <w:spacing w:val="1"/>
                <w:sz w:val="19"/>
                <w:szCs w:val="19"/>
                <w:lang w:val="en-US" w:eastAsia="zh-CN"/>
              </w:rPr>
              <w:t>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297" w:type="dxa"/>
            <w:tcBorders>
              <w:top w:val="single" w:color="auto" w:sz="4" w:space="0"/>
              <w:left w:val="single" w:color="auto" w:sz="4" w:space="0"/>
              <w:bottom w:val="single" w:color="auto" w:sz="4" w:space="0"/>
              <w:right w:val="single" w:color="auto" w:sz="4" w:space="0"/>
            </w:tcBorders>
            <w:noWrap w:val="0"/>
            <w:vAlign w:val="center"/>
          </w:tcPr>
          <w:p>
            <w:pPr>
              <w:spacing w:before="154" w:line="240" w:lineRule="auto"/>
              <w:jc w:val="center"/>
              <w:rPr>
                <w:rFonts w:hint="eastAsia" w:ascii="宋体" w:hAnsi="宋体" w:eastAsia="宋体" w:cs="宋体"/>
                <w:sz w:val="19"/>
                <w:szCs w:val="19"/>
              </w:rPr>
            </w:pPr>
            <w:r>
              <w:rPr>
                <w:rFonts w:hint="eastAsia" w:ascii="宋体" w:hAnsi="宋体" w:eastAsia="宋体" w:cs="宋体"/>
                <w:spacing w:val="5"/>
                <w:sz w:val="19"/>
                <w:szCs w:val="19"/>
              </w:rPr>
              <w:t>经济效</w:t>
            </w:r>
            <w:r>
              <w:rPr>
                <w:rFonts w:hint="eastAsia" w:ascii="宋体" w:hAnsi="宋体" w:eastAsia="宋体" w:cs="宋体"/>
                <w:spacing w:val="3"/>
                <w:sz w:val="19"/>
                <w:szCs w:val="19"/>
              </w:rPr>
              <w:t>益指标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不适用</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不适用</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不适用</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lang w:val="en-US" w:eastAsia="en-US"/>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sz w:val="20"/>
                <w:lang w:val="en-US" w:eastAsia="en-US"/>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spacing w:before="153" w:line="233" w:lineRule="auto"/>
              <w:ind w:left="225"/>
              <w:jc w:val="center"/>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jc w:val="center"/>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2"/>
                <w:sz w:val="20"/>
                <w:szCs w:val="21"/>
                <w:lang w:val="en-US" w:eastAsia="zh-CN" w:bidi="ar-SA"/>
              </w:rPr>
            </w:pPr>
            <w:r>
              <w:rPr>
                <w:rFonts w:hint="eastAsia" w:ascii="Arial"/>
                <w:color w:val="000000" w:themeColor="text1"/>
                <w:sz w:val="20"/>
                <w14:textFill>
                  <w14:solidFill>
                    <w14:schemeClr w14:val="tx1"/>
                  </w14:solidFill>
                </w14:textFill>
              </w:rPr>
              <w:t>撰写</w:t>
            </w:r>
            <w:r>
              <w:rPr>
                <w:rFonts w:hint="eastAsia" w:ascii="宋体" w:hAnsi="宋体" w:eastAsia="宋体" w:cs="宋体"/>
                <w:sz w:val="19"/>
                <w:szCs w:val="19"/>
                <w:lang w:eastAsia="zh-CN"/>
              </w:rPr>
              <w:t>“走找想促”活动，围绕产业发展、财税保障、党的建设等方面材料</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2"/>
                <w:sz w:val="20"/>
                <w:szCs w:val="21"/>
                <w:lang w:val="en-US" w:eastAsia="zh-CN" w:bidi="ar-SA"/>
              </w:rPr>
            </w:pPr>
            <w:r>
              <w:rPr>
                <w:rFonts w:hint="eastAsia" w:ascii="宋体" w:hAnsi="宋体" w:eastAsia="宋体" w:cs="宋体"/>
                <w:color w:val="000000" w:themeColor="text1"/>
                <w:spacing w:val="-6"/>
                <w:szCs w:val="21"/>
                <w:lang w:eastAsia="zh-CN"/>
                <w14:textFill>
                  <w14:solidFill>
                    <w14:schemeClr w14:val="tx1"/>
                  </w14:solidFill>
                </w14:textFill>
              </w:rPr>
              <w:t>有所提升</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2"/>
                <w:sz w:val="20"/>
                <w:szCs w:val="21"/>
                <w:lang w:val="en-US" w:eastAsia="zh-CN" w:bidi="ar-SA"/>
              </w:rPr>
            </w:pPr>
            <w:r>
              <w:rPr>
                <w:rFonts w:hint="eastAsia" w:ascii="宋体" w:hAnsi="宋体" w:eastAsia="宋体" w:cs="宋体"/>
                <w:color w:val="000000" w:themeColor="text1"/>
                <w:spacing w:val="-6"/>
                <w:szCs w:val="21"/>
                <w:lang w:eastAsia="zh-CN"/>
                <w14:textFill>
                  <w14:solidFill>
                    <w14:schemeClr w14:val="tx1"/>
                  </w14:solidFill>
                </w14:textFill>
              </w:rPr>
              <w:t>有所提升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19</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84" w:type="dxa"/>
            <w:vMerge w:val="continue"/>
            <w:tcBorders>
              <w:top w:val="single" w:color="auto" w:sz="4" w:space="0"/>
              <w:left w:val="single" w:color="auto" w:sz="4" w:space="0"/>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spacing w:before="153" w:line="233" w:lineRule="auto"/>
              <w:jc w:val="center"/>
              <w:rPr>
                <w:rFonts w:hint="eastAsia" w:ascii="宋体" w:hAnsi="宋体" w:eastAsia="宋体" w:cs="宋体"/>
                <w:spacing w:val="6"/>
                <w:sz w:val="19"/>
                <w:szCs w:val="19"/>
              </w:rPr>
            </w:pPr>
            <w:r>
              <w:rPr>
                <w:rFonts w:hint="eastAsia" w:ascii="宋体" w:hAnsi="宋体" w:eastAsia="宋体" w:cs="宋体"/>
                <w:spacing w:val="6"/>
                <w:sz w:val="19"/>
                <w:szCs w:val="19"/>
              </w:rPr>
              <w:t>生态效益指标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不适用</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不适用</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不适用</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before="153" w:line="233" w:lineRule="auto"/>
              <w:ind w:left="225"/>
              <w:jc w:val="center"/>
              <w:rPr>
                <w:rFonts w:hint="eastAsia" w:ascii="宋体" w:hAnsi="宋体" w:eastAsia="宋体" w:cs="宋体"/>
                <w:spacing w:val="6"/>
                <w:sz w:val="19"/>
                <w:szCs w:val="19"/>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before="153" w:line="233" w:lineRule="auto"/>
              <w:ind w:left="225"/>
              <w:jc w:val="center"/>
              <w:rPr>
                <w:rFonts w:hint="eastAsia" w:ascii="宋体" w:hAnsi="宋体" w:eastAsia="宋体" w:cs="宋体"/>
                <w:spacing w:val="6"/>
                <w:sz w:val="19"/>
                <w:szCs w:val="19"/>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left w:val="single" w:color="auto" w:sz="4" w:space="0"/>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spacing w:before="207" w:line="230" w:lineRule="auto"/>
              <w:ind w:left="227" w:right="116" w:hanging="98"/>
              <w:jc w:val="center"/>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pacing w:val="6"/>
                <w:sz w:val="19"/>
                <w:szCs w:val="19"/>
                <w:lang w:val="en-US" w:eastAsia="en-US"/>
              </w:rPr>
            </w:pPr>
            <w:r>
              <w:rPr>
                <w:rFonts w:hint="eastAsia" w:ascii="Arial"/>
                <w:color w:val="000000" w:themeColor="text1"/>
                <w:sz w:val="21"/>
                <w:lang w:val="en-US" w:eastAsia="zh-CN"/>
                <w14:textFill>
                  <w14:solidFill>
                    <w14:schemeClr w14:val="tx1"/>
                  </w14:solidFill>
                </w14:textFill>
              </w:rPr>
              <w:t>不适用</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pacing w:val="6"/>
                <w:sz w:val="19"/>
                <w:szCs w:val="19"/>
                <w:lang w:val="en-US" w:eastAsia="en-US"/>
              </w:rPr>
            </w:pPr>
            <w:r>
              <w:rPr>
                <w:rFonts w:hint="eastAsia" w:ascii="Arial"/>
                <w:color w:val="000000" w:themeColor="text1"/>
                <w:sz w:val="21"/>
                <w:lang w:eastAsia="zh-CN"/>
                <w14:textFill>
                  <w14:solidFill>
                    <w14:schemeClr w14:val="tx1"/>
                  </w14:solidFill>
                </w14:textFill>
              </w:rPr>
              <w:t>不适用</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pacing w:val="6"/>
                <w:sz w:val="19"/>
                <w:szCs w:val="19"/>
                <w:lang w:val="en-US" w:eastAsia="en-US"/>
              </w:rPr>
            </w:pPr>
            <w:r>
              <w:rPr>
                <w:rFonts w:hint="eastAsia" w:ascii="Arial"/>
                <w:color w:val="000000" w:themeColor="text1"/>
                <w:sz w:val="21"/>
                <w:lang w:eastAsia="zh-CN"/>
                <w14:textFill>
                  <w14:solidFill>
                    <w14:schemeClr w14:val="tx1"/>
                  </w14:solidFill>
                </w14:textFill>
              </w:rPr>
              <w:t>不适用</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before="153" w:line="233" w:lineRule="auto"/>
              <w:jc w:val="center"/>
              <w:rPr>
                <w:rFonts w:hint="eastAsia" w:ascii="宋体" w:hAnsi="宋体" w:eastAsia="宋体" w:cs="宋体"/>
                <w:spacing w:val="6"/>
                <w:sz w:val="19"/>
                <w:szCs w:val="19"/>
                <w:lang w:val="en-US" w:eastAsia="en-US"/>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before="153" w:line="233" w:lineRule="auto"/>
              <w:jc w:val="center"/>
              <w:rPr>
                <w:rFonts w:hint="eastAsia" w:ascii="宋体" w:hAnsi="宋体" w:eastAsia="宋体" w:cs="宋体"/>
                <w:spacing w:val="6"/>
                <w:sz w:val="19"/>
                <w:szCs w:val="19"/>
                <w:lang w:val="en-US" w:eastAsia="en-US"/>
              </w:rPr>
            </w:pPr>
          </w:p>
        </w:tc>
        <w:tc>
          <w:tcPr>
            <w:tcW w:w="1450" w:type="dxa"/>
            <w:tcBorders>
              <w:top w:val="single" w:color="auto" w:sz="4" w:space="0"/>
              <w:left w:val="single" w:color="auto" w:sz="4" w:space="0"/>
              <w:bottom w:val="single" w:color="auto" w:sz="4" w:space="0"/>
              <w:right w:val="single" w:color="auto" w:sz="4" w:space="0"/>
            </w:tcBorders>
            <w:noWrap w:val="0"/>
            <w:vAlign w:val="top"/>
          </w:tcPr>
          <w:p>
            <w:pPr>
              <w:spacing w:before="153" w:line="233" w:lineRule="auto"/>
              <w:ind w:left="225"/>
              <w:jc w:val="both"/>
              <w:rPr>
                <w:rFonts w:hint="eastAsia" w:ascii="宋体" w:hAnsi="宋体" w:eastAsia="宋体" w:cs="宋体"/>
                <w:spacing w:val="6"/>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084" w:type="dxa"/>
            <w:vMerge w:val="continue"/>
            <w:tcBorders>
              <w:top w:val="nil"/>
              <w:left w:val="single" w:color="auto" w:sz="4" w:space="0"/>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297" w:type="dxa"/>
            <w:tcBorders>
              <w:top w:val="single" w:color="auto" w:sz="4" w:space="0"/>
              <w:left w:val="single" w:color="auto" w:sz="4" w:space="0"/>
              <w:bottom w:val="single" w:color="auto" w:sz="4" w:space="0"/>
              <w:right w:val="single" w:color="auto" w:sz="4" w:space="0"/>
            </w:tcBorders>
            <w:noWrap w:val="0"/>
            <w:vAlign w:val="top"/>
          </w:tcPr>
          <w:p>
            <w:pPr>
              <w:spacing w:before="207" w:line="230" w:lineRule="auto"/>
              <w:ind w:left="227" w:right="116" w:hanging="98"/>
              <w:jc w:val="center"/>
              <w:rPr>
                <w:rFonts w:hint="eastAsia" w:ascii="宋体" w:hAnsi="宋体" w:cs="宋体"/>
                <w:sz w:val="19"/>
                <w:szCs w:val="19"/>
                <w:lang w:eastAsia="zh-CN"/>
              </w:rPr>
            </w:pPr>
            <w:r>
              <w:rPr>
                <w:rFonts w:hint="eastAsia" w:ascii="宋体" w:hAnsi="宋体" w:cs="宋体"/>
                <w:sz w:val="19"/>
                <w:szCs w:val="19"/>
                <w:lang w:eastAsia="zh-CN"/>
              </w:rPr>
              <w:t>服务对象满意度指标</w:t>
            </w: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before="207" w:line="230" w:lineRule="auto"/>
              <w:ind w:left="227" w:right="116" w:hanging="98"/>
              <w:jc w:val="center"/>
              <w:rPr>
                <w:rFonts w:hint="eastAsia" w:ascii="宋体" w:hAnsi="宋体" w:cs="宋体"/>
                <w:sz w:val="19"/>
                <w:szCs w:val="19"/>
                <w:lang w:val="en-US" w:eastAsia="en-US"/>
              </w:rPr>
            </w:pPr>
            <w:r>
              <w:rPr>
                <w:rFonts w:hint="eastAsia" w:ascii="宋体" w:hAnsi="宋体" w:cs="宋体"/>
                <w:sz w:val="19"/>
                <w:szCs w:val="19"/>
                <w:lang w:eastAsia="zh-CN"/>
              </w:rPr>
              <w:t>社会公众满意 度</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before="207" w:line="230" w:lineRule="auto"/>
              <w:ind w:right="116"/>
              <w:jc w:val="center"/>
              <w:rPr>
                <w:rFonts w:hint="eastAsia" w:ascii="宋体" w:hAnsi="宋体" w:cs="宋体"/>
                <w:sz w:val="19"/>
                <w:szCs w:val="19"/>
                <w:lang w:val="en-US" w:eastAsia="en-US"/>
              </w:rPr>
            </w:pPr>
            <w:r>
              <w:rPr>
                <w:rFonts w:hint="eastAsia" w:ascii="宋体" w:hAnsi="宋体" w:cs="宋体"/>
                <w:sz w:val="19"/>
                <w:szCs w:val="19"/>
                <w:lang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before="207" w:line="230" w:lineRule="auto"/>
              <w:ind w:right="116"/>
              <w:jc w:val="center"/>
              <w:rPr>
                <w:rFonts w:hint="eastAsia" w:ascii="宋体" w:hAnsi="宋体" w:cs="宋体"/>
                <w:sz w:val="19"/>
                <w:szCs w:val="19"/>
                <w:lang w:val="en-US" w:eastAsia="en-US"/>
              </w:rPr>
            </w:pPr>
            <w:r>
              <w:rPr>
                <w:rFonts w:hint="eastAsia" w:ascii="宋体" w:hAnsi="宋体" w:eastAsia="宋体" w:cs="宋体"/>
                <w:color w:val="000000" w:themeColor="text1"/>
                <w:spacing w:val="-6"/>
                <w:szCs w:val="21"/>
                <w14:textFill>
                  <w14:solidFill>
                    <w14:schemeClr w14:val="tx1"/>
                  </w14:solidFill>
                </w14:textFill>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before="207" w:line="230" w:lineRule="auto"/>
              <w:ind w:right="116"/>
              <w:jc w:val="center"/>
              <w:rPr>
                <w:rFonts w:hint="eastAsia" w:ascii="宋体" w:hAnsi="宋体" w:cs="宋体"/>
                <w:sz w:val="19"/>
                <w:szCs w:val="19"/>
                <w:lang w:val="en-US" w:eastAsia="en-US"/>
              </w:rPr>
            </w:pPr>
            <w:r>
              <w:rPr>
                <w:rFonts w:hint="eastAsia" w:ascii="宋体" w:hAnsi="宋体" w:cs="宋体"/>
                <w:sz w:val="19"/>
                <w:szCs w:val="19"/>
                <w:lang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before="207" w:line="230" w:lineRule="auto"/>
              <w:ind w:right="116"/>
              <w:jc w:val="center"/>
              <w:rPr>
                <w:rFonts w:hint="default" w:ascii="宋体" w:hAnsi="宋体" w:cs="宋体"/>
                <w:sz w:val="19"/>
                <w:szCs w:val="19"/>
                <w:lang w:val="en-US" w:eastAsia="en-US"/>
              </w:rPr>
            </w:pPr>
            <w:r>
              <w:rPr>
                <w:rFonts w:hint="eastAsia" w:ascii="宋体" w:hAnsi="宋体" w:cs="宋体"/>
                <w:sz w:val="19"/>
                <w:szCs w:val="19"/>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pPr>
              <w:spacing w:before="207" w:line="230" w:lineRule="auto"/>
              <w:ind w:left="227" w:right="116" w:hanging="98"/>
              <w:jc w:val="center"/>
              <w:rPr>
                <w:rFonts w:hint="eastAsia" w:ascii="宋体" w:hAnsi="宋体" w:cs="宋体"/>
                <w:sz w:val="19"/>
                <w:szCs w:val="19"/>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before="75" w:line="195" w:lineRule="auto"/>
              <w:ind w:left="230"/>
              <w:jc w:val="both"/>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771"/>
        <w:gridCol w:w="932"/>
        <w:gridCol w:w="1296"/>
        <w:gridCol w:w="729"/>
        <w:gridCol w:w="857"/>
        <w:gridCol w:w="11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8"/>
              <w:spacing w:line="239"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业务工作经费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737" w:type="dxa"/>
            <w:gridSpan w:val="4"/>
            <w:noWrap w:val="0"/>
            <w:vAlign w:val="top"/>
          </w:tcPr>
          <w:p>
            <w:pPr>
              <w:pStyle w:val="8"/>
              <w:jc w:val="center"/>
              <w:rPr>
                <w:rFonts w:hint="eastAsia" w:ascii="宋体" w:hAnsi="宋体" w:eastAsia="宋体" w:cs="宋体"/>
                <w:lang w:eastAsia="zh-CN"/>
              </w:rPr>
            </w:pPr>
            <w:r>
              <w:rPr>
                <w:rFonts w:hint="eastAsia" w:ascii="宋体" w:hAnsi="宋体" w:eastAsia="宋体" w:cs="宋体"/>
                <w:color w:val="000000"/>
                <w:spacing w:val="-2"/>
                <w:sz w:val="20"/>
                <w:szCs w:val="20"/>
              </w:rPr>
              <w:t>中共岳阳市岳阳楼区委</w:t>
            </w:r>
            <w:r>
              <w:rPr>
                <w:rFonts w:hint="eastAsia" w:ascii="宋体" w:hAnsi="宋体" w:eastAsia="宋体" w:cs="宋体"/>
                <w:color w:val="000000"/>
                <w:spacing w:val="-2"/>
                <w:sz w:val="20"/>
                <w:szCs w:val="20"/>
                <w:lang w:eastAsia="zh-CN"/>
              </w:rPr>
              <w:t>员会</w:t>
            </w:r>
          </w:p>
        </w:tc>
        <w:tc>
          <w:tcPr>
            <w:tcW w:w="1296"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738" w:type="dxa"/>
            <w:gridSpan w:val="3"/>
            <w:noWrap w:val="0"/>
            <w:vAlign w:val="top"/>
          </w:tcPr>
          <w:p>
            <w:pPr>
              <w:pStyle w:val="8"/>
              <w:jc w:val="center"/>
              <w:rPr>
                <w:rFonts w:hint="eastAsia" w:ascii="宋体" w:hAnsi="宋体" w:eastAsia="宋体" w:cs="宋体"/>
              </w:rPr>
            </w:pPr>
            <w:r>
              <w:rPr>
                <w:rFonts w:hint="eastAsia" w:ascii="宋体" w:hAnsi="宋体" w:eastAsia="宋体" w:cs="宋体"/>
                <w:color w:val="000000"/>
                <w:spacing w:val="-2"/>
                <w:sz w:val="20"/>
                <w:szCs w:val="20"/>
              </w:rPr>
              <w:t>中共岳阳市岳阳楼区委政策研究中心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8"/>
              <w:rPr>
                <w:rFonts w:hint="eastAsia" w:ascii="宋体" w:hAnsi="宋体" w:eastAsia="宋体" w:cs="宋体"/>
              </w:rPr>
            </w:pPr>
          </w:p>
        </w:tc>
        <w:tc>
          <w:tcPr>
            <w:tcW w:w="1771"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932"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96"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29"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57"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15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771" w:type="dxa"/>
            <w:noWrap w:val="0"/>
            <w:vAlign w:val="center"/>
          </w:tcPr>
          <w:p>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17.00</w:t>
            </w:r>
          </w:p>
        </w:tc>
        <w:tc>
          <w:tcPr>
            <w:tcW w:w="932" w:type="dxa"/>
            <w:noWrap w:val="0"/>
            <w:vAlign w:val="center"/>
          </w:tcPr>
          <w:p>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21.75</w:t>
            </w:r>
          </w:p>
        </w:tc>
        <w:tc>
          <w:tcPr>
            <w:tcW w:w="1296" w:type="dxa"/>
            <w:noWrap w:val="0"/>
            <w:vAlign w:val="center"/>
          </w:tcPr>
          <w:p>
            <w:pPr>
              <w:pStyle w:val="8"/>
              <w:jc w:val="center"/>
              <w:rPr>
                <w:rFonts w:hint="default" w:ascii="宋体" w:hAnsi="宋体" w:eastAsia="宋体" w:cs="宋体"/>
                <w:lang w:val="en-US"/>
              </w:rPr>
            </w:pPr>
            <w:r>
              <w:rPr>
                <w:rFonts w:hint="eastAsia" w:ascii="宋体" w:hAnsi="宋体" w:eastAsia="宋体" w:cs="宋体"/>
                <w:color w:val="000000"/>
                <w:sz w:val="21"/>
                <w:lang w:val="en-US" w:eastAsia="zh-CN"/>
              </w:rPr>
              <w:t>21.75</w:t>
            </w:r>
          </w:p>
        </w:tc>
        <w:tc>
          <w:tcPr>
            <w:tcW w:w="729" w:type="dxa"/>
            <w:noWrap w:val="0"/>
            <w:vAlign w:val="center"/>
          </w:tcPr>
          <w:p>
            <w:pPr>
              <w:spacing w:before="64" w:line="195" w:lineRule="auto"/>
              <w:ind w:left="331"/>
              <w:jc w:val="both"/>
              <w:rPr>
                <w:rFonts w:hint="eastAsia" w:ascii="宋体" w:hAnsi="宋体" w:eastAsia="宋体" w:cs="宋体"/>
                <w:sz w:val="19"/>
                <w:szCs w:val="19"/>
              </w:rPr>
            </w:pPr>
            <w:r>
              <w:rPr>
                <w:rFonts w:hint="eastAsia" w:ascii="宋体" w:hAnsi="宋体" w:eastAsia="宋体" w:cs="宋体"/>
                <w:spacing w:val="-8"/>
                <w:sz w:val="19"/>
                <w:szCs w:val="19"/>
              </w:rPr>
              <w:t>10</w:t>
            </w:r>
          </w:p>
        </w:tc>
        <w:tc>
          <w:tcPr>
            <w:tcW w:w="857"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152"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771" w:type="dxa"/>
            <w:noWrap w:val="0"/>
            <w:vAlign w:val="center"/>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17.00</w:t>
            </w:r>
          </w:p>
        </w:tc>
        <w:tc>
          <w:tcPr>
            <w:tcW w:w="932" w:type="dxa"/>
            <w:noWrap w:val="0"/>
            <w:vAlign w:val="center"/>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21.75</w:t>
            </w:r>
          </w:p>
        </w:tc>
        <w:tc>
          <w:tcPr>
            <w:tcW w:w="1296" w:type="dxa"/>
            <w:noWrap w:val="0"/>
            <w:vAlign w:val="center"/>
          </w:tcPr>
          <w:p>
            <w:pPr>
              <w:pStyle w:val="8"/>
              <w:jc w:val="center"/>
              <w:rPr>
                <w:rFonts w:hint="eastAsia" w:ascii="宋体" w:hAnsi="宋体" w:eastAsia="宋体" w:cs="宋体"/>
                <w:kern w:val="2"/>
                <w:sz w:val="21"/>
                <w:szCs w:val="21"/>
                <w:lang w:val="en-US" w:eastAsia="en-US" w:bidi="ar-SA"/>
              </w:rPr>
            </w:pPr>
            <w:r>
              <w:rPr>
                <w:rFonts w:hint="eastAsia" w:ascii="宋体" w:hAnsi="宋体" w:eastAsia="宋体" w:cs="宋体"/>
                <w:color w:val="000000"/>
                <w:sz w:val="21"/>
                <w:lang w:val="en-US" w:eastAsia="zh-CN"/>
              </w:rPr>
              <w:t>21.75</w:t>
            </w:r>
          </w:p>
        </w:tc>
        <w:tc>
          <w:tcPr>
            <w:tcW w:w="729" w:type="dxa"/>
            <w:noWrap w:val="0"/>
            <w:vAlign w:val="top"/>
          </w:tcPr>
          <w:p>
            <w:pPr>
              <w:pStyle w:val="8"/>
              <w:rPr>
                <w:rFonts w:hint="eastAsia" w:ascii="宋体" w:hAnsi="宋体" w:eastAsia="宋体" w:cs="宋体"/>
              </w:rPr>
            </w:pPr>
          </w:p>
        </w:tc>
        <w:tc>
          <w:tcPr>
            <w:tcW w:w="857" w:type="dxa"/>
            <w:noWrap w:val="0"/>
            <w:vAlign w:val="top"/>
          </w:tcPr>
          <w:p>
            <w:pPr>
              <w:pStyle w:val="8"/>
              <w:rPr>
                <w:rFonts w:hint="eastAsia" w:ascii="宋体" w:hAnsi="宋体" w:eastAsia="宋体" w:cs="宋体"/>
              </w:rPr>
            </w:pPr>
          </w:p>
        </w:tc>
        <w:tc>
          <w:tcPr>
            <w:tcW w:w="115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771" w:type="dxa"/>
            <w:noWrap w:val="0"/>
            <w:vAlign w:val="top"/>
          </w:tcPr>
          <w:p>
            <w:pPr>
              <w:pStyle w:val="8"/>
              <w:rPr>
                <w:rFonts w:hint="eastAsia" w:ascii="宋体" w:hAnsi="宋体" w:eastAsia="宋体" w:cs="宋体"/>
              </w:rPr>
            </w:pPr>
          </w:p>
        </w:tc>
        <w:tc>
          <w:tcPr>
            <w:tcW w:w="932" w:type="dxa"/>
            <w:noWrap w:val="0"/>
            <w:vAlign w:val="top"/>
          </w:tcPr>
          <w:p>
            <w:pPr>
              <w:pStyle w:val="8"/>
              <w:rPr>
                <w:rFonts w:hint="eastAsia" w:ascii="宋体" w:hAnsi="宋体" w:eastAsia="宋体" w:cs="宋体"/>
              </w:rPr>
            </w:pPr>
          </w:p>
        </w:tc>
        <w:tc>
          <w:tcPr>
            <w:tcW w:w="1296" w:type="dxa"/>
            <w:noWrap w:val="0"/>
            <w:vAlign w:val="top"/>
          </w:tcPr>
          <w:p>
            <w:pPr>
              <w:pStyle w:val="8"/>
              <w:rPr>
                <w:rFonts w:hint="eastAsia" w:ascii="宋体" w:hAnsi="宋体" w:eastAsia="宋体" w:cs="宋体"/>
              </w:rPr>
            </w:pPr>
          </w:p>
        </w:tc>
        <w:tc>
          <w:tcPr>
            <w:tcW w:w="729" w:type="dxa"/>
            <w:noWrap w:val="0"/>
            <w:vAlign w:val="top"/>
          </w:tcPr>
          <w:p>
            <w:pPr>
              <w:pStyle w:val="8"/>
              <w:rPr>
                <w:rFonts w:hint="eastAsia" w:ascii="宋体" w:hAnsi="宋体" w:eastAsia="宋体" w:cs="宋体"/>
              </w:rPr>
            </w:pPr>
          </w:p>
        </w:tc>
        <w:tc>
          <w:tcPr>
            <w:tcW w:w="857" w:type="dxa"/>
            <w:noWrap w:val="0"/>
            <w:vAlign w:val="top"/>
          </w:tcPr>
          <w:p>
            <w:pPr>
              <w:pStyle w:val="8"/>
              <w:rPr>
                <w:rFonts w:hint="eastAsia" w:ascii="宋体" w:hAnsi="宋体" w:eastAsia="宋体" w:cs="宋体"/>
              </w:rPr>
            </w:pPr>
          </w:p>
        </w:tc>
        <w:tc>
          <w:tcPr>
            <w:tcW w:w="115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771" w:type="dxa"/>
            <w:noWrap w:val="0"/>
            <w:vAlign w:val="top"/>
          </w:tcPr>
          <w:p>
            <w:pPr>
              <w:pStyle w:val="8"/>
              <w:rPr>
                <w:rFonts w:hint="eastAsia" w:ascii="宋体" w:hAnsi="宋体" w:eastAsia="宋体" w:cs="宋体"/>
              </w:rPr>
            </w:pPr>
          </w:p>
        </w:tc>
        <w:tc>
          <w:tcPr>
            <w:tcW w:w="932" w:type="dxa"/>
            <w:noWrap w:val="0"/>
            <w:vAlign w:val="top"/>
          </w:tcPr>
          <w:p>
            <w:pPr>
              <w:pStyle w:val="8"/>
              <w:rPr>
                <w:rFonts w:hint="eastAsia" w:ascii="宋体" w:hAnsi="宋体" w:eastAsia="宋体" w:cs="宋体"/>
              </w:rPr>
            </w:pPr>
          </w:p>
        </w:tc>
        <w:tc>
          <w:tcPr>
            <w:tcW w:w="1296" w:type="dxa"/>
            <w:noWrap w:val="0"/>
            <w:vAlign w:val="top"/>
          </w:tcPr>
          <w:p>
            <w:pPr>
              <w:pStyle w:val="8"/>
              <w:rPr>
                <w:rFonts w:hint="eastAsia" w:ascii="宋体" w:hAnsi="宋体" w:eastAsia="宋体" w:cs="宋体"/>
              </w:rPr>
            </w:pPr>
          </w:p>
        </w:tc>
        <w:tc>
          <w:tcPr>
            <w:tcW w:w="729" w:type="dxa"/>
            <w:noWrap w:val="0"/>
            <w:vAlign w:val="top"/>
          </w:tcPr>
          <w:p>
            <w:pPr>
              <w:pStyle w:val="8"/>
              <w:rPr>
                <w:rFonts w:hint="eastAsia" w:ascii="宋体" w:hAnsi="宋体" w:eastAsia="宋体" w:cs="宋体"/>
              </w:rPr>
            </w:pPr>
          </w:p>
        </w:tc>
        <w:tc>
          <w:tcPr>
            <w:tcW w:w="857" w:type="dxa"/>
            <w:noWrap w:val="0"/>
            <w:vAlign w:val="top"/>
          </w:tcPr>
          <w:p>
            <w:pPr>
              <w:pStyle w:val="8"/>
              <w:rPr>
                <w:rFonts w:hint="eastAsia" w:ascii="宋体" w:hAnsi="宋体" w:eastAsia="宋体" w:cs="宋体"/>
              </w:rPr>
            </w:pPr>
          </w:p>
        </w:tc>
        <w:tc>
          <w:tcPr>
            <w:tcW w:w="115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737"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034"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737" w:type="dxa"/>
            <w:gridSpan w:val="4"/>
            <w:noWrap w:val="0"/>
            <w:vAlign w:val="top"/>
          </w:tcPr>
          <w:p>
            <w:pPr>
              <w:pStyle w:val="8"/>
              <w:numPr>
                <w:ilvl w:val="0"/>
                <w:numId w:val="0"/>
              </w:numPr>
              <w:jc w:val="left"/>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1.强化理论武装，扎实筑牢信仰根基。</w:t>
            </w:r>
          </w:p>
          <w:p>
            <w:pPr>
              <w:pStyle w:val="8"/>
              <w:numPr>
                <w:ilvl w:val="0"/>
                <w:numId w:val="0"/>
              </w:numPr>
              <w:jc w:val="left"/>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2.做好以文辅政，全力打造精品文稿。</w:t>
            </w:r>
          </w:p>
          <w:p>
            <w:pPr>
              <w:pStyle w:val="8"/>
              <w:numPr>
                <w:ilvl w:val="0"/>
                <w:numId w:val="0"/>
              </w:numPr>
              <w:jc w:val="left"/>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3.服务中心大局，着力当好参谋助手。</w:t>
            </w:r>
          </w:p>
          <w:p>
            <w:pPr>
              <w:pStyle w:val="8"/>
              <w:numPr>
                <w:ilvl w:val="0"/>
                <w:numId w:val="0"/>
              </w:numPr>
              <w:jc w:val="left"/>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4.抓实党委信息，及时上报社情民意。</w:t>
            </w:r>
          </w:p>
          <w:p>
            <w:pPr>
              <w:pStyle w:val="8"/>
              <w:numPr>
                <w:ilvl w:val="0"/>
                <w:numId w:val="0"/>
              </w:numPr>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19"/>
                <w:szCs w:val="19"/>
                <w:lang w:val="en-US" w:eastAsia="zh-CN" w:bidi="ar-SA"/>
              </w:rPr>
              <w:t>5.突出严管厚爱，锻造过硬干部队伍。</w:t>
            </w:r>
          </w:p>
        </w:tc>
        <w:tc>
          <w:tcPr>
            <w:tcW w:w="4034" w:type="dxa"/>
            <w:gridSpan w:val="4"/>
            <w:noWrap w:val="0"/>
            <w:vAlign w:val="top"/>
          </w:tcPr>
          <w:p>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全面贯彻落实党的二十大精神和习近平新时代中国特色社会主义思想，全面</w:t>
            </w:r>
            <w:r>
              <w:rPr>
                <w:rFonts w:hint="default" w:ascii="宋体" w:hAnsi="宋体" w:eastAsia="宋体" w:cs="宋体"/>
                <w:spacing w:val="5"/>
                <w:kern w:val="2"/>
                <w:sz w:val="19"/>
                <w:szCs w:val="19"/>
                <w:lang w:val="en-US" w:eastAsia="zh-CN" w:bidi="ar-SA"/>
              </w:rPr>
              <w:t>深入学习</w:t>
            </w:r>
            <w:r>
              <w:rPr>
                <w:rFonts w:hint="eastAsia" w:ascii="宋体" w:hAnsi="宋体" w:eastAsia="宋体" w:cs="宋体"/>
                <w:spacing w:val="5"/>
                <w:kern w:val="2"/>
                <w:sz w:val="19"/>
                <w:szCs w:val="19"/>
                <w:lang w:val="en-US" w:eastAsia="zh-CN" w:bidi="ar-SA"/>
              </w:rPr>
              <w:t>新理论、</w:t>
            </w:r>
            <w:r>
              <w:rPr>
                <w:rFonts w:hint="default" w:ascii="宋体" w:hAnsi="宋体" w:eastAsia="宋体" w:cs="宋体"/>
                <w:spacing w:val="5"/>
                <w:kern w:val="2"/>
                <w:sz w:val="19"/>
                <w:szCs w:val="19"/>
                <w:lang w:val="en-US" w:eastAsia="zh-CN" w:bidi="ar-SA"/>
              </w:rPr>
              <w:t>新思想、新精神</w:t>
            </w:r>
            <w:r>
              <w:rPr>
                <w:rFonts w:hint="eastAsia" w:ascii="宋体" w:hAnsi="宋体" w:eastAsia="宋体" w:cs="宋体"/>
                <w:spacing w:val="5"/>
                <w:kern w:val="2"/>
                <w:sz w:val="19"/>
                <w:szCs w:val="19"/>
                <w:lang w:val="en-US" w:eastAsia="zh-CN" w:bidi="ar-SA"/>
              </w:rPr>
              <w:t>，进一步</w:t>
            </w:r>
            <w:r>
              <w:rPr>
                <w:rFonts w:hint="default" w:ascii="宋体" w:hAnsi="宋体" w:eastAsia="宋体" w:cs="宋体"/>
                <w:spacing w:val="5"/>
                <w:kern w:val="2"/>
                <w:sz w:val="19"/>
                <w:szCs w:val="19"/>
                <w:lang w:val="en-US" w:eastAsia="zh-CN" w:bidi="ar-SA"/>
              </w:rPr>
              <w:t>强化理论指导实践</w:t>
            </w:r>
            <w:r>
              <w:rPr>
                <w:rFonts w:hint="eastAsia" w:ascii="宋体" w:hAnsi="宋体" w:eastAsia="宋体" w:cs="宋体"/>
                <w:spacing w:val="5"/>
                <w:kern w:val="2"/>
                <w:sz w:val="19"/>
                <w:szCs w:val="19"/>
                <w:lang w:val="en-US" w:eastAsia="zh-CN" w:bidi="ar-SA"/>
              </w:rPr>
              <w:t>，努力提高思想政治素质和业务工作能力自行制定学习计划，</w:t>
            </w:r>
            <w:r>
              <w:rPr>
                <w:rFonts w:hint="default" w:ascii="宋体" w:hAnsi="宋体" w:eastAsia="宋体" w:cs="宋体"/>
                <w:spacing w:val="5"/>
                <w:kern w:val="2"/>
                <w:sz w:val="19"/>
                <w:szCs w:val="19"/>
                <w:lang w:val="en-US" w:eastAsia="zh-CN" w:bidi="ar-SA"/>
              </w:rPr>
              <w:t>经常性开展自我检视，查找自身不足，</w:t>
            </w:r>
            <w:r>
              <w:rPr>
                <w:rFonts w:hint="eastAsia" w:ascii="宋体" w:hAnsi="宋体" w:eastAsia="宋体" w:cs="宋体"/>
                <w:spacing w:val="5"/>
                <w:kern w:val="2"/>
                <w:sz w:val="19"/>
                <w:szCs w:val="19"/>
                <w:lang w:val="en-US" w:eastAsia="zh-CN" w:bidi="ar-SA"/>
              </w:rPr>
              <w:t>进一步锤炼党性修养，夯实理论基础。</w:t>
            </w:r>
          </w:p>
          <w:p>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坚持“为楼区写好领导材料，为领导写好楼区材料”的理念，撰写区委主要领导讲话200余篇，认真总结各类综合报告7</w:t>
            </w:r>
            <w:r>
              <w:rPr>
                <w:rFonts w:hint="default" w:ascii="宋体" w:hAnsi="宋体" w:eastAsia="宋体" w:cs="宋体"/>
                <w:spacing w:val="5"/>
                <w:kern w:val="2"/>
                <w:sz w:val="19"/>
                <w:szCs w:val="19"/>
                <w:lang w:val="en-US" w:eastAsia="zh-CN" w:bidi="ar-SA"/>
              </w:rPr>
              <w:t>0</w:t>
            </w:r>
            <w:r>
              <w:rPr>
                <w:rFonts w:hint="eastAsia" w:ascii="宋体" w:hAnsi="宋体" w:eastAsia="宋体" w:cs="宋体"/>
                <w:spacing w:val="5"/>
                <w:kern w:val="2"/>
                <w:sz w:val="19"/>
                <w:szCs w:val="19"/>
                <w:lang w:val="en-US" w:eastAsia="zh-CN" w:bidi="ar-SA"/>
              </w:rPr>
              <w:t>余篇，撰写《践行新时代党的组织路线为推动岳阳楼区高质量发展提供坚强组织保证》《人民城市为人民 此心安处是吾乡》等理论文章6篇，其中在省级刊物《红星云》发表1篇，在《岳阳日报》《清廉岳阳》发表5篇。组织编辑《区委专刊》5期，有力推动了区委中心工作的部署落实；组织编辑会议纪要34篇，推动常委会部署的各项工作落实有章可循、有据可依。</w:t>
            </w:r>
          </w:p>
          <w:p>
            <w:pPr>
              <w:pStyle w:val="9"/>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结合主题教育大兴调查研究“走找想促”活动，围绕产业发展、财税保障、党的建设等方面开展决策参谋服务调研，深入洞庭在线、小龙城数字产业园、胥家桥综合物流园和中交智慧物流园等开展调研</w:t>
            </w:r>
            <w:r>
              <w:rPr>
                <w:rFonts w:hint="default" w:ascii="宋体" w:hAnsi="宋体" w:eastAsia="宋体" w:cs="宋体"/>
                <w:color w:val="auto"/>
                <w:spacing w:val="5"/>
                <w:kern w:val="2"/>
                <w:sz w:val="19"/>
                <w:szCs w:val="19"/>
                <w:lang w:val="en-US" w:eastAsia="zh-CN" w:bidi="ar-SA"/>
              </w:rPr>
              <w:t>10</w:t>
            </w:r>
            <w:r>
              <w:rPr>
                <w:rFonts w:hint="eastAsia" w:ascii="宋体" w:hAnsi="宋体" w:eastAsia="宋体" w:cs="宋体"/>
                <w:color w:val="auto"/>
                <w:spacing w:val="5"/>
                <w:kern w:val="2"/>
                <w:sz w:val="19"/>
                <w:szCs w:val="19"/>
                <w:lang w:val="en-US" w:eastAsia="zh-CN" w:bidi="ar-SA"/>
              </w:rPr>
              <w:t>余次。</w:t>
            </w:r>
          </w:p>
          <w:p>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紧紧围绕贯彻落实上级方针政策的意见和建议、干部群众关注的热点焦点问题，认真反映情况、报送信息，全力当好党委的“千里眼、顺风耳”。全年共往上级党委信息系统报送信息190多条，向上报送基层反映180多篇，被省市级领导刊物采用80多条。</w:t>
            </w:r>
          </w:p>
          <w:p>
            <w:pPr>
              <w:pStyle w:val="9"/>
              <w:rPr>
                <w:rFonts w:hint="eastAsia" w:ascii="宋体" w:hAnsi="宋体" w:eastAsia="宋体" w:cs="宋体"/>
                <w:kern w:val="2"/>
                <w:sz w:val="21"/>
                <w:szCs w:val="24"/>
                <w:lang w:val="en-US" w:eastAsia="zh-CN" w:bidi="ar-SA"/>
              </w:rPr>
            </w:pPr>
            <w:r>
              <w:rPr>
                <w:rFonts w:hint="eastAsia" w:ascii="宋体" w:hAnsi="宋体" w:eastAsia="宋体" w:cs="宋体"/>
                <w:color w:val="auto"/>
                <w:spacing w:val="5"/>
                <w:kern w:val="2"/>
                <w:sz w:val="19"/>
                <w:szCs w:val="19"/>
                <w:lang w:val="en-US" w:eastAsia="zh-CN" w:bidi="ar-SA"/>
              </w:rPr>
              <w:t>坚决落实中央八项规定精神，严格落实“三重一大”集体决策制度，班子成员带头改作风、转文风、办实事。严格落实意识形态工作责任制，坚决同</w:t>
            </w:r>
            <w:r>
              <w:rPr>
                <w:rFonts w:hint="default" w:ascii="宋体" w:hAnsi="宋体" w:eastAsia="宋体" w:cs="宋体"/>
                <w:color w:val="auto"/>
                <w:spacing w:val="5"/>
                <w:kern w:val="2"/>
                <w:sz w:val="19"/>
                <w:szCs w:val="19"/>
                <w:lang w:val="en-US" w:eastAsia="zh-CN" w:bidi="ar-SA"/>
              </w:rPr>
              <w:t>歪风邪气作斗争，</w:t>
            </w:r>
            <w:r>
              <w:rPr>
                <w:rFonts w:hint="eastAsia" w:ascii="宋体" w:hAnsi="宋体" w:eastAsia="宋体" w:cs="宋体"/>
                <w:color w:val="auto"/>
                <w:spacing w:val="5"/>
                <w:kern w:val="2"/>
                <w:sz w:val="19"/>
                <w:szCs w:val="19"/>
                <w:lang w:val="en-US" w:eastAsia="zh-CN" w:bidi="ar-SA"/>
              </w:rPr>
              <w:t>切实维护意识形态领域安全稳定。</w:t>
            </w:r>
            <w:r>
              <w:rPr>
                <w:rFonts w:hint="eastAsia" w:ascii="宋体" w:hAnsi="宋体" w:eastAsia="宋体" w:cs="宋体"/>
                <w:color w:val="auto"/>
                <w:spacing w:val="5"/>
                <w:kern w:val="2"/>
                <w:sz w:val="19"/>
                <w:szCs w:val="19"/>
                <w:lang w:val="zh-CN" w:eastAsia="zh-CN" w:bidi="ar-SA"/>
              </w:rPr>
              <w:t>坚持把严的基调、严的措施、严的氛围长期坚持下去，严格落实区委提出的</w:t>
            </w:r>
            <w:r>
              <w:rPr>
                <w:rFonts w:hint="default" w:ascii="宋体" w:hAnsi="宋体" w:eastAsia="宋体" w:cs="宋体"/>
                <w:color w:val="auto"/>
                <w:spacing w:val="5"/>
                <w:kern w:val="2"/>
                <w:sz w:val="19"/>
                <w:szCs w:val="19"/>
                <w:lang w:val="zh-CN" w:eastAsia="zh-CN" w:bidi="ar-SA"/>
              </w:rPr>
              <w:t>“</w:t>
            </w:r>
            <w:r>
              <w:rPr>
                <w:rFonts w:hint="eastAsia" w:ascii="宋体" w:hAnsi="宋体" w:eastAsia="宋体" w:cs="宋体"/>
                <w:color w:val="auto"/>
                <w:spacing w:val="5"/>
                <w:kern w:val="2"/>
                <w:sz w:val="19"/>
                <w:szCs w:val="19"/>
                <w:lang w:val="zh-CN" w:eastAsia="zh-CN" w:bidi="ar-SA"/>
              </w:rPr>
              <w:t>八个严禁</w:t>
            </w:r>
            <w:r>
              <w:rPr>
                <w:rFonts w:hint="default" w:ascii="宋体" w:hAnsi="宋体" w:eastAsia="宋体" w:cs="宋体"/>
                <w:color w:val="auto"/>
                <w:spacing w:val="5"/>
                <w:kern w:val="2"/>
                <w:sz w:val="19"/>
                <w:szCs w:val="19"/>
                <w:lang w:val="zh-CN" w:eastAsia="zh-CN" w:bidi="ar-SA"/>
              </w:rPr>
              <w:t>”“</w:t>
            </w:r>
            <w:r>
              <w:rPr>
                <w:rFonts w:hint="eastAsia" w:ascii="宋体" w:hAnsi="宋体" w:eastAsia="宋体" w:cs="宋体"/>
                <w:color w:val="auto"/>
                <w:spacing w:val="5"/>
                <w:kern w:val="2"/>
                <w:sz w:val="19"/>
                <w:szCs w:val="19"/>
                <w:lang w:val="zh-CN" w:eastAsia="zh-CN" w:bidi="ar-SA"/>
              </w:rPr>
              <w:t>三个严管</w:t>
            </w:r>
            <w:r>
              <w:rPr>
                <w:rFonts w:hint="default" w:ascii="宋体" w:hAnsi="宋体" w:eastAsia="宋体" w:cs="宋体"/>
                <w:color w:val="auto"/>
                <w:spacing w:val="5"/>
                <w:kern w:val="2"/>
                <w:sz w:val="19"/>
                <w:szCs w:val="19"/>
                <w:lang w:val="zh-CN" w:eastAsia="zh-CN" w:bidi="ar-SA"/>
              </w:rPr>
              <w:t>”“</w:t>
            </w:r>
            <w:r>
              <w:rPr>
                <w:rFonts w:hint="eastAsia" w:ascii="宋体" w:hAnsi="宋体" w:eastAsia="宋体" w:cs="宋体"/>
                <w:color w:val="auto"/>
                <w:spacing w:val="5"/>
                <w:kern w:val="2"/>
                <w:sz w:val="19"/>
                <w:szCs w:val="19"/>
                <w:lang w:val="zh-CN" w:eastAsia="zh-CN" w:bidi="ar-SA"/>
              </w:rPr>
              <w:t>九个严防</w:t>
            </w:r>
            <w:r>
              <w:rPr>
                <w:rFonts w:hint="default" w:ascii="宋体" w:hAnsi="宋体" w:eastAsia="宋体" w:cs="宋体"/>
                <w:color w:val="auto"/>
                <w:spacing w:val="5"/>
                <w:kern w:val="2"/>
                <w:sz w:val="19"/>
                <w:szCs w:val="19"/>
                <w:lang w:val="zh-CN" w:eastAsia="zh-CN" w:bidi="ar-SA"/>
              </w:rPr>
              <w:t>”</w:t>
            </w:r>
            <w:r>
              <w:rPr>
                <w:rFonts w:hint="eastAsia" w:ascii="宋体" w:hAnsi="宋体" w:eastAsia="宋体" w:cs="宋体"/>
                <w:color w:val="auto"/>
                <w:spacing w:val="5"/>
                <w:kern w:val="2"/>
                <w:sz w:val="19"/>
                <w:szCs w:val="19"/>
                <w:lang w:val="zh-CN" w:eastAsia="zh-CN" w:bidi="ar-SA"/>
              </w:rPr>
              <w:t>，持续推进“三不一体”建设，不断筑牢党员干部拒腐防变的思想防线。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pPr>
              <w:pStyle w:val="8"/>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leftChars="0" w:right="0" w:firstLine="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leftChars="0" w:right="0" w:firstLine="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leftChars="0" w:right="0" w:firstLine="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233"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年度</w:t>
            </w:r>
            <w:r>
              <w:rPr>
                <w:rFonts w:hint="eastAsia" w:ascii="宋体" w:hAnsi="宋体" w:eastAsia="宋体" w:cs="宋体"/>
                <w:spacing w:val="6"/>
                <w:sz w:val="19"/>
                <w:szCs w:val="19"/>
              </w:rPr>
              <w:t>指标值</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line="233"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z w:val="19"/>
                <w:szCs w:val="19"/>
              </w:rPr>
              <w:t>实际</w:t>
            </w:r>
            <w:r>
              <w:rPr>
                <w:rFonts w:hint="eastAsia" w:ascii="宋体" w:hAnsi="宋体" w:eastAsia="宋体" w:cs="宋体"/>
                <w:spacing w:val="3"/>
                <w:sz w:val="19"/>
                <w:szCs w:val="19"/>
              </w:rPr>
              <w:t>完成值</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27"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4"/>
                <w:sz w:val="19"/>
                <w:szCs w:val="19"/>
              </w:rPr>
              <w:t>分值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18" w:lineRule="auto"/>
              <w:ind w:left="0" w:right="0" w:firstLine="0"/>
              <w:jc w:val="center"/>
              <w:textAlignment w:val="auto"/>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产出指标</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(50分)</w:t>
            </w:r>
          </w:p>
        </w:tc>
        <w:tc>
          <w:tcPr>
            <w:tcW w:w="955" w:type="dxa"/>
            <w:vMerge w:val="restart"/>
            <w:tcBorders>
              <w:left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数量指标</w:t>
            </w:r>
          </w:p>
        </w:tc>
        <w:tc>
          <w:tcPr>
            <w:tcW w:w="177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撰写区委主要领导讲话</w:t>
            </w:r>
          </w:p>
        </w:tc>
        <w:tc>
          <w:tcPr>
            <w:tcW w:w="93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200篇</w:t>
            </w:r>
          </w:p>
        </w:tc>
        <w:tc>
          <w:tcPr>
            <w:tcW w:w="129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200篇</w:t>
            </w:r>
          </w:p>
        </w:tc>
        <w:tc>
          <w:tcPr>
            <w:tcW w:w="729"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85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1152" w:type="dxa"/>
            <w:noWrap w:val="0"/>
            <w:vAlign w:val="top"/>
          </w:tcPr>
          <w:p>
            <w:pPr>
              <w:pStyle w:val="8"/>
              <w:spacing w:line="23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continue"/>
            <w:tcBorders>
              <w:top w:val="nil"/>
              <w:left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177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认真总结各类综合报告</w:t>
            </w:r>
          </w:p>
        </w:tc>
        <w:tc>
          <w:tcPr>
            <w:tcW w:w="93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70篇</w:t>
            </w:r>
          </w:p>
        </w:tc>
        <w:tc>
          <w:tcPr>
            <w:tcW w:w="129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70篇</w:t>
            </w:r>
          </w:p>
        </w:tc>
        <w:tc>
          <w:tcPr>
            <w:tcW w:w="729"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85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1152" w:type="dxa"/>
            <w:noWrap w:val="0"/>
            <w:vAlign w:val="top"/>
          </w:tcPr>
          <w:p>
            <w:pPr>
              <w:pStyle w:val="8"/>
              <w:spacing w:line="23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continue"/>
            <w:tcBorders>
              <w:top w:val="nil"/>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按照区委领导指示和确定的课题，开展调查研究</w:t>
            </w:r>
          </w:p>
        </w:tc>
        <w:tc>
          <w:tcPr>
            <w:tcW w:w="93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10次</w:t>
            </w:r>
          </w:p>
        </w:tc>
        <w:tc>
          <w:tcPr>
            <w:tcW w:w="129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10次</w:t>
            </w:r>
          </w:p>
        </w:tc>
        <w:tc>
          <w:tcPr>
            <w:tcW w:w="729"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85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1152" w:type="dxa"/>
            <w:noWrap w:val="0"/>
            <w:vAlign w:val="top"/>
          </w:tcPr>
          <w:p>
            <w:pPr>
              <w:pStyle w:val="8"/>
              <w:spacing w:line="23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continue"/>
            <w:tcBorders>
              <w:top w:val="nil"/>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177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组织编辑会议纪要</w:t>
            </w:r>
          </w:p>
        </w:tc>
        <w:tc>
          <w:tcPr>
            <w:tcW w:w="93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34篇</w:t>
            </w:r>
          </w:p>
        </w:tc>
        <w:tc>
          <w:tcPr>
            <w:tcW w:w="129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34篇</w:t>
            </w:r>
          </w:p>
        </w:tc>
        <w:tc>
          <w:tcPr>
            <w:tcW w:w="729"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85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1152" w:type="dxa"/>
            <w:noWrap w:val="0"/>
            <w:vAlign w:val="top"/>
          </w:tcPr>
          <w:p>
            <w:pPr>
              <w:pStyle w:val="8"/>
              <w:spacing w:line="23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continue"/>
            <w:tcBorders>
              <w:top w:val="nil"/>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177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撰写刊登理论文章</w:t>
            </w:r>
          </w:p>
        </w:tc>
        <w:tc>
          <w:tcPr>
            <w:tcW w:w="93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6篇</w:t>
            </w:r>
          </w:p>
        </w:tc>
        <w:tc>
          <w:tcPr>
            <w:tcW w:w="129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6篇</w:t>
            </w:r>
          </w:p>
        </w:tc>
        <w:tc>
          <w:tcPr>
            <w:tcW w:w="729"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85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1152" w:type="dxa"/>
            <w:noWrap w:val="0"/>
            <w:vAlign w:val="top"/>
          </w:tcPr>
          <w:p>
            <w:pPr>
              <w:pStyle w:val="8"/>
              <w:spacing w:line="23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continue"/>
            <w:tcBorders>
              <w:top w:val="nil"/>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177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向省委、市委报送信息</w:t>
            </w:r>
          </w:p>
        </w:tc>
        <w:tc>
          <w:tcPr>
            <w:tcW w:w="93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190条</w:t>
            </w:r>
          </w:p>
        </w:tc>
        <w:tc>
          <w:tcPr>
            <w:tcW w:w="129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190条</w:t>
            </w:r>
          </w:p>
        </w:tc>
        <w:tc>
          <w:tcPr>
            <w:tcW w:w="729"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85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1152" w:type="dxa"/>
            <w:noWrap w:val="0"/>
            <w:vAlign w:val="top"/>
          </w:tcPr>
          <w:p>
            <w:pPr>
              <w:pStyle w:val="8"/>
              <w:spacing w:line="23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质量指标</w:t>
            </w:r>
          </w:p>
          <w:p>
            <w:pPr>
              <w:keepNext w:val="0"/>
              <w:keepLines w:val="0"/>
              <w:pageBreakBefore w:val="0"/>
              <w:widowControl w:val="0"/>
              <w:kinsoku/>
              <w:wordWrap/>
              <w:overflowPunct/>
              <w:topLinePunct w:val="0"/>
              <w:autoSpaceDE/>
              <w:autoSpaceDN/>
              <w:bidi w:val="0"/>
              <w:adjustRightInd/>
              <w:snapToGrid/>
              <w:spacing w:line="240" w:lineRule="auto"/>
              <w:ind w:left="0" w:right="175" w:hanging="196"/>
              <w:jc w:val="center"/>
              <w:textAlignment w:val="auto"/>
              <w:rPr>
                <w:rFonts w:hint="eastAsia" w:ascii="宋体" w:hAnsi="宋体" w:eastAsia="宋体" w:cs="宋体"/>
                <w:spacing w:val="7"/>
                <w:kern w:val="2"/>
                <w:sz w:val="19"/>
                <w:szCs w:val="19"/>
                <w:lang w:val="en-US" w:eastAsia="zh-CN" w:bidi="ar-SA"/>
              </w:rPr>
            </w:pPr>
          </w:p>
        </w:tc>
        <w:tc>
          <w:tcPr>
            <w:tcW w:w="177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撰写文稿材料</w:t>
            </w:r>
            <w:bookmarkStart w:id="0" w:name="_GoBack"/>
            <w:bookmarkEnd w:id="0"/>
            <w:r>
              <w:rPr>
                <w:rFonts w:hint="eastAsia" w:ascii="宋体" w:hAnsi="宋体" w:eastAsia="宋体" w:cs="宋体"/>
                <w:spacing w:val="7"/>
                <w:kern w:val="2"/>
                <w:sz w:val="19"/>
                <w:szCs w:val="19"/>
                <w:lang w:val="en-US" w:eastAsia="zh-CN" w:bidi="ar-SA"/>
              </w:rPr>
              <w:t>完成率</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100%</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100%</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en-US" w:bidi="ar-SA"/>
              </w:rPr>
            </w:pPr>
            <w:r>
              <w:rPr>
                <w:rFonts w:hint="eastAsia" w:ascii="宋体" w:hAnsi="宋体" w:eastAsia="宋体" w:cs="宋体"/>
                <w:spacing w:val="7"/>
                <w:kern w:val="2"/>
                <w:sz w:val="19"/>
                <w:szCs w:val="19"/>
                <w:lang w:val="en-US" w:eastAsia="zh-CN" w:bidi="ar-SA"/>
              </w:rPr>
              <w:t>5</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en-US" w:bidi="ar-SA"/>
              </w:rPr>
            </w:pPr>
            <w:r>
              <w:rPr>
                <w:rFonts w:hint="eastAsia" w:ascii="宋体" w:hAnsi="宋体" w:eastAsia="宋体" w:cs="宋体"/>
                <w:spacing w:val="7"/>
                <w:kern w:val="2"/>
                <w:sz w:val="19"/>
                <w:szCs w:val="19"/>
                <w:lang w:val="en-US" w:eastAsia="zh-CN" w:bidi="ar-SA"/>
              </w:rPr>
              <w:t>5</w:t>
            </w:r>
          </w:p>
        </w:tc>
        <w:tc>
          <w:tcPr>
            <w:tcW w:w="1152" w:type="dxa"/>
            <w:noWrap w:val="0"/>
            <w:vAlign w:val="top"/>
          </w:tcPr>
          <w:p>
            <w:pPr>
              <w:pStyle w:val="8"/>
              <w:spacing w:line="225" w:lineRule="exact"/>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175" w:hanging="196"/>
              <w:jc w:val="center"/>
              <w:textAlignment w:val="auto"/>
              <w:rPr>
                <w:rFonts w:hint="eastAsia" w:ascii="宋体" w:hAnsi="宋体" w:eastAsia="宋体" w:cs="宋体"/>
                <w:spacing w:val="7"/>
                <w:kern w:val="2"/>
                <w:sz w:val="19"/>
                <w:szCs w:val="19"/>
                <w:lang w:val="en-US" w:eastAsia="zh-CN" w:bidi="ar-SA"/>
              </w:rPr>
            </w:pPr>
          </w:p>
        </w:tc>
        <w:tc>
          <w:tcPr>
            <w:tcW w:w="177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开展调查研究完成率</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100%</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100%</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1152" w:type="dxa"/>
            <w:noWrap w:val="0"/>
            <w:vAlign w:val="top"/>
          </w:tcPr>
          <w:p>
            <w:pPr>
              <w:pStyle w:val="8"/>
              <w:spacing w:line="225" w:lineRule="exact"/>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175" w:hanging="196"/>
              <w:jc w:val="center"/>
              <w:textAlignment w:val="auto"/>
              <w:rPr>
                <w:rFonts w:hint="eastAsia" w:ascii="宋体" w:hAnsi="宋体" w:eastAsia="宋体" w:cs="宋体"/>
                <w:spacing w:val="7"/>
                <w:kern w:val="2"/>
                <w:sz w:val="19"/>
                <w:szCs w:val="19"/>
                <w:lang w:val="en-US" w:eastAsia="zh-CN" w:bidi="ar-SA"/>
              </w:rPr>
            </w:pPr>
          </w:p>
        </w:tc>
        <w:tc>
          <w:tcPr>
            <w:tcW w:w="177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报送信息完成率</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100%</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100%</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w:t>
            </w:r>
          </w:p>
        </w:tc>
        <w:tc>
          <w:tcPr>
            <w:tcW w:w="1152" w:type="dxa"/>
            <w:noWrap w:val="0"/>
            <w:vAlign w:val="top"/>
          </w:tcPr>
          <w:p>
            <w:pPr>
              <w:pStyle w:val="8"/>
              <w:spacing w:line="225" w:lineRule="exact"/>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时效指标</w:t>
            </w:r>
          </w:p>
        </w:tc>
        <w:tc>
          <w:tcPr>
            <w:tcW w:w="1771" w:type="dxa"/>
            <w:tcBorders>
              <w:lef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完成时间</w:t>
            </w:r>
          </w:p>
        </w:tc>
        <w:tc>
          <w:tcPr>
            <w:tcW w:w="93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2023年度</w:t>
            </w:r>
          </w:p>
        </w:tc>
        <w:tc>
          <w:tcPr>
            <w:tcW w:w="129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2023年度</w:t>
            </w:r>
          </w:p>
        </w:tc>
        <w:tc>
          <w:tcPr>
            <w:tcW w:w="729"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85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1152" w:type="dxa"/>
            <w:noWrap w:val="0"/>
            <w:vAlign w:val="center"/>
          </w:tcPr>
          <w:p>
            <w:pPr>
              <w:pStyle w:val="8"/>
              <w:spacing w:line="224" w:lineRule="exact"/>
              <w:jc w:val="center"/>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955"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成本指标</w:t>
            </w:r>
          </w:p>
          <w:p>
            <w:pPr>
              <w:keepNext w:val="0"/>
              <w:keepLines w:val="0"/>
              <w:pageBreakBefore w:val="0"/>
              <w:widowControl w:val="0"/>
              <w:kinsoku/>
              <w:wordWrap/>
              <w:overflowPunct/>
              <w:topLinePunct w:val="0"/>
              <w:autoSpaceDE/>
              <w:autoSpaceDN/>
              <w:bidi w:val="0"/>
              <w:adjustRightInd/>
              <w:snapToGrid/>
              <w:spacing w:line="240" w:lineRule="auto"/>
              <w:ind w:left="0" w:right="175" w:hanging="192"/>
              <w:jc w:val="center"/>
              <w:textAlignment w:val="auto"/>
              <w:rPr>
                <w:rFonts w:hint="eastAsia" w:ascii="宋体" w:hAnsi="宋体" w:eastAsia="宋体" w:cs="宋体"/>
                <w:spacing w:val="7"/>
                <w:kern w:val="2"/>
                <w:sz w:val="19"/>
                <w:szCs w:val="19"/>
                <w:lang w:val="en-US" w:eastAsia="zh-CN" w:bidi="ar-SA"/>
              </w:rPr>
            </w:pP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成本控制</w:t>
            </w:r>
          </w:p>
        </w:tc>
        <w:tc>
          <w:tcPr>
            <w:tcW w:w="93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21.75万元</w:t>
            </w:r>
          </w:p>
        </w:tc>
        <w:tc>
          <w:tcPr>
            <w:tcW w:w="129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21.75万元</w:t>
            </w:r>
          </w:p>
        </w:tc>
        <w:tc>
          <w:tcPr>
            <w:tcW w:w="729"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85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w:t>
            </w:r>
          </w:p>
        </w:tc>
        <w:tc>
          <w:tcPr>
            <w:tcW w:w="1152" w:type="dxa"/>
            <w:noWrap w:val="0"/>
            <w:vAlign w:val="center"/>
          </w:tcPr>
          <w:p>
            <w:pPr>
              <w:pStyle w:val="8"/>
              <w:spacing w:line="225" w:lineRule="exact"/>
              <w:jc w:val="center"/>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效益指标</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（30分）</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经济效益指标</w:t>
            </w:r>
          </w:p>
        </w:tc>
        <w:tc>
          <w:tcPr>
            <w:tcW w:w="177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不适用</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不适用</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不适用</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p>
        </w:tc>
        <w:tc>
          <w:tcPr>
            <w:tcW w:w="1152" w:type="dxa"/>
            <w:noWrap w:val="0"/>
            <w:vAlign w:val="center"/>
          </w:tcPr>
          <w:p>
            <w:pPr>
              <w:spacing w:before="154" w:line="240" w:lineRule="auto"/>
              <w:jc w:val="center"/>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社会效</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益指标</w:t>
            </w:r>
          </w:p>
          <w:p>
            <w:pPr>
              <w:keepNext w:val="0"/>
              <w:keepLines w:val="0"/>
              <w:pageBreakBefore w:val="0"/>
              <w:widowControl w:val="0"/>
              <w:kinsoku/>
              <w:wordWrap/>
              <w:overflowPunct/>
              <w:topLinePunct w:val="0"/>
              <w:autoSpaceDE/>
              <w:autoSpaceDN/>
              <w:bidi w:val="0"/>
              <w:adjustRightInd/>
              <w:snapToGrid/>
              <w:spacing w:line="240" w:lineRule="auto"/>
              <w:ind w:left="0" w:right="175" w:hanging="6"/>
              <w:jc w:val="center"/>
              <w:textAlignment w:val="auto"/>
              <w:rPr>
                <w:rFonts w:hint="eastAsia" w:ascii="宋体" w:hAnsi="宋体" w:eastAsia="宋体" w:cs="宋体"/>
                <w:spacing w:val="7"/>
                <w:kern w:val="2"/>
                <w:sz w:val="19"/>
                <w:szCs w:val="19"/>
                <w:lang w:val="en-US" w:eastAsia="zh-CN" w:bidi="ar-SA"/>
              </w:rPr>
            </w:pPr>
          </w:p>
        </w:tc>
        <w:tc>
          <w:tcPr>
            <w:tcW w:w="177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en-US" w:bidi="ar-SA"/>
              </w:rPr>
            </w:pPr>
            <w:r>
              <w:rPr>
                <w:rFonts w:hint="eastAsia" w:ascii="宋体" w:hAnsi="宋体" w:eastAsia="宋体" w:cs="宋体"/>
                <w:spacing w:val="7"/>
                <w:kern w:val="2"/>
                <w:sz w:val="19"/>
                <w:szCs w:val="19"/>
                <w:lang w:val="en-US" w:eastAsia="zh-CN" w:bidi="ar-SA"/>
              </w:rPr>
              <w:t>撰写“走找想促”活动，围绕产业发展、财税保障、党的建设等方面材料</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有所提升</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有所提升</w:t>
            </w:r>
          </w:p>
        </w:tc>
        <w:tc>
          <w:tcPr>
            <w:tcW w:w="729"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spacing w:val="7"/>
                <w:kern w:val="2"/>
                <w:sz w:val="19"/>
                <w:szCs w:val="19"/>
                <w:lang w:val="en-US" w:eastAsia="en-US" w:bidi="ar-SA"/>
              </w:rPr>
            </w:pPr>
            <w:r>
              <w:rPr>
                <w:rFonts w:hint="eastAsia" w:ascii="宋体" w:hAnsi="宋体" w:eastAsia="宋体" w:cs="宋体"/>
                <w:spacing w:val="7"/>
                <w:kern w:val="2"/>
                <w:sz w:val="19"/>
                <w:szCs w:val="19"/>
                <w:lang w:val="en-US" w:eastAsia="zh-CN" w:bidi="ar-SA"/>
              </w:rPr>
              <w:t>20</w:t>
            </w:r>
          </w:p>
        </w:tc>
        <w:tc>
          <w:tcPr>
            <w:tcW w:w="85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en-US" w:bidi="ar-SA"/>
              </w:rPr>
            </w:pPr>
            <w:r>
              <w:rPr>
                <w:rFonts w:hint="eastAsia" w:ascii="宋体" w:hAnsi="宋体" w:eastAsia="宋体" w:cs="宋体"/>
                <w:spacing w:val="7"/>
                <w:kern w:val="2"/>
                <w:sz w:val="19"/>
                <w:szCs w:val="19"/>
                <w:lang w:val="en-US" w:eastAsia="zh-CN" w:bidi="ar-SA"/>
              </w:rPr>
              <w:t>19</w:t>
            </w:r>
          </w:p>
        </w:tc>
        <w:tc>
          <w:tcPr>
            <w:tcW w:w="1152" w:type="dxa"/>
            <w:noWrap w:val="0"/>
            <w:vAlign w:val="top"/>
          </w:tcPr>
          <w:p>
            <w:pPr>
              <w:pStyle w:val="8"/>
              <w:spacing w:line="235" w:lineRule="exact"/>
              <w:rPr>
                <w:rFonts w:hint="eastAsia" w:ascii="宋体" w:hAnsi="宋体" w:eastAsia="宋体" w:cs="宋体"/>
                <w:spacing w:val="7"/>
                <w:kern w:val="2"/>
                <w:sz w:val="19"/>
                <w:szCs w:val="19"/>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生态效</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益指标</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177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不适用</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不适用</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不适用</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p>
        </w:tc>
        <w:tc>
          <w:tcPr>
            <w:tcW w:w="1152" w:type="dxa"/>
            <w:noWrap w:val="0"/>
            <w:vAlign w:val="center"/>
          </w:tcPr>
          <w:p>
            <w:pPr>
              <w:spacing w:before="26" w:line="213" w:lineRule="auto"/>
              <w:jc w:val="center"/>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可持续影响指标</w:t>
            </w:r>
          </w:p>
        </w:tc>
        <w:tc>
          <w:tcPr>
            <w:tcW w:w="177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不适用</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不适用</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不适用</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p>
        </w:tc>
        <w:tc>
          <w:tcPr>
            <w:tcW w:w="1152" w:type="dxa"/>
            <w:noWrap w:val="0"/>
            <w:vAlign w:val="top"/>
          </w:tcPr>
          <w:p>
            <w:pPr>
              <w:pStyle w:val="8"/>
              <w:spacing w:line="225" w:lineRule="exact"/>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pPr>
              <w:pStyle w:val="8"/>
              <w:rPr>
                <w:rFonts w:hint="eastAsia" w:ascii="宋体" w:hAnsi="宋体" w:eastAsia="宋体" w:cs="宋体"/>
              </w:rPr>
            </w:pPr>
          </w:p>
        </w:tc>
        <w:tc>
          <w:tcPr>
            <w:tcW w:w="107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满意度</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指标</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（10分）</w:t>
            </w:r>
          </w:p>
        </w:tc>
        <w:tc>
          <w:tcPr>
            <w:tcW w:w="95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服务对象</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满意度指</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标</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社会公众满意度</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≥95%</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≥95%</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default"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w:t>
            </w:r>
          </w:p>
        </w:tc>
        <w:tc>
          <w:tcPr>
            <w:tcW w:w="1152" w:type="dxa"/>
            <w:noWrap w:val="0"/>
            <w:vAlign w:val="top"/>
          </w:tcPr>
          <w:p>
            <w:pPr>
              <w:pStyle w:val="8"/>
              <w:spacing w:line="225" w:lineRule="exact"/>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11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29"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57" w:type="dxa"/>
            <w:noWrap w:val="0"/>
            <w:vAlign w:val="top"/>
          </w:tcPr>
          <w:p>
            <w:pPr>
              <w:pStyle w:val="8"/>
              <w:ind w:firstLine="210" w:firstLineChars="100"/>
              <w:rPr>
                <w:rFonts w:hint="default" w:ascii="宋体" w:hAnsi="宋体" w:eastAsia="宋体" w:cs="宋体"/>
                <w:lang w:val="en-US" w:eastAsia="zh-CN"/>
              </w:rPr>
            </w:pPr>
            <w:r>
              <w:rPr>
                <w:rFonts w:hint="eastAsia" w:ascii="宋体" w:hAnsi="宋体" w:eastAsia="宋体" w:cs="宋体"/>
                <w:lang w:val="en-US" w:eastAsia="zh-CN"/>
              </w:rPr>
              <w:t>99</w:t>
            </w:r>
          </w:p>
        </w:tc>
        <w:tc>
          <w:tcPr>
            <w:tcW w:w="1152" w:type="dxa"/>
            <w:noWrap w:val="0"/>
            <w:vAlign w:val="top"/>
          </w:tcPr>
          <w:p>
            <w:pPr>
              <w:pStyle w:val="8"/>
              <w:rPr>
                <w:rFonts w:hint="eastAsia" w:ascii="宋体" w:hAnsi="宋体" w:eastAsia="宋体" w:cs="宋体"/>
              </w:rPr>
            </w:pPr>
          </w:p>
        </w:tc>
      </w:tr>
    </w:tbl>
    <w:p>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小标宋简体" w:hAnsi="方正小标宋简体" w:eastAsia="方正小标宋简体" w:cs="方正小标宋简体"/>
          <w:b w:val="0"/>
          <w:bCs w:val="0"/>
          <w:color w:val="000000"/>
          <w:spacing w:val="2"/>
          <w:sz w:val="42"/>
          <w:szCs w:val="4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spacing w:val="6"/>
          <w:sz w:val="44"/>
          <w:szCs w:val="44"/>
        </w:rPr>
        <w:t>中共岳阳市岳阳楼区委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spacing w:val="6"/>
          <w:sz w:val="44"/>
          <w:szCs w:val="44"/>
        </w:rPr>
        <w:t>政策研究中心</w:t>
      </w: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pPr>
      <w:r>
        <w:rPr>
          <w:spacing w:val="-10"/>
        </w:rPr>
        <w:t>部门（单位）名称</w:t>
      </w:r>
      <w:r>
        <w:rPr>
          <w:spacing w:val="4"/>
        </w:rPr>
        <w:t>：</w:t>
      </w:r>
      <w:r>
        <w:rPr>
          <w:spacing w:val="-118"/>
          <w:w w:val="100"/>
        </w:rPr>
        <w:t xml:space="preserve"> </w:t>
      </w:r>
      <w:r>
        <w:rPr>
          <w:spacing w:val="-75"/>
          <w:w w:val="100"/>
          <w:u w:val="single" w:color="auto"/>
        </w:rPr>
        <w:t xml:space="preserve"> </w:t>
      </w:r>
      <w:r>
        <w:rPr>
          <w:rFonts w:hint="eastAsia"/>
          <w:spacing w:val="-75"/>
          <w:w w:val="100"/>
          <w:u w:val="single" w:color="auto"/>
          <w:lang w:val="en-US" w:eastAsia="zh-CN"/>
        </w:rPr>
        <w:t xml:space="preserve">                  </w:t>
      </w:r>
      <w:r>
        <w:rPr>
          <w:spacing w:val="4"/>
          <w:w w:val="100"/>
          <w:u w:val="single" w:color="auto"/>
        </w:rPr>
        <w:t>（</w:t>
      </w:r>
      <w:r>
        <w:rPr>
          <w:spacing w:val="-10"/>
          <w:w w:val="100"/>
          <w:u w:val="single" w:color="auto"/>
        </w:rPr>
        <w:t>盖章）</w:t>
      </w:r>
      <w:r>
        <w:rPr>
          <w:w w:val="100"/>
          <w:u w:val="single" w:color="auto"/>
        </w:rPr>
        <w:t xml:space="preserve">  </w:t>
      </w:r>
      <w:r>
        <w:rPr>
          <w:u w:val="single" w:color="auto"/>
        </w:rPr>
        <w:t xml:space="preserve">       </w:t>
      </w:r>
    </w:p>
    <w:p>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pPr>
        <w:spacing w:line="335" w:lineRule="auto"/>
        <w:rPr>
          <w:rFonts w:ascii="Arial"/>
          <w:sz w:val="21"/>
        </w:rPr>
      </w:pPr>
    </w:p>
    <w:p>
      <w:pPr>
        <w:pStyle w:val="2"/>
        <w:spacing w:before="102" w:line="224" w:lineRule="auto"/>
        <w:ind w:left="3216"/>
      </w:pPr>
      <w:r>
        <w:rPr>
          <w:spacing w:val="8"/>
        </w:rPr>
        <w:t>（此页为封面）</w:t>
      </w:r>
    </w:p>
    <w:p>
      <w:pPr>
        <w:spacing w:line="224" w:lineRule="auto"/>
        <w:sectPr>
          <w:footerReference r:id="rId6"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2023 年度中共岳阳市岳阳楼区委</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政策研究中心整体支出</w:t>
      </w:r>
      <w:r>
        <w:rPr>
          <w:rFonts w:hint="eastAsia" w:ascii="方正小标宋简体" w:hAnsi="方正小标宋简体" w:eastAsia="方正小标宋简体" w:cs="方正小标宋简体"/>
          <w:spacing w:val="7"/>
          <w:sz w:val="44"/>
          <w:szCs w:val="44"/>
        </w:rPr>
        <w:t>绩效自评报告</w:t>
      </w:r>
    </w:p>
    <w:p>
      <w:pPr>
        <w:spacing w:line="283" w:lineRule="auto"/>
        <w:rPr>
          <w:rFonts w:ascii="Arial"/>
          <w:sz w:val="21"/>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岳阳楼区委政研中心主要负责对全区经济社会发展战略和经济、政治、文化、党建等方面的重大问题进行调查研究，提出意见建议，供区委决策参考等工作。</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年基本支出年初预算数为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84.29</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万元，决算实际支出数为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97.90</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万元。其中：人员经费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89.38</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万元，主要包括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基本工资、津贴补贴、奖金、绩效工资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机关事业单位基本养老保险缴费、职工基本医疗保险缴费、其他社会保障缴费、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住房公积金、</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其他工资福利支出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、其他对个人和家庭的补助等</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；公用经费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8.52</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万元，主要包括：办公费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印刷费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、维修（护）费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、培训费、工会经费、其他商品和服务支出、办公设备购置等。</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2023年项目支出年初预算数为17.00万元，决算实际支出数为21.75万元。主要用于</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办公费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印刷费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、维修（护）费等。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三、</w:t>
      </w:r>
      <w:r>
        <w:rPr>
          <w:rFonts w:ascii="黑体" w:hAnsi="黑体" w:eastAsia="黑体" w:cs="黑体"/>
          <w:spacing w:val="8"/>
          <w:sz w:val="31"/>
          <w:szCs w:val="31"/>
        </w:rPr>
        <w:t>政府性基金预算支出情况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3年本单位无政府性基金预算支出情况。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四、</w:t>
      </w:r>
      <w:r>
        <w:rPr>
          <w:rFonts w:ascii="黑体" w:hAnsi="黑体" w:eastAsia="黑体" w:cs="黑体"/>
          <w:spacing w:val="8"/>
          <w:sz w:val="31"/>
          <w:szCs w:val="31"/>
        </w:rPr>
        <w:t>国有资本经营预算支出情况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3年本单位无国有资本经营预算支出情况。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五、</w:t>
      </w:r>
      <w:r>
        <w:rPr>
          <w:rFonts w:ascii="黑体" w:hAnsi="黑体" w:eastAsia="黑体" w:cs="黑体"/>
          <w:spacing w:val="8"/>
          <w:sz w:val="31"/>
          <w:szCs w:val="31"/>
        </w:rPr>
        <w:t>社会保险基金预算支出情况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3年本单位无社会保险基金预算支出情况。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六、单位整体支出绩效情况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整体支出为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119.65</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其中：基本支出97.90万元，项目支出21.75万元，</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主要用于工资福利支出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商品和服务支出，对个人和家庭的补助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和项目支出</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单位各项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四本预算”支出的绩效目标基本完成情况。</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主要存在问题是年初预算不严谨，导致实际支出数多于预算申报数。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仿宋" w:hAnsi="仿宋" w:eastAsia="仿宋" w:cs="仿宋"/>
          <w:sz w:val="31"/>
          <w:szCs w:val="31"/>
        </w:rPr>
      </w:pPr>
      <w:r>
        <w:rPr>
          <w:rFonts w:hint="eastAsia" w:ascii="黑体" w:hAnsi="黑体" w:eastAsia="黑体" w:cs="黑体"/>
          <w:spacing w:val="8"/>
          <w:sz w:val="31"/>
          <w:szCs w:val="31"/>
          <w:lang w:eastAsia="zh-CN"/>
        </w:rPr>
        <w:t>八、</w:t>
      </w:r>
      <w:r>
        <w:rPr>
          <w:rFonts w:ascii="黑体" w:hAnsi="黑体" w:eastAsia="黑体" w:cs="黑体"/>
          <w:spacing w:val="8"/>
          <w:sz w:val="31"/>
          <w:szCs w:val="31"/>
        </w:rPr>
        <w:t>下一步改进措施</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适应工作的新形势、新变化、新要求，努力提高业务工作能力，对年初预算持高标准、严要求态度，合理预算全年经费。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九、单位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6C1FF"/>
    <w:multiLevelType w:val="singleLevel"/>
    <w:tmpl w:val="B586C1FF"/>
    <w:lvl w:ilvl="0" w:tentative="0">
      <w:start w:val="2"/>
      <w:numFmt w:val="chineseCounting"/>
      <w:suff w:val="nothing"/>
      <w:lvlText w:val="（%1）"/>
      <w:lvlJc w:val="left"/>
      <w:rPr>
        <w:rFonts w:hint="eastAsia"/>
      </w:rPr>
    </w:lvl>
  </w:abstractNum>
  <w:abstractNum w:abstractNumId="1">
    <w:nsid w:val="C7F2DB9D"/>
    <w:multiLevelType w:val="singleLevel"/>
    <w:tmpl w:val="C7F2DB9D"/>
    <w:lvl w:ilvl="0" w:tentative="0">
      <w:start w:val="1"/>
      <w:numFmt w:val="chineseCounting"/>
      <w:suff w:val="nothing"/>
      <w:lvlText w:val="%1、"/>
      <w:lvlJc w:val="left"/>
      <w:rPr>
        <w:rFonts w:hint="eastAsia"/>
      </w:rPr>
    </w:lvl>
  </w:abstractNum>
  <w:abstractNum w:abstractNumId="2">
    <w:nsid w:val="1CBFECFA"/>
    <w:multiLevelType w:val="singleLevel"/>
    <w:tmpl w:val="1CBFECFA"/>
    <w:lvl w:ilvl="0" w:tentative="0">
      <w:start w:val="10"/>
      <w:numFmt w:val="chineseCounting"/>
      <w:suff w:val="space"/>
      <w:lvlText w:val="%1、"/>
      <w:lvlJc w:val="left"/>
      <w:rPr>
        <w:rFonts w:hint="eastAsia"/>
      </w:rPr>
    </w:lvl>
  </w:abstractNum>
  <w:abstractNum w:abstractNumId="3">
    <w:nsid w:val="25363C0F"/>
    <w:multiLevelType w:val="singleLevel"/>
    <w:tmpl w:val="25363C0F"/>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86794"/>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55ABA"/>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7FE67CE"/>
    <w:rsid w:val="08017E70"/>
    <w:rsid w:val="08031468"/>
    <w:rsid w:val="0805190B"/>
    <w:rsid w:val="080F6B2A"/>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B915CA"/>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516AE"/>
    <w:rsid w:val="09D8005F"/>
    <w:rsid w:val="09DC0AEC"/>
    <w:rsid w:val="09EB635B"/>
    <w:rsid w:val="09F2166E"/>
    <w:rsid w:val="09FD61A8"/>
    <w:rsid w:val="0A002E0D"/>
    <w:rsid w:val="0A00497C"/>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5B66B7"/>
    <w:rsid w:val="0B6E529C"/>
    <w:rsid w:val="0B701D27"/>
    <w:rsid w:val="0B7245CE"/>
    <w:rsid w:val="0B943886"/>
    <w:rsid w:val="0B9C3CD1"/>
    <w:rsid w:val="0BAA6B12"/>
    <w:rsid w:val="0BAD3E30"/>
    <w:rsid w:val="0BB324D8"/>
    <w:rsid w:val="0BB45CBF"/>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72DB1"/>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73CBB"/>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462F7"/>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A10B9"/>
    <w:rsid w:val="136B7A0D"/>
    <w:rsid w:val="136C145A"/>
    <w:rsid w:val="13776D50"/>
    <w:rsid w:val="137B3EE1"/>
    <w:rsid w:val="139404F9"/>
    <w:rsid w:val="13A55CD5"/>
    <w:rsid w:val="13B654E3"/>
    <w:rsid w:val="13B819E6"/>
    <w:rsid w:val="13BC4189"/>
    <w:rsid w:val="13C169EC"/>
    <w:rsid w:val="13C403B4"/>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5FA4441"/>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B14EE3"/>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63DB0"/>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9A07EC"/>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A2287"/>
    <w:rsid w:val="1F3E6318"/>
    <w:rsid w:val="1F4B71B8"/>
    <w:rsid w:val="1F4C39A9"/>
    <w:rsid w:val="1F5665AD"/>
    <w:rsid w:val="1F587E94"/>
    <w:rsid w:val="1F692382"/>
    <w:rsid w:val="1F8815CD"/>
    <w:rsid w:val="1F8D1995"/>
    <w:rsid w:val="1F935BDD"/>
    <w:rsid w:val="1F963600"/>
    <w:rsid w:val="1F9730E6"/>
    <w:rsid w:val="1FA87477"/>
    <w:rsid w:val="1FBC2C9C"/>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7B299A"/>
    <w:rsid w:val="228E0402"/>
    <w:rsid w:val="22906578"/>
    <w:rsid w:val="22973E77"/>
    <w:rsid w:val="22A94C09"/>
    <w:rsid w:val="22AB58F3"/>
    <w:rsid w:val="22AD616A"/>
    <w:rsid w:val="22BF1067"/>
    <w:rsid w:val="22C13FD4"/>
    <w:rsid w:val="22C24771"/>
    <w:rsid w:val="22CB0895"/>
    <w:rsid w:val="23033650"/>
    <w:rsid w:val="231527D7"/>
    <w:rsid w:val="23185AD8"/>
    <w:rsid w:val="232C26B2"/>
    <w:rsid w:val="23336451"/>
    <w:rsid w:val="23474320"/>
    <w:rsid w:val="23492735"/>
    <w:rsid w:val="234F23BF"/>
    <w:rsid w:val="235B5F37"/>
    <w:rsid w:val="235C3EA6"/>
    <w:rsid w:val="23604810"/>
    <w:rsid w:val="23830488"/>
    <w:rsid w:val="23932D47"/>
    <w:rsid w:val="23BE4330"/>
    <w:rsid w:val="23BF0A62"/>
    <w:rsid w:val="23C263BB"/>
    <w:rsid w:val="23C63733"/>
    <w:rsid w:val="23D50A64"/>
    <w:rsid w:val="23DC6F4C"/>
    <w:rsid w:val="23DD2202"/>
    <w:rsid w:val="23EB3B50"/>
    <w:rsid w:val="23FC0268"/>
    <w:rsid w:val="23FD05F9"/>
    <w:rsid w:val="240B4621"/>
    <w:rsid w:val="241061D3"/>
    <w:rsid w:val="24114322"/>
    <w:rsid w:val="24122F3C"/>
    <w:rsid w:val="24181A61"/>
    <w:rsid w:val="241A4D23"/>
    <w:rsid w:val="241E5871"/>
    <w:rsid w:val="243178A0"/>
    <w:rsid w:val="243309E7"/>
    <w:rsid w:val="243F38C6"/>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7B31A2"/>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767DC"/>
    <w:rsid w:val="25FB06C7"/>
    <w:rsid w:val="25FC3091"/>
    <w:rsid w:val="25FD11FA"/>
    <w:rsid w:val="25FE31C8"/>
    <w:rsid w:val="25FF0B51"/>
    <w:rsid w:val="25FF3210"/>
    <w:rsid w:val="260661B7"/>
    <w:rsid w:val="2611098A"/>
    <w:rsid w:val="26143832"/>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9421C"/>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8D0807"/>
    <w:rsid w:val="2AB17620"/>
    <w:rsid w:val="2AB30FEA"/>
    <w:rsid w:val="2AB657B1"/>
    <w:rsid w:val="2ABA24CE"/>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8437A"/>
    <w:rsid w:val="2B8C50C7"/>
    <w:rsid w:val="2B8D4A3E"/>
    <w:rsid w:val="2B91310A"/>
    <w:rsid w:val="2B9269FD"/>
    <w:rsid w:val="2BA45334"/>
    <w:rsid w:val="2BAB22D1"/>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573F1"/>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8C4177"/>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862DF3"/>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6E4080"/>
    <w:rsid w:val="2F743362"/>
    <w:rsid w:val="2F783818"/>
    <w:rsid w:val="2F946D19"/>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50EFD"/>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D63C1D"/>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269FD"/>
    <w:rsid w:val="34635CAD"/>
    <w:rsid w:val="346B4B47"/>
    <w:rsid w:val="346E4F77"/>
    <w:rsid w:val="34762AAC"/>
    <w:rsid w:val="348402A8"/>
    <w:rsid w:val="349A6F27"/>
    <w:rsid w:val="349C0953"/>
    <w:rsid w:val="349D307E"/>
    <w:rsid w:val="34B510BB"/>
    <w:rsid w:val="34BB2714"/>
    <w:rsid w:val="34C25EF7"/>
    <w:rsid w:val="34C7361A"/>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A03AE"/>
    <w:rsid w:val="37FB64C2"/>
    <w:rsid w:val="38026A1B"/>
    <w:rsid w:val="3807648B"/>
    <w:rsid w:val="38173CE1"/>
    <w:rsid w:val="38197832"/>
    <w:rsid w:val="381E7591"/>
    <w:rsid w:val="383903C6"/>
    <w:rsid w:val="383C423B"/>
    <w:rsid w:val="38415136"/>
    <w:rsid w:val="384D66AB"/>
    <w:rsid w:val="38545D10"/>
    <w:rsid w:val="38551750"/>
    <w:rsid w:val="386C1D38"/>
    <w:rsid w:val="387A25A5"/>
    <w:rsid w:val="38806B0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578EF"/>
    <w:rsid w:val="39381E2B"/>
    <w:rsid w:val="393A389E"/>
    <w:rsid w:val="3942282F"/>
    <w:rsid w:val="3953338B"/>
    <w:rsid w:val="39534219"/>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C4E0B"/>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400D9C"/>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74A60"/>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15FF5"/>
    <w:rsid w:val="42A82444"/>
    <w:rsid w:val="42B5102C"/>
    <w:rsid w:val="42B608A5"/>
    <w:rsid w:val="42BC6C8F"/>
    <w:rsid w:val="42C5446D"/>
    <w:rsid w:val="42CE5FC3"/>
    <w:rsid w:val="42E11334"/>
    <w:rsid w:val="42E94337"/>
    <w:rsid w:val="42FE6C02"/>
    <w:rsid w:val="43031943"/>
    <w:rsid w:val="431327F1"/>
    <w:rsid w:val="43182DB2"/>
    <w:rsid w:val="431E4B73"/>
    <w:rsid w:val="432D1B1D"/>
    <w:rsid w:val="433B5ED8"/>
    <w:rsid w:val="435C6309"/>
    <w:rsid w:val="43651E79"/>
    <w:rsid w:val="4368794F"/>
    <w:rsid w:val="437518D1"/>
    <w:rsid w:val="438D1E49"/>
    <w:rsid w:val="43AE105F"/>
    <w:rsid w:val="43B23B98"/>
    <w:rsid w:val="43B45DD9"/>
    <w:rsid w:val="43B525FE"/>
    <w:rsid w:val="43C80076"/>
    <w:rsid w:val="43CD4F82"/>
    <w:rsid w:val="43D8550E"/>
    <w:rsid w:val="43DB11BE"/>
    <w:rsid w:val="43DC0C7D"/>
    <w:rsid w:val="43DC0EA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2A6302"/>
    <w:rsid w:val="463D42BA"/>
    <w:rsid w:val="463F2C5B"/>
    <w:rsid w:val="4643274A"/>
    <w:rsid w:val="464E5898"/>
    <w:rsid w:val="46521A41"/>
    <w:rsid w:val="465D50F1"/>
    <w:rsid w:val="46625A9C"/>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38605E"/>
    <w:rsid w:val="47600773"/>
    <w:rsid w:val="47661F26"/>
    <w:rsid w:val="476C29D6"/>
    <w:rsid w:val="476E25F3"/>
    <w:rsid w:val="47783B12"/>
    <w:rsid w:val="477D5156"/>
    <w:rsid w:val="477F2265"/>
    <w:rsid w:val="4783053A"/>
    <w:rsid w:val="47890AD6"/>
    <w:rsid w:val="478C4AD1"/>
    <w:rsid w:val="478D2FF6"/>
    <w:rsid w:val="478F6037"/>
    <w:rsid w:val="4798720D"/>
    <w:rsid w:val="47A37CAA"/>
    <w:rsid w:val="47A514B0"/>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93A56"/>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3B555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03017"/>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1CA8"/>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1FF6894"/>
    <w:rsid w:val="52077D46"/>
    <w:rsid w:val="521255C5"/>
    <w:rsid w:val="52187D0D"/>
    <w:rsid w:val="5225687C"/>
    <w:rsid w:val="522E046E"/>
    <w:rsid w:val="523547E0"/>
    <w:rsid w:val="52361B9C"/>
    <w:rsid w:val="52362A26"/>
    <w:rsid w:val="523B0BAD"/>
    <w:rsid w:val="523B7753"/>
    <w:rsid w:val="524B1ADA"/>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25057D"/>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2F91"/>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A23D4"/>
    <w:rsid w:val="583B5787"/>
    <w:rsid w:val="58567936"/>
    <w:rsid w:val="58595511"/>
    <w:rsid w:val="586759C7"/>
    <w:rsid w:val="586D4BE9"/>
    <w:rsid w:val="58905FCC"/>
    <w:rsid w:val="58AD7359"/>
    <w:rsid w:val="58C07CA9"/>
    <w:rsid w:val="58C5235F"/>
    <w:rsid w:val="58CB35D4"/>
    <w:rsid w:val="58DE5A38"/>
    <w:rsid w:val="58ED2719"/>
    <w:rsid w:val="58EE31BF"/>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8663A6"/>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AFD12A8"/>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F797A"/>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EF526C"/>
    <w:rsid w:val="5CFD9166"/>
    <w:rsid w:val="5D130D14"/>
    <w:rsid w:val="5D143D5B"/>
    <w:rsid w:val="5D3F028D"/>
    <w:rsid w:val="5D464016"/>
    <w:rsid w:val="5D563089"/>
    <w:rsid w:val="5D566DF5"/>
    <w:rsid w:val="5D5736EC"/>
    <w:rsid w:val="5D592213"/>
    <w:rsid w:val="5D7067ED"/>
    <w:rsid w:val="5D77660D"/>
    <w:rsid w:val="5D7A7C97"/>
    <w:rsid w:val="5D8A240A"/>
    <w:rsid w:val="5D8A4019"/>
    <w:rsid w:val="5D9907FA"/>
    <w:rsid w:val="5DB9023F"/>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7A39FE"/>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0E2650"/>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61AA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5D5F23"/>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4175F2"/>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4B3DE1"/>
    <w:rsid w:val="6C613F45"/>
    <w:rsid w:val="6C756221"/>
    <w:rsid w:val="6C7B08BB"/>
    <w:rsid w:val="6C816AF9"/>
    <w:rsid w:val="6C846694"/>
    <w:rsid w:val="6C947428"/>
    <w:rsid w:val="6C954D50"/>
    <w:rsid w:val="6CA21112"/>
    <w:rsid w:val="6CA841D2"/>
    <w:rsid w:val="6CB10385"/>
    <w:rsid w:val="6CDB2B82"/>
    <w:rsid w:val="6CDF0F3A"/>
    <w:rsid w:val="6CE47854"/>
    <w:rsid w:val="6CE72999"/>
    <w:rsid w:val="6D011AA2"/>
    <w:rsid w:val="6D0668D1"/>
    <w:rsid w:val="6D0D25B8"/>
    <w:rsid w:val="6D1A2893"/>
    <w:rsid w:val="6D2A2544"/>
    <w:rsid w:val="6D3276C6"/>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DF17418"/>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EFD2A65"/>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6571F"/>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501AB"/>
    <w:rsid w:val="70D80F32"/>
    <w:rsid w:val="70D97C76"/>
    <w:rsid w:val="70F12A55"/>
    <w:rsid w:val="70F76E40"/>
    <w:rsid w:val="710C1219"/>
    <w:rsid w:val="711337D0"/>
    <w:rsid w:val="71153587"/>
    <w:rsid w:val="711D7FAC"/>
    <w:rsid w:val="713105C6"/>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43EE1"/>
    <w:rsid w:val="72364FB6"/>
    <w:rsid w:val="723B04C8"/>
    <w:rsid w:val="724266AF"/>
    <w:rsid w:val="724E6817"/>
    <w:rsid w:val="725F40EB"/>
    <w:rsid w:val="72600D68"/>
    <w:rsid w:val="72604620"/>
    <w:rsid w:val="726B02C1"/>
    <w:rsid w:val="726C685A"/>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7796A"/>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C5B34"/>
    <w:rsid w:val="750E6C81"/>
    <w:rsid w:val="751D43A6"/>
    <w:rsid w:val="75230A9A"/>
    <w:rsid w:val="75367802"/>
    <w:rsid w:val="753A3A7C"/>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2E556C"/>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9C633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BD3221"/>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D85D51"/>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7D0743"/>
    <w:rsid w:val="7E8A0780"/>
    <w:rsid w:val="7E974F26"/>
    <w:rsid w:val="7EA574A2"/>
    <w:rsid w:val="7EAF5D14"/>
    <w:rsid w:val="7EB13EAD"/>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customStyle="1" w:styleId="9">
    <w:name w:val="Default"/>
    <w:basedOn w:val="1"/>
    <w:qFormat/>
    <w:uiPriority w:val="99"/>
    <w:pPr>
      <w:autoSpaceDE w:val="0"/>
      <w:autoSpaceDN w:val="0"/>
      <w:adjustRightInd w:val="0"/>
      <w:jc w:val="left"/>
    </w:pPr>
    <w:rPr>
      <w:rFonts w:ascii="宋体" w:hAnsi="Times New Roman" w:eastAsia="Times New Roman"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4155</Words>
  <Characters>4511</Characters>
  <Lines>0</Lines>
  <Paragraphs>0</Paragraphs>
  <TotalTime>7</TotalTime>
  <ScaleCrop>false</ScaleCrop>
  <LinksUpToDate>false</LinksUpToDate>
  <CharactersWithSpaces>4682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Gat</cp:lastModifiedBy>
  <dcterms:modified xsi:type="dcterms:W3CDTF">2024-05-29T03:35:39Z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4B5FDDC259FB49A4A0EBEC5A4BB60567_11</vt:lpwstr>
  </property>
</Properties>
</file>