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>
      <w:pPr>
        <w:spacing w:line="115" w:lineRule="exact"/>
        <w:rPr>
          <w:color w:val="000000"/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岳阳市岳阳楼区归国华侨联合会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2.94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2.94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5.54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1.92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5.50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1.92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8.47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-4.05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>
      <w:pPr>
        <w:spacing w:line="132" w:lineRule="exact"/>
      </w:pPr>
    </w:p>
    <w:tbl>
      <w:tblPr>
        <w:tblStyle w:val="7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297"/>
        <w:gridCol w:w="1222"/>
        <w:gridCol w:w="1094"/>
        <w:gridCol w:w="1268"/>
        <w:gridCol w:w="716"/>
        <w:gridCol w:w="873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460" w:type="dxa"/>
            <w:gridSpan w:val="3"/>
            <w:noWrap w:val="0"/>
            <w:vAlign w:val="top"/>
          </w:tcPr>
          <w:p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623" w:type="dxa"/>
            <w:gridSpan w:val="6"/>
            <w:noWrap w:val="0"/>
            <w:vAlign w:val="top"/>
          </w:tcPr>
          <w:p>
            <w:pPr>
              <w:pStyle w:val="8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岳阳市岳阳楼区归国华侨联合会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2" w:line="232" w:lineRule="auto"/>
              <w:ind w:right="144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>
            <w:pPr>
              <w:spacing w:before="62" w:line="232" w:lineRule="auto"/>
              <w:ind w:right="144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>
            <w:pPr>
              <w:spacing w:before="62" w:line="232" w:lineRule="auto"/>
              <w:ind w:right="14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376" w:type="dxa"/>
            <w:gridSpan w:val="2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before="20" w:line="208" w:lineRule="auto"/>
              <w:ind w:left="1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before="20" w:line="208" w:lineRule="auto"/>
              <w:ind w:left="14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before="20" w:line="208" w:lineRule="auto"/>
              <w:ind w:left="3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376" w:type="dxa"/>
            <w:gridSpan w:val="2"/>
            <w:noWrap w:val="0"/>
            <w:vAlign w:val="top"/>
          </w:tcPr>
          <w:p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46.86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55.14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55.14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8"/>
              <w:spacing w:before="54" w:line="194" w:lineRule="auto"/>
              <w:ind w:left="27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46.57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42.81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12.33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8.57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8"/>
              <w:spacing w:line="242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43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0" w:lineRule="auto"/>
              <w:ind w:right="13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1.竭诚为侨服务，当好侨界群众贴心人。</w:t>
            </w:r>
          </w:p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2.加强宣传教育，营造爱侨护侨氛围。</w:t>
            </w:r>
          </w:p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3.凝聚侨心，将“侨胞之家”打造成学习交流平台。</w:t>
            </w:r>
          </w:p>
        </w:tc>
        <w:tc>
          <w:tcPr>
            <w:tcW w:w="430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坚持以侨为本的宗旨观念，本着“侨事无小事”的原则，努力解侨之所难、帮侨之所困、谋侨之所需。区侨联联系侨界部分政协委员到花果畈社区、港口社区、四化建社区走访慰问困难侨界群众5人，并送上慰问金和物资。春节前，走访慰问15名困难归侨、侨眷并发放慰问金20000元，为涉侨群众送上党和政府的关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区侨联联合区妇联、公安、检察、法院、司法等相关职能部门以“三八”维权周为契机，在花板桥步步高广场开展《中华人民共和国归侨侨眷权益保护法》、《妇女权益保障法》《民法典》等法律法规宣传，活动采用“接地气”的漫画展板与发放相关知识小手册、现场答题抽奖相结合的方式进行，吸引不少居民群众前来咨询，工作人员现场进行相关法律政策的宣传与解读，收到了较好的效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重点打造芋头田社区、鹰山社区、四化建社区、花板桥社区侨胞之家，致力于进一步凝聚侨心、发挥侨力，丰富侨界群众的业余文化生活，搭建辖区归侨侨眷学习、交流的活动平台，让广大归侨侨眷感受到“家”的温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spacing w:line="364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7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走访慰问困难侨界群众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春节期间慰问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15人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15人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推荐各级侨代会代表、委员、侨商会会员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16人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16人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为全区街道（乡）进行侨联业务知识及法律知识培训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15个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15个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为全区社区（村）进行侨联业务知识及法律知识培训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108个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108个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发放慰问金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2.4万元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2.4万元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任务完成率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完成时间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2023年度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2023年度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成本控制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55.14万元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55.14万元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促进涉侨企业发展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有所促进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有所促进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凝聚侨心侨力，服务经济建设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生态效益指标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不适用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不适用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不适用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不适用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3" w:line="233" w:lineRule="auto"/>
              <w:ind w:left="225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服务对象满意度指标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社会公众满意 度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≥95%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07" w:line="230" w:lineRule="auto"/>
              <w:ind w:left="227" w:right="116" w:hanging="98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5" w:line="195" w:lineRule="auto"/>
              <w:ind w:left="23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9"/>
                <w:szCs w:val="19"/>
                <w:lang w:val="en-US" w:eastAsia="zh-CN" w:bidi="ar-SA"/>
              </w:rPr>
              <w:t>99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pStyle w:val="8"/>
              <w:spacing w:line="239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业务工作经费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</w:t>
            </w:r>
            <w:r>
              <w:rPr>
                <w:rFonts w:hint="eastAsia" w:ascii="宋体" w:hAnsi="宋体" w:eastAsia="宋体" w:cs="宋体"/>
                <w:lang w:eastAsia="zh-CN"/>
              </w:rPr>
              <w:t>委员会</w:t>
            </w:r>
            <w:bookmarkStart w:id="0" w:name="_GoBack"/>
            <w:bookmarkEnd w:id="0"/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岳阳市岳阳楼区归国华侨联合会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12.00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12.33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12.33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12.00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12.33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12.33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1.竭诚为侨服务，当好侨界群众贴心人。</w:t>
            </w:r>
          </w:p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2.加强宣传教育，营造爱侨护侨氛围。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3.凝聚侨心，将“侨胞之家”打造成学习交流平台。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坚持以侨为本的宗旨观念，本着“侨事无小事”的原则，努力解侨之所难、帮侨之所困、谋侨之所需。区侨联联系侨界部分政协委员到花果畈社区、港口社区、四化建社区走访慰问困难侨界群众5人，并送上慰问金和物资。春节前，走访慰问15名困难归侨、侨眷并发放慰问金20000元，为涉侨群众送上党和政府的关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区侨联联合区妇联、公安、检察、法院、司法等相关职能部门以“三八”维权周为契机，在花板桥步步高广场开展《中华人民共和国归侨侨眷权益保护法》、《妇女权益保障法》《民法典》等法律法规宣传，活动采用“接地气”的漫画展板与发放相关知识小手册、现场答题抽奖相结合的方式进行，吸引不少居民群众前来咨询，工作人员现场进行相关法律政策的宣传与解读，收到了较好的效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  <w:lang w:val="en-US" w:eastAsia="zh-CN" w:bidi="ar-SA"/>
              </w:rPr>
              <w:t>重点打造芋头田社区、鹰山社区、四化建社区、花板桥社区侨胞之家，致力于进一步凝聚侨心、发挥侨力，丰富侨界群众的业余文化生活，搭建辖区归侨侨眷学习、交流的活动平台，让广大归侨侨眷感受到“家”的温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走访慰问困难侨界群众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5人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春节期间慰问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15人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15人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推荐各级侨代会代表、委员、侨商会会员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16人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16人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为全区街道（乡）进行侨联业务知识及法律知识培训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15个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15个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为全区社区（村）进行侨联业务知识及法律知识培训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108个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108个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发放慰问金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2.4万元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2.4万元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任务完成率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4" w:line="226" w:lineRule="auto"/>
              <w:ind w:left="139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>
            <w:pPr>
              <w:spacing w:before="126" w:line="239" w:lineRule="auto"/>
              <w:ind w:left="379" w:right="175" w:hanging="17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完成时间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2023年度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2023年度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73" w:line="226" w:lineRule="auto"/>
              <w:ind w:left="125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>
            <w:pPr>
              <w:spacing w:before="127" w:line="239" w:lineRule="auto"/>
              <w:ind w:left="379" w:right="175" w:hanging="19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成本控制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12.33万元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12.33万元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4" w:line="240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促进涉侨企业发展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有所促进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有所促进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before="154" w:line="240" w:lineRule="auto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凝聚侨心侨力，服务经济建设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19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4" w:line="233" w:lineRule="auto"/>
              <w:ind w:left="23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社会公众满意 度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≥95%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95%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9"/>
                <w:szCs w:val="19"/>
                <w:lang w:val="en-US" w:eastAsia="zh-CN" w:bidi="ar-SA"/>
              </w:rPr>
              <w:t>99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>
      <w:pPr>
        <w:spacing w:line="217" w:lineRule="auto"/>
        <w:rPr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岳阳市岳阳楼区归国华侨联合会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 w:firstLineChars="200"/>
        <w:textAlignment w:val="auto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  <w:w w:val="100"/>
        </w:rPr>
        <w:t xml:space="preserve"> </w:t>
      </w:r>
      <w:r>
        <w:rPr>
          <w:spacing w:val="-75"/>
          <w:w w:val="100"/>
          <w:u w:val="single" w:color="auto"/>
        </w:rPr>
        <w:t xml:space="preserve"> </w:t>
      </w:r>
      <w:r>
        <w:rPr>
          <w:rFonts w:hint="eastAsia"/>
          <w:spacing w:val="-75"/>
          <w:w w:val="100"/>
          <w:u w:val="single" w:color="auto"/>
          <w:lang w:val="en-US" w:eastAsia="zh-CN"/>
        </w:rPr>
        <w:t xml:space="preserve">                  </w:t>
      </w:r>
      <w:r>
        <w:rPr>
          <w:spacing w:val="4"/>
          <w:w w:val="100"/>
          <w:u w:val="single" w:color="auto"/>
        </w:rPr>
        <w:t>（</w:t>
      </w:r>
      <w:r>
        <w:rPr>
          <w:spacing w:val="-10"/>
          <w:w w:val="100"/>
          <w:u w:val="single" w:color="auto"/>
        </w:rPr>
        <w:t>盖章）</w:t>
      </w:r>
      <w:r>
        <w:rPr>
          <w:w w:val="100"/>
          <w:u w:val="single" w:color="auto"/>
        </w:rPr>
        <w:t xml:space="preserve">  </w:t>
      </w:r>
      <w:r>
        <w:rPr>
          <w:u w:val="single" w:color="auto"/>
        </w:rPr>
        <w:t xml:space="preserve">       </w:t>
      </w:r>
    </w:p>
    <w:p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年度岳阳市岳阳楼区归国华侨联合会整体支出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主要负责宣传党和国家对侨方针政策，依法维护归侨侨眷的合法权益，参与人大、政协侨界代表、委员的协商推荐，密切与海外侨胞及其社团的联系，广泛了解归侨侨眷和海外侨胞的意见要求，为党和政府制订侨务政策提出建议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202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3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年基本支出年初预算数为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48.86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万元，决算实际支出数为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42.47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万元。其中：人员经费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32.40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万元，主要包括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：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基本工资、津贴补贴、奖金、机关事业单位基本养老保险缴费、职工基本医疗保险缴费、其他社会保障缴费、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住房公积金、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其他工资福利支出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、其他对个人和家庭的补助等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；公用经费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10.07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万元，主要包括：办公费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印刷费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、邮电费、差旅费、培训费、工会经费、其他商品和服务支出等。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2023年项目支出年初预算数为12.00万元，决算实际支出数为4.10万元。主要用于印刷费、咨询费、其他商品和服务支出等。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三、</w:t>
      </w: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>
      <w:pPr>
        <w:spacing w:before="137" w:line="240" w:lineRule="auto"/>
        <w:ind w:left="629"/>
        <w:rPr>
          <w:rFonts w:hint="eastAsia" w:ascii="黑体" w:hAnsi="黑体" w:eastAsia="仿宋" w:cs="黑体"/>
          <w:spacing w:val="8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本单位无政府性基金预算支出情况。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四、</w:t>
      </w:r>
      <w:r>
        <w:rPr>
          <w:rFonts w:ascii="黑体" w:hAnsi="黑体" w:eastAsia="黑体" w:cs="黑体"/>
          <w:spacing w:val="8"/>
          <w:sz w:val="31"/>
          <w:szCs w:val="31"/>
        </w:rPr>
        <w:t>国有资本经营预算支出情况</w:t>
      </w:r>
    </w:p>
    <w:p>
      <w:pPr>
        <w:spacing w:before="137" w:line="240" w:lineRule="auto"/>
        <w:ind w:left="629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本单位无国有资本经营预算支出情况。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五、</w:t>
      </w: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>
      <w:pPr>
        <w:spacing w:before="137" w:line="240" w:lineRule="auto"/>
        <w:ind w:left="629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本单位无社会保险基金预算支出情况。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六、单位整体支出绩效情况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财务管理、科目设置、经费使用有待进一步规范。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八、</w:t>
      </w: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进一步落实有关文件精神，按照现行政策，抓好财务管理和资金使用工作。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九、单位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2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02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3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年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本单位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整体支出为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55.14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万元，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其中：基本支出42.81万元，项目支出12.33万元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本单位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>
      <w:pPr>
        <w:spacing w:before="137" w:line="240" w:lineRule="auto"/>
        <w:ind w:firstLine="724" w:firstLineChars="200"/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6C1FF"/>
    <w:multiLevelType w:val="singleLevel"/>
    <w:tmpl w:val="B586C1F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7F2DB9D"/>
    <w:multiLevelType w:val="singleLevel"/>
    <w:tmpl w:val="C7F2DB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CBFECFA"/>
    <w:multiLevelType w:val="singleLevel"/>
    <w:tmpl w:val="1CBFECF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25363C0F"/>
    <w:multiLevelType w:val="singleLevel"/>
    <w:tmpl w:val="25363C0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EF5EA2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3186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7FE67CE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5B66B7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73CBB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75670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1738A"/>
    <w:rsid w:val="13DF25B8"/>
    <w:rsid w:val="13E2403C"/>
    <w:rsid w:val="14047D3B"/>
    <w:rsid w:val="140C7BCE"/>
    <w:rsid w:val="141A00EA"/>
    <w:rsid w:val="14394A85"/>
    <w:rsid w:val="143A1FCF"/>
    <w:rsid w:val="143F53A6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93BB3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1564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2C26B2"/>
    <w:rsid w:val="23336451"/>
    <w:rsid w:val="23474320"/>
    <w:rsid w:val="23492735"/>
    <w:rsid w:val="234F23BF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CC5EBA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5536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9421C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8D0807"/>
    <w:rsid w:val="2AB17620"/>
    <w:rsid w:val="2AB30FEA"/>
    <w:rsid w:val="2AB657B1"/>
    <w:rsid w:val="2ABA24CE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8437A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8C4177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862DF3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549E3"/>
    <w:rsid w:val="2F783818"/>
    <w:rsid w:val="2F946D19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D63C1D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269FD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A03AE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45D10"/>
    <w:rsid w:val="38551750"/>
    <w:rsid w:val="386C1D38"/>
    <w:rsid w:val="387A25A5"/>
    <w:rsid w:val="38806B0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972F7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400D9C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3B5ED8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B11BE"/>
    <w:rsid w:val="43DC0C7D"/>
    <w:rsid w:val="43DC0EA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2A6302"/>
    <w:rsid w:val="463D42BA"/>
    <w:rsid w:val="463F2C5B"/>
    <w:rsid w:val="4643274A"/>
    <w:rsid w:val="464E5898"/>
    <w:rsid w:val="46521A41"/>
    <w:rsid w:val="465D50F1"/>
    <w:rsid w:val="46625A9C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10B40"/>
    <w:rsid w:val="47B60AAF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A1BBF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E2F15"/>
    <w:rsid w:val="49B415EE"/>
    <w:rsid w:val="49B63FD6"/>
    <w:rsid w:val="49BF4D00"/>
    <w:rsid w:val="49D1562B"/>
    <w:rsid w:val="49DE1EF5"/>
    <w:rsid w:val="49E518C1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93A56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146BF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03017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F6894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2F91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EE31BF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8663A6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EF526C"/>
    <w:rsid w:val="5CFD9166"/>
    <w:rsid w:val="5D130D14"/>
    <w:rsid w:val="5D143D5B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86773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9B3F5E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3284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61AA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B3DE1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B2B82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EFD2A65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C685A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7796A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3A3A7C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37ACA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BD3221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13EAD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3423</Words>
  <Characters>3791</Characters>
  <Lines>0</Lines>
  <Paragraphs>0</Paragraphs>
  <TotalTime>0</TotalTime>
  <ScaleCrop>false</ScaleCrop>
  <LinksUpToDate>false</LinksUpToDate>
  <CharactersWithSpaces>3956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Gat</cp:lastModifiedBy>
  <dcterms:modified xsi:type="dcterms:W3CDTF">2024-05-29T02:22:47Z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4B5FDDC259FB49A4A0EBEC5A4BB60567_11</vt:lpwstr>
  </property>
</Properties>
</file>