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岳阳市岳阳楼区工商业联合会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32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22.70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22.70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4.85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12.60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4.67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10.60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17.55</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58.94</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28.98</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lang w:val="en-US" w:eastAsia="zh-CN"/>
              </w:rPr>
            </w:pPr>
          </w:p>
        </w:tc>
        <w:tc>
          <w:tcPr>
            <w:tcW w:w="990" w:type="dxa"/>
            <w:noWrap w:val="0"/>
            <w:vAlign w:val="top"/>
          </w:tcPr>
          <w:p>
            <w:pPr>
              <w:rPr>
                <w:rFonts w:hint="eastAsia" w:ascii="宋体" w:hAnsi="宋体" w:eastAsia="宋体" w:cs="宋体"/>
                <w:color w:val="000000"/>
                <w:sz w:val="21"/>
              </w:rPr>
            </w:pPr>
          </w:p>
        </w:tc>
        <w:tc>
          <w:tcPr>
            <w:tcW w:w="1140" w:type="dxa"/>
            <w:noWrap w:val="0"/>
            <w:vAlign w:val="top"/>
          </w:tcPr>
          <w:p>
            <w:pPr>
              <w:rPr>
                <w:rFonts w:hint="eastAsia" w:ascii="宋体" w:hAnsi="宋体" w:eastAsia="宋体" w:cs="宋体"/>
                <w:color w:val="000000"/>
                <w:sz w:val="21"/>
              </w:rPr>
            </w:pPr>
          </w:p>
        </w:tc>
        <w:tc>
          <w:tcPr>
            <w:tcW w:w="1185" w:type="dxa"/>
            <w:noWrap w:val="0"/>
            <w:vAlign w:val="top"/>
          </w:tcPr>
          <w:p>
            <w:pPr>
              <w:rPr>
                <w:rFonts w:hint="eastAsia" w:ascii="宋体" w:hAnsi="宋体" w:eastAsia="宋体" w:cs="宋体"/>
                <w:color w:val="000000"/>
                <w:sz w:val="21"/>
              </w:rPr>
            </w:pPr>
          </w:p>
        </w:tc>
        <w:tc>
          <w:tcPr>
            <w:tcW w:w="810" w:type="dxa"/>
            <w:noWrap w:val="0"/>
            <w:vAlign w:val="top"/>
          </w:tcPr>
          <w:p>
            <w:pPr>
              <w:rPr>
                <w:rFonts w:hint="eastAsia" w:ascii="宋体" w:hAnsi="宋体" w:eastAsia="宋体" w:cs="宋体"/>
                <w:color w:val="000000"/>
                <w:sz w:val="21"/>
              </w:rPr>
            </w:pPr>
          </w:p>
        </w:tc>
        <w:tc>
          <w:tcPr>
            <w:tcW w:w="869" w:type="dxa"/>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pPr>
              <w:pStyle w:val="8"/>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岳阳市岳阳楼区工商业联合会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8"/>
              <w:spacing w:line="235" w:lineRule="exact"/>
              <w:rPr>
                <w:rFonts w:hint="eastAsia" w:ascii="宋体" w:hAnsi="宋体" w:eastAsia="宋体" w:cs="宋体"/>
                <w:sz w:val="20"/>
              </w:rPr>
            </w:pPr>
          </w:p>
        </w:tc>
        <w:tc>
          <w:tcPr>
            <w:tcW w:w="1269" w:type="dxa"/>
            <w:noWrap w:val="0"/>
            <w:vAlign w:val="top"/>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135.24</w:t>
            </w:r>
          </w:p>
        </w:tc>
        <w:tc>
          <w:tcPr>
            <w:tcW w:w="1310"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208.26</w:t>
            </w:r>
          </w:p>
        </w:tc>
        <w:tc>
          <w:tcPr>
            <w:tcW w:w="1268" w:type="dxa"/>
            <w:noWrap w:val="0"/>
            <w:vAlign w:val="center"/>
          </w:tcPr>
          <w:p>
            <w:pPr>
              <w:pStyle w:val="8"/>
              <w:spacing w:line="235" w:lineRule="exact"/>
              <w:jc w:val="center"/>
              <w:rPr>
                <w:rFonts w:hint="eastAsia" w:ascii="宋体" w:hAnsi="宋体" w:eastAsia="宋体" w:cs="宋体"/>
                <w:sz w:val="20"/>
              </w:rPr>
            </w:pPr>
            <w:r>
              <w:rPr>
                <w:rFonts w:hint="eastAsia" w:ascii="宋体" w:hAnsi="宋体" w:eastAsia="宋体" w:cs="宋体"/>
                <w:sz w:val="20"/>
                <w:lang w:val="en-US" w:eastAsia="zh-CN"/>
              </w:rPr>
              <w:t>208.26</w:t>
            </w:r>
          </w:p>
        </w:tc>
        <w:tc>
          <w:tcPr>
            <w:tcW w:w="716" w:type="dxa"/>
            <w:noWrap w:val="0"/>
            <w:vAlign w:val="center"/>
          </w:tcPr>
          <w:p>
            <w:pPr>
              <w:pStyle w:val="8"/>
              <w:spacing w:before="54" w:line="194" w:lineRule="auto"/>
              <w:ind w:left="270"/>
              <w:jc w:val="both"/>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208.26</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153.22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8"/>
              <w:spacing w:line="242" w:lineRule="auto"/>
              <w:rPr>
                <w:rFonts w:hint="eastAsia" w:ascii="宋体" w:hAnsi="宋体" w:eastAsia="宋体" w:cs="宋体"/>
              </w:rPr>
            </w:pPr>
          </w:p>
          <w:p>
            <w:pPr>
              <w:pStyle w:val="8"/>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numPr>
                <w:ilvl w:val="0"/>
                <w:numId w:val="1"/>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组织开展入党积极分子培训</w:t>
            </w:r>
            <w:r>
              <w:rPr>
                <w:rFonts w:hint="eastAsia" w:ascii="宋体" w:hAnsi="宋体" w:eastAsia="宋体" w:cs="宋体"/>
                <w:color w:val="000000"/>
                <w:spacing w:val="-2"/>
                <w:sz w:val="21"/>
                <w:szCs w:val="21"/>
                <w:lang w:eastAsia="zh-CN"/>
              </w:rPr>
              <w:t>；</w:t>
            </w:r>
          </w:p>
          <w:p>
            <w:pPr>
              <w:numPr>
                <w:ilvl w:val="0"/>
                <w:numId w:val="1"/>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开展政治机关建设，定期开展集体学习</w:t>
            </w:r>
            <w:r>
              <w:rPr>
                <w:rFonts w:hint="eastAsia" w:ascii="宋体" w:hAnsi="宋体" w:eastAsia="宋体" w:cs="宋体"/>
                <w:color w:val="000000"/>
                <w:spacing w:val="-2"/>
                <w:sz w:val="21"/>
                <w:szCs w:val="21"/>
                <w:lang w:eastAsia="zh-CN"/>
              </w:rPr>
              <w:t>；</w:t>
            </w:r>
          </w:p>
          <w:p>
            <w:pPr>
              <w:numPr>
                <w:ilvl w:val="0"/>
                <w:numId w:val="1"/>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帮扶重点产业、重点企业行动办公室</w:t>
            </w:r>
            <w:r>
              <w:rPr>
                <w:rFonts w:hint="eastAsia" w:ascii="宋体" w:hAnsi="宋体" w:eastAsia="宋体" w:cs="宋体"/>
                <w:color w:val="000000"/>
                <w:spacing w:val="-2"/>
                <w:sz w:val="21"/>
                <w:szCs w:val="21"/>
                <w:lang w:eastAsia="zh-CN"/>
              </w:rPr>
              <w:t>；</w:t>
            </w:r>
          </w:p>
          <w:p>
            <w:pPr>
              <w:numPr>
                <w:ilvl w:val="0"/>
                <w:numId w:val="1"/>
              </w:numPr>
              <w:spacing w:before="21" w:line="207" w:lineRule="auto"/>
              <w:ind w:left="425" w:leftChars="0" w:hanging="425" w:firstLineChars="0"/>
              <w:rPr>
                <w:rFonts w:hint="eastAsia" w:ascii="宋体" w:hAnsi="宋体" w:eastAsia="宋体" w:cs="宋体"/>
                <w:spacing w:val="2"/>
                <w:sz w:val="19"/>
                <w:szCs w:val="19"/>
                <w:lang w:val="en-US" w:eastAsia="zh-CN"/>
              </w:rPr>
            </w:pPr>
            <w:r>
              <w:rPr>
                <w:rFonts w:hint="eastAsia" w:ascii="宋体" w:hAnsi="宋体" w:eastAsia="宋体" w:cs="宋体"/>
                <w:color w:val="000000"/>
                <w:spacing w:val="-2"/>
                <w:sz w:val="21"/>
                <w:szCs w:val="21"/>
              </w:rPr>
              <w:t>各区级联点领导及责任单位均到联点企业深入走访</w:t>
            </w:r>
            <w:r>
              <w:rPr>
                <w:rFonts w:hint="eastAsia" w:ascii="宋体" w:hAnsi="宋体" w:eastAsia="宋体" w:cs="宋体"/>
                <w:color w:val="000000"/>
                <w:spacing w:val="-2"/>
                <w:sz w:val="21"/>
                <w:szCs w:val="21"/>
                <w:lang w:eastAsia="zh-CN"/>
              </w:rPr>
              <w:t>。</w:t>
            </w:r>
          </w:p>
          <w:p>
            <w:pPr>
              <w:pStyle w:val="8"/>
              <w:rPr>
                <w:rFonts w:hint="default" w:ascii="宋体" w:hAnsi="宋体" w:eastAsia="宋体" w:cs="宋体"/>
                <w:lang w:val="en-US" w:eastAsia="zh-CN"/>
              </w:rPr>
            </w:pPr>
          </w:p>
        </w:tc>
        <w:tc>
          <w:tcPr>
            <w:tcW w:w="4307" w:type="dxa"/>
            <w:gridSpan w:val="4"/>
            <w:noWrap w:val="0"/>
            <w:vAlign w:val="top"/>
          </w:tcPr>
          <w:p>
            <w:pPr>
              <w:spacing w:before="21" w:line="207" w:lineRule="auto"/>
              <w:rPr>
                <w:rFonts w:hint="eastAsia" w:ascii="宋体" w:hAnsi="宋体" w:eastAsia="宋体" w:cs="宋体"/>
                <w:spacing w:val="2"/>
                <w:sz w:val="19"/>
                <w:szCs w:val="19"/>
                <w:lang w:eastAsia="zh-CN"/>
              </w:rPr>
            </w:pPr>
            <w:r>
              <w:rPr>
                <w:rFonts w:hint="eastAsia" w:ascii="宋体" w:hAnsi="宋体" w:eastAsia="宋体" w:cs="宋体"/>
                <w:spacing w:val="2"/>
                <w:sz w:val="19"/>
                <w:szCs w:val="19"/>
                <w:lang w:val="en-US" w:eastAsia="zh-CN"/>
              </w:rPr>
              <w:t>制定《2023年区工商联党建工作计划》、</w:t>
            </w:r>
            <w:r>
              <w:rPr>
                <w:rFonts w:hint="eastAsia" w:ascii="宋体" w:hAnsi="宋体" w:eastAsia="宋体" w:cs="宋体"/>
                <w:spacing w:val="2"/>
                <w:sz w:val="19"/>
                <w:szCs w:val="19"/>
              </w:rPr>
              <w:t>《岳阳楼区</w:t>
            </w:r>
            <w:r>
              <w:rPr>
                <w:rFonts w:hint="eastAsia" w:ascii="宋体" w:hAnsi="宋体" w:eastAsia="宋体" w:cs="宋体"/>
                <w:spacing w:val="2"/>
                <w:sz w:val="19"/>
                <w:szCs w:val="19"/>
                <w:lang w:val="en-US" w:eastAsia="zh-CN"/>
              </w:rPr>
              <w:t>工商联</w:t>
            </w:r>
            <w:r>
              <w:rPr>
                <w:rFonts w:hint="eastAsia" w:ascii="宋体" w:hAnsi="宋体" w:eastAsia="宋体" w:cs="宋体"/>
                <w:spacing w:val="2"/>
                <w:sz w:val="19"/>
                <w:szCs w:val="19"/>
              </w:rPr>
              <w:t>中心组学习制度》，</w:t>
            </w:r>
            <w:r>
              <w:rPr>
                <w:rFonts w:hint="eastAsia" w:ascii="宋体" w:hAnsi="宋体" w:eastAsia="宋体" w:cs="宋体"/>
                <w:spacing w:val="2"/>
                <w:sz w:val="19"/>
                <w:szCs w:val="19"/>
                <w:lang w:val="en-US" w:eastAsia="zh-CN"/>
              </w:rPr>
              <w:t>召开党组理论中心组学习会12次。</w:t>
            </w:r>
            <w:r>
              <w:rPr>
                <w:rFonts w:hint="eastAsia" w:ascii="宋体" w:hAnsi="宋体" w:eastAsia="宋体" w:cs="宋体"/>
                <w:spacing w:val="2"/>
                <w:sz w:val="19"/>
                <w:szCs w:val="19"/>
              </w:rPr>
              <w:t>制定了《岳阳楼区工商联落实意识形态工作责任制实施方案》</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rPr>
              <w:t>《岳阳楼区</w:t>
            </w:r>
            <w:r>
              <w:rPr>
                <w:rFonts w:hint="eastAsia" w:ascii="宋体" w:hAnsi="宋体" w:eastAsia="宋体" w:cs="宋体"/>
                <w:spacing w:val="2"/>
                <w:sz w:val="19"/>
                <w:szCs w:val="19"/>
                <w:lang w:val="en-US" w:eastAsia="zh-CN"/>
              </w:rPr>
              <w:t>工商联</w:t>
            </w:r>
            <w:r>
              <w:rPr>
                <w:rFonts w:hint="eastAsia" w:ascii="宋体" w:hAnsi="宋体" w:eastAsia="宋体" w:cs="宋体"/>
                <w:spacing w:val="2"/>
                <w:sz w:val="19"/>
                <w:szCs w:val="19"/>
              </w:rPr>
              <w:t>（党组）意识形态工作责任制实施办法》</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lang w:val="en-US" w:eastAsia="zh-CN"/>
              </w:rPr>
              <w:t>成立了意识形态工作分析研判领导小组和宣传思想工作领导小组，</w:t>
            </w:r>
            <w:r>
              <w:rPr>
                <w:rFonts w:hint="eastAsia" w:ascii="宋体" w:hAnsi="宋体" w:eastAsia="宋体" w:cs="宋体"/>
                <w:spacing w:val="2"/>
                <w:sz w:val="19"/>
                <w:szCs w:val="19"/>
              </w:rPr>
              <w:t>开展意识形态专题学习</w:t>
            </w:r>
            <w:r>
              <w:rPr>
                <w:rFonts w:hint="eastAsia" w:ascii="宋体" w:hAnsi="宋体" w:eastAsia="宋体" w:cs="宋体"/>
                <w:spacing w:val="2"/>
                <w:sz w:val="19"/>
                <w:szCs w:val="19"/>
                <w:lang w:val="en-US" w:eastAsia="zh-CN"/>
              </w:rPr>
              <w:t>研讨会4次。扎实开展主题教育，制定《岳阳楼区工商联学习贯彻习近平新时代中国特色社会主义思想主题教育工作方案》，召开专题读书会6次</w:t>
            </w:r>
            <w:r>
              <w:rPr>
                <w:rFonts w:hint="eastAsia" w:ascii="宋体" w:hAnsi="宋体" w:eastAsia="宋体" w:cs="宋体"/>
                <w:spacing w:val="2"/>
                <w:sz w:val="19"/>
                <w:szCs w:val="19"/>
              </w:rPr>
              <w:t>。</w:t>
            </w:r>
            <w:r>
              <w:rPr>
                <w:rFonts w:hint="eastAsia" w:ascii="宋体" w:hAnsi="宋体" w:eastAsia="宋体" w:cs="宋体"/>
                <w:spacing w:val="2"/>
                <w:sz w:val="19"/>
                <w:szCs w:val="19"/>
                <w:lang w:val="en-US" w:eastAsia="zh-CN"/>
              </w:rPr>
              <w:t>深入开展“走找相促”活动，解决问题18个。</w:t>
            </w:r>
            <w:r>
              <w:rPr>
                <w:rFonts w:hint="eastAsia" w:ascii="宋体" w:hAnsi="宋体" w:eastAsia="宋体" w:cs="宋体"/>
                <w:spacing w:val="2"/>
                <w:sz w:val="19"/>
                <w:szCs w:val="19"/>
              </w:rPr>
              <w:t>依托“三会一课”制度，</w:t>
            </w:r>
            <w:r>
              <w:rPr>
                <w:rFonts w:hint="eastAsia" w:ascii="宋体" w:hAnsi="宋体" w:eastAsia="宋体" w:cs="宋体"/>
                <w:spacing w:val="2"/>
                <w:sz w:val="19"/>
                <w:szCs w:val="19"/>
                <w:lang w:val="en-US" w:eastAsia="zh-CN"/>
              </w:rPr>
              <w:t>多形式开展</w:t>
            </w:r>
            <w:r>
              <w:rPr>
                <w:rFonts w:hint="eastAsia" w:ascii="宋体" w:hAnsi="宋体" w:eastAsia="宋体" w:cs="宋体"/>
                <w:spacing w:val="2"/>
                <w:sz w:val="19"/>
                <w:szCs w:val="19"/>
              </w:rPr>
              <w:t>主题党日活动</w:t>
            </w:r>
            <w:r>
              <w:rPr>
                <w:rFonts w:hint="eastAsia" w:ascii="宋体" w:hAnsi="宋体" w:eastAsia="宋体" w:cs="宋体"/>
                <w:spacing w:val="2"/>
                <w:sz w:val="19"/>
                <w:szCs w:val="19"/>
                <w:lang w:val="en-US" w:eastAsia="zh-CN"/>
              </w:rPr>
              <w:t>12次，</w:t>
            </w:r>
            <w:r>
              <w:rPr>
                <w:rFonts w:hint="eastAsia" w:ascii="宋体" w:hAnsi="宋体" w:eastAsia="宋体" w:cs="宋体"/>
                <w:spacing w:val="2"/>
                <w:sz w:val="19"/>
                <w:szCs w:val="19"/>
              </w:rPr>
              <w:t>开展书记讲党课、座谈学习</w:t>
            </w:r>
            <w:r>
              <w:rPr>
                <w:rFonts w:hint="eastAsia" w:ascii="宋体" w:hAnsi="宋体" w:eastAsia="宋体" w:cs="宋体"/>
                <w:spacing w:val="2"/>
                <w:sz w:val="19"/>
                <w:szCs w:val="19"/>
                <w:lang w:val="en-US" w:eastAsia="zh-CN"/>
              </w:rPr>
              <w:t>15次</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rPr>
              <w:t>今年新发展</w:t>
            </w:r>
            <w:r>
              <w:rPr>
                <w:rFonts w:hint="eastAsia" w:ascii="宋体" w:hAnsi="宋体" w:eastAsia="宋体" w:cs="宋体"/>
                <w:spacing w:val="2"/>
                <w:sz w:val="19"/>
                <w:szCs w:val="19"/>
                <w:lang w:val="en-US" w:eastAsia="zh-CN"/>
              </w:rPr>
              <w:t>非公领域</w:t>
            </w:r>
            <w:r>
              <w:rPr>
                <w:rFonts w:hint="eastAsia" w:ascii="宋体" w:hAnsi="宋体" w:eastAsia="宋体" w:cs="宋体"/>
                <w:spacing w:val="2"/>
                <w:sz w:val="19"/>
                <w:szCs w:val="19"/>
              </w:rPr>
              <w:t>党员</w:t>
            </w:r>
            <w:r>
              <w:rPr>
                <w:rFonts w:hint="eastAsia" w:ascii="宋体" w:hAnsi="宋体" w:eastAsia="宋体" w:cs="宋体"/>
                <w:spacing w:val="2"/>
                <w:sz w:val="19"/>
                <w:szCs w:val="19"/>
                <w:lang w:val="en-US" w:eastAsia="zh-CN"/>
              </w:rPr>
              <w:t>7</w:t>
            </w:r>
            <w:r>
              <w:rPr>
                <w:rFonts w:hint="eastAsia" w:ascii="宋体" w:hAnsi="宋体" w:eastAsia="宋体" w:cs="宋体"/>
                <w:spacing w:val="2"/>
                <w:sz w:val="19"/>
                <w:szCs w:val="19"/>
              </w:rPr>
              <w:t>名，转正</w:t>
            </w:r>
            <w:r>
              <w:rPr>
                <w:rFonts w:hint="eastAsia" w:ascii="宋体" w:hAnsi="宋体" w:eastAsia="宋体" w:cs="宋体"/>
                <w:spacing w:val="2"/>
                <w:sz w:val="19"/>
                <w:szCs w:val="19"/>
                <w:lang w:val="en-US" w:eastAsia="zh-CN"/>
              </w:rPr>
              <w:t>10</w:t>
            </w:r>
            <w:r>
              <w:rPr>
                <w:rFonts w:hint="eastAsia" w:ascii="宋体" w:hAnsi="宋体" w:eastAsia="宋体" w:cs="宋体"/>
                <w:spacing w:val="2"/>
                <w:sz w:val="19"/>
                <w:szCs w:val="19"/>
              </w:rPr>
              <w:t>名，培养入党积极分子1</w:t>
            </w:r>
            <w:r>
              <w:rPr>
                <w:rFonts w:hint="eastAsia" w:ascii="宋体" w:hAnsi="宋体" w:eastAsia="宋体" w:cs="宋体"/>
                <w:spacing w:val="2"/>
                <w:sz w:val="19"/>
                <w:szCs w:val="19"/>
                <w:lang w:val="en-US" w:eastAsia="zh-CN"/>
              </w:rPr>
              <w:t>2</w:t>
            </w:r>
            <w:r>
              <w:rPr>
                <w:rFonts w:hint="eastAsia" w:ascii="宋体" w:hAnsi="宋体" w:eastAsia="宋体" w:cs="宋体"/>
                <w:spacing w:val="2"/>
                <w:sz w:val="19"/>
                <w:szCs w:val="19"/>
              </w:rPr>
              <w:t>名。建立了党委委员联系指导企业党支部制度，各党委成员下到联点支部，指导企业结合实际，树立了</w:t>
            </w:r>
            <w:r>
              <w:rPr>
                <w:rFonts w:hint="eastAsia" w:ascii="宋体" w:hAnsi="宋体" w:eastAsia="宋体" w:cs="宋体"/>
                <w:spacing w:val="2"/>
                <w:sz w:val="19"/>
                <w:szCs w:val="19"/>
                <w:lang w:val="en-US" w:eastAsia="zh-CN"/>
              </w:rPr>
              <w:t>2</w:t>
            </w:r>
            <w:r>
              <w:rPr>
                <w:rFonts w:hint="eastAsia" w:ascii="宋体" w:hAnsi="宋体" w:eastAsia="宋体" w:cs="宋体"/>
                <w:spacing w:val="2"/>
                <w:sz w:val="19"/>
                <w:szCs w:val="19"/>
              </w:rPr>
              <w:t>家全区非公经济示范党组织。</w:t>
            </w:r>
            <w:r>
              <w:rPr>
                <w:rFonts w:hint="eastAsia" w:ascii="宋体" w:hAnsi="宋体" w:eastAsia="宋体" w:cs="宋体"/>
                <w:spacing w:val="2"/>
                <w:sz w:val="19"/>
                <w:szCs w:val="19"/>
                <w:lang w:val="en-US" w:eastAsia="zh-CN"/>
              </w:rPr>
              <w:t>召开了清廉民企建设推进会，</w:t>
            </w:r>
            <w:r>
              <w:rPr>
                <w:rFonts w:hint="eastAsia" w:ascii="宋体" w:hAnsi="宋体" w:eastAsia="宋体" w:cs="宋体"/>
                <w:spacing w:val="2"/>
                <w:sz w:val="19"/>
                <w:szCs w:val="19"/>
              </w:rPr>
              <w:t>制定了2023年清廉民企建设标准</w:t>
            </w:r>
            <w:r>
              <w:rPr>
                <w:rFonts w:hint="eastAsia" w:ascii="宋体" w:hAnsi="宋体" w:eastAsia="宋体" w:cs="宋体"/>
                <w:spacing w:val="2"/>
                <w:sz w:val="19"/>
                <w:szCs w:val="19"/>
                <w:lang w:eastAsia="zh-CN"/>
              </w:rPr>
              <w:t>。</w:t>
            </w:r>
          </w:p>
          <w:p>
            <w:pPr>
              <w:spacing w:before="21" w:line="207" w:lineRule="auto"/>
              <w:rPr>
                <w:rFonts w:hint="default"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举办中山大学“2023年岳阳楼区助力民营企业高质量发展研修班”，共计32名企业家参加。推荐3名企业家参加学习贯彻党的二十大精神集中轮训第二阶段调训青年人才、基层团干专题培训班，促进青年企业家健康成长。开展了第二期“对话岳阳楼”企业家论坛，共30家工商联会员参加，推动企业家之间相互交流、碰撞思维、找到机遇、深化合作。通过表彰激励企业发展，开展岳阳楼区民营企业10强榜评选活动。</w:t>
            </w:r>
          </w:p>
          <w:p>
            <w:pPr>
              <w:spacing w:before="21" w:line="207" w:lineRule="auto"/>
              <w:rPr>
                <w:rFonts w:hint="eastAsia"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确定文旅产业、建筑业等多个重点帮扶产业，遴选50家企业作为重点帮扶企业。举办企业家沙龙16期，参会企业176家，收集并办结问题134个。</w:t>
            </w:r>
          </w:p>
          <w:p>
            <w:pPr>
              <w:spacing w:before="21" w:line="207" w:lineRule="auto"/>
              <w:rPr>
                <w:rFonts w:hint="eastAsia"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与区法院联合设立了民营经济矛盾纠纷调处工作室，与区检察院成立了岳阳楼区涉案企业合规第三方监督评估机制管理委员会，出台了相关实施方案和管理细则，设立了岳阳楼区专业人员名录库，各专业领域共50人，今年完成了3起案件的合规处理。</w:t>
            </w:r>
          </w:p>
          <w:p>
            <w:pPr>
              <w:spacing w:before="21" w:line="207" w:lineRule="auto"/>
              <w:rPr>
                <w:rFonts w:hint="eastAsia"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完成寓外乡友数据库的建设。截至目前，共完成寓外乡友数据录入1600多条。分类搭建寓外企业家、寓外领导干部、寓外专家教授数据库共计150余条。</w:t>
            </w:r>
          </w:p>
          <w:p>
            <w:pPr>
              <w:spacing w:before="21" w:line="207" w:lineRule="auto"/>
              <w:rPr>
                <w:rFonts w:hint="eastAsia" w:ascii="宋体" w:hAnsi="宋体" w:eastAsia="宋体" w:cs="宋体"/>
                <w:spacing w:val="2"/>
                <w:sz w:val="19"/>
                <w:szCs w:val="19"/>
                <w:lang w:val="en-US" w:eastAsia="zh-CN"/>
              </w:rPr>
            </w:pPr>
            <w:r>
              <w:rPr>
                <w:rFonts w:hint="eastAsia" w:ascii="宋体" w:hAnsi="宋体" w:eastAsia="宋体" w:cs="宋体"/>
                <w:spacing w:val="2"/>
                <w:sz w:val="19"/>
                <w:szCs w:val="19"/>
                <w:lang w:val="en-US" w:eastAsia="zh-CN"/>
              </w:rPr>
              <w:t>引导全区50多家企业参与“万企兴万村”行动，参与建设兴村项目66个，兴村总数64个，投资经营总额近30亿元。</w:t>
            </w:r>
          </w:p>
          <w:p>
            <w:pPr>
              <w:spacing w:before="21" w:line="207" w:lineRule="auto"/>
              <w:rPr>
                <w:rFonts w:hint="eastAsia" w:ascii="宋体" w:hAnsi="宋体" w:eastAsia="宋体" w:cs="宋体"/>
              </w:rPr>
            </w:pPr>
            <w:r>
              <w:rPr>
                <w:rFonts w:hint="eastAsia" w:ascii="宋体" w:hAnsi="宋体" w:eastAsia="宋体" w:cs="宋体"/>
                <w:spacing w:val="2"/>
                <w:sz w:val="19"/>
                <w:szCs w:val="19"/>
                <w:lang w:val="en-US" w:eastAsia="zh-CN"/>
              </w:rPr>
              <w:t>截至2023年年底前，工商联总会员人数3169人，其中企业会员1471人，个人会员1686人，团体会员12个；直属会员194名，其中兼职副主席副会长21名，常委36名，执委135名。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left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2" w:lineRule="auto"/>
              <w:rPr>
                <w:rFonts w:hint="eastAsia" w:ascii="宋体" w:hAnsi="宋体" w:eastAsia="宋体" w:cs="宋体"/>
              </w:rPr>
            </w:pPr>
          </w:p>
          <w:p>
            <w:pPr>
              <w:pStyle w:val="8"/>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召开党组理论中心组学习会</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12次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12次</w:t>
            </w:r>
          </w:p>
        </w:tc>
        <w:tc>
          <w:tcPr>
            <w:tcW w:w="716" w:type="dxa"/>
            <w:tcBorders>
              <w:left w:val="single" w:color="auto" w:sz="4" w:space="0"/>
            </w:tcBorders>
            <w:noWrap w:val="0"/>
            <w:vAlign w:val="center"/>
          </w:tcPr>
          <w:p>
            <w:pPr>
              <w:pStyle w:val="8"/>
              <w:spacing w:line="235" w:lineRule="exact"/>
              <w:jc w:val="center"/>
              <w:rPr>
                <w:rFonts w:hint="default"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建立了“一对一”企业帮扶“挂号”“销号”制度解决问题</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107个</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107个</w:t>
            </w:r>
          </w:p>
        </w:tc>
        <w:tc>
          <w:tcPr>
            <w:tcW w:w="716" w:type="dxa"/>
            <w:tcBorders>
              <w:left w:val="single" w:color="auto" w:sz="4" w:space="0"/>
            </w:tcBorders>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both"/>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完成寓外乡友数据库的建设</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≥1600条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1600条</w:t>
            </w:r>
          </w:p>
        </w:tc>
        <w:tc>
          <w:tcPr>
            <w:tcW w:w="716" w:type="dxa"/>
            <w:tcBorders>
              <w:left w:val="single" w:color="auto" w:sz="4" w:space="0"/>
            </w:tcBorders>
            <w:noWrap w:val="0"/>
            <w:vAlign w:val="top"/>
          </w:tcPr>
          <w:p>
            <w:pPr>
              <w:pStyle w:val="8"/>
              <w:spacing w:line="235" w:lineRule="exact"/>
              <w:jc w:val="center"/>
              <w:rPr>
                <w:rFonts w:hint="eastAsia" w:ascii="宋体" w:hAnsi="宋体" w:eastAsia="宋体" w:cs="宋体"/>
                <w:sz w:val="20"/>
                <w:lang w:val="en-US" w:eastAsia="zh-CN"/>
              </w:rPr>
            </w:pPr>
          </w:p>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pPr>
              <w:pStyle w:val="8"/>
              <w:spacing w:line="235" w:lineRule="exact"/>
              <w:jc w:val="center"/>
              <w:rPr>
                <w:rFonts w:hint="eastAsia" w:ascii="宋体" w:hAnsi="宋体" w:eastAsia="宋体" w:cs="宋体"/>
                <w:sz w:val="20"/>
                <w:lang w:val="en-US" w:eastAsia="zh-CN"/>
              </w:rPr>
            </w:pPr>
          </w:p>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pPr>
              <w:pStyle w:val="8"/>
              <w:spacing w:line="235" w:lineRule="exact"/>
              <w:jc w:val="center"/>
              <w:rPr>
                <w:rFonts w:hint="eastAsia" w:ascii="宋体" w:hAnsi="宋体" w:eastAsia="宋体" w:cs="宋体"/>
                <w:sz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意见建议答复率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执法公正率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19"/>
                <w:szCs w:val="19"/>
              </w:rPr>
            </w:pPr>
            <w:r>
              <w:rPr>
                <w:rFonts w:hint="eastAsia" w:ascii="Arial"/>
                <w:color w:val="000000" w:themeColor="text1"/>
                <w:sz w:val="20"/>
                <w:lang w:eastAsia="zh-CN"/>
                <w14:textFill>
                  <w14:solidFill>
                    <w14:schemeClr w14:val="tx1"/>
                  </w14:solidFill>
                </w14:textFill>
              </w:rPr>
              <w:t>会议率</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before="274" w:line="226" w:lineRule="auto"/>
              <w:ind w:left="139"/>
              <w:jc w:val="both"/>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年度完成</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2023年</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2023年</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控制预算成本</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sz w:val="20"/>
                <w:lang w:val="en-US" w:eastAsia="zh-CN"/>
              </w:rPr>
              <w:t>208.26</w:t>
            </w:r>
            <w:r>
              <w:rPr>
                <w:rFonts w:hint="eastAsia" w:ascii="宋体" w:hAnsi="宋体" w:eastAsia="宋体" w:cs="宋体"/>
                <w:color w:val="000000" w:themeColor="text1"/>
                <w:spacing w:val="-6"/>
                <w:sz w:val="21"/>
                <w:szCs w:val="21"/>
                <w:lang w:val="en-US" w:eastAsia="zh-CN"/>
                <w14:textFill>
                  <w14:solidFill>
                    <w14:schemeClr w14:val="tx1"/>
                  </w14:solidFill>
                </w14:textFill>
              </w:rPr>
              <w:t>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208.26万</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default"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r>
              <w:rPr>
                <w:rFonts w:hint="eastAsia" w:ascii="Arial"/>
                <w:color w:val="000000" w:themeColor="text1"/>
                <w:sz w:val="20"/>
                <w:lang w:val="en-US" w:eastAsia="zh-CN"/>
                <w14:textFill>
                  <w14:solidFill>
                    <w14:schemeClr w14:val="tx1"/>
                  </w14:solidFill>
                </w14:textFill>
              </w:rPr>
              <w:t>提升社会人民的经济发展</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有提升</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both"/>
              <w:textAlignment w:val="auto"/>
              <w:rPr>
                <w:rFonts w:hint="eastAsia" w:ascii="宋体" w:hAnsi="宋体" w:eastAsia="宋体" w:cs="宋体"/>
                <w:sz w:val="20"/>
              </w:rPr>
            </w:pPr>
            <w:r>
              <w:rPr>
                <w:rFonts w:hint="eastAsia" w:ascii="宋体" w:hAnsi="宋体" w:eastAsia="宋体" w:cs="宋体"/>
                <w:color w:val="000000" w:themeColor="text1"/>
                <w:spacing w:val="-6"/>
                <w:sz w:val="21"/>
                <w:szCs w:val="21"/>
                <w:lang w:val="en-US" w:eastAsia="zh-CN"/>
                <w14:textFill>
                  <w14:solidFill>
                    <w14:schemeClr w14:val="tx1"/>
                  </w14:solidFill>
                </w14:textFill>
              </w:rPr>
              <w:t xml:space="preserve">   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sz w:val="20"/>
              </w:rPr>
            </w:pPr>
            <w:r>
              <w:rPr>
                <w:rFonts w:hint="eastAsia" w:ascii="宋体" w:hAnsi="宋体" w:eastAsia="宋体" w:cs="宋体"/>
                <w:color w:val="000000" w:themeColor="text1"/>
                <w:spacing w:val="-6"/>
                <w:sz w:val="21"/>
                <w:szCs w:val="21"/>
                <w:lang w:val="en-US" w:eastAsia="zh-CN"/>
                <w14:textFill>
                  <w14:solidFill>
                    <w14:schemeClr w14:val="tx1"/>
                  </w14:solidFill>
                </w14:textFill>
              </w:rPr>
              <w:t>9</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r>
              <w:rPr>
                <w:rFonts w:hint="eastAsia" w:ascii="Arial"/>
                <w:color w:val="000000" w:themeColor="text1"/>
                <w:sz w:val="20"/>
                <w:lang w:eastAsia="zh-CN"/>
                <w14:textFill>
                  <w14:solidFill>
                    <w14:schemeClr w14:val="tx1"/>
                  </w14:solidFill>
                </w14:textFill>
              </w:rPr>
              <w:t>提高企业和非公优质经济人士依法诚信经营</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sz w:val="20"/>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default" w:ascii="宋体" w:hAnsi="宋体" w:eastAsia="宋体" w:cs="宋体"/>
                <w:sz w:val="20"/>
                <w:lang w:val="en-US"/>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p>
        </w:tc>
        <w:tc>
          <w:tcPr>
            <w:tcW w:w="1450" w:type="dxa"/>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提高经营人士的政治思想和政策</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450"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社会满意度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71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450" w:type="dxa"/>
            <w:noWrap w:val="0"/>
            <w:vAlign w:val="top"/>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center"/>
          </w:tcPr>
          <w:p>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460"/>
        <w:gridCol w:w="1318"/>
        <w:gridCol w:w="1253"/>
        <w:gridCol w:w="922"/>
        <w:gridCol w:w="975"/>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812" w:type="dxa"/>
            <w:gridSpan w:val="4"/>
            <w:noWrap w:val="0"/>
            <w:vAlign w:val="top"/>
          </w:tcPr>
          <w:p>
            <w:pPr>
              <w:pStyle w:val="8"/>
              <w:rPr>
                <w:rFonts w:hint="eastAsia" w:ascii="宋体" w:hAnsi="宋体" w:eastAsia="宋体" w:cs="宋体"/>
                <w:lang w:eastAsia="zh-CN"/>
              </w:rPr>
            </w:pPr>
            <w:r>
              <w:rPr>
                <w:rFonts w:hint="eastAsia" w:ascii="宋体" w:hAnsi="宋体" w:eastAsia="宋体" w:cs="宋体"/>
                <w:color w:val="000000"/>
                <w:spacing w:val="-2"/>
                <w:sz w:val="20"/>
                <w:szCs w:val="20"/>
              </w:rPr>
              <w:t>岳阳市岳阳楼区</w:t>
            </w:r>
            <w:r>
              <w:rPr>
                <w:rFonts w:hint="eastAsia" w:ascii="宋体" w:hAnsi="宋体" w:eastAsia="宋体" w:cs="宋体"/>
                <w:color w:val="000000"/>
                <w:spacing w:val="-2"/>
                <w:sz w:val="20"/>
                <w:szCs w:val="20"/>
                <w:lang w:eastAsia="zh-CN"/>
              </w:rPr>
              <w:t>委员会</w:t>
            </w:r>
          </w:p>
        </w:tc>
        <w:tc>
          <w:tcPr>
            <w:tcW w:w="1253"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706" w:type="dxa"/>
            <w:gridSpan w:val="3"/>
            <w:noWrap w:val="0"/>
            <w:vAlign w:val="top"/>
          </w:tcPr>
          <w:p>
            <w:pPr>
              <w:pStyle w:val="8"/>
              <w:rPr>
                <w:rFonts w:hint="eastAsia" w:ascii="宋体" w:hAnsi="宋体" w:eastAsia="宋体" w:cs="宋体"/>
              </w:rPr>
            </w:pPr>
            <w:r>
              <w:rPr>
                <w:rFonts w:hint="eastAsia" w:ascii="宋体" w:hAnsi="宋体" w:eastAsia="宋体" w:cs="宋体"/>
                <w:color w:val="000000"/>
                <w:spacing w:val="-2"/>
                <w:sz w:val="20"/>
                <w:szCs w:val="20"/>
              </w:rPr>
              <w:t>岳阳市岳阳楼区工商业联合会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460"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8"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53"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922"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975"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809"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60"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11.00</w:t>
            </w:r>
          </w:p>
        </w:tc>
        <w:tc>
          <w:tcPr>
            <w:tcW w:w="1318"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55.04</w:t>
            </w:r>
          </w:p>
        </w:tc>
        <w:tc>
          <w:tcPr>
            <w:tcW w:w="1253"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55.04</w:t>
            </w:r>
          </w:p>
        </w:tc>
        <w:tc>
          <w:tcPr>
            <w:tcW w:w="922" w:type="dxa"/>
            <w:noWrap w:val="0"/>
            <w:vAlign w:val="center"/>
          </w:tcPr>
          <w:p>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975"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100.00%</w:t>
            </w:r>
          </w:p>
        </w:tc>
        <w:tc>
          <w:tcPr>
            <w:tcW w:w="809"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460" w:type="dxa"/>
            <w:noWrap w:val="0"/>
            <w:vAlign w:val="center"/>
          </w:tcPr>
          <w:p>
            <w:pPr>
              <w:pStyle w:val="8"/>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11.00</w:t>
            </w:r>
          </w:p>
        </w:tc>
        <w:tc>
          <w:tcPr>
            <w:tcW w:w="1318" w:type="dxa"/>
            <w:noWrap w:val="0"/>
            <w:vAlign w:val="center"/>
          </w:tcPr>
          <w:p>
            <w:pPr>
              <w:pStyle w:val="8"/>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55.04</w:t>
            </w:r>
          </w:p>
        </w:tc>
        <w:tc>
          <w:tcPr>
            <w:tcW w:w="1253" w:type="dxa"/>
            <w:noWrap w:val="0"/>
            <w:vAlign w:val="center"/>
          </w:tcPr>
          <w:p>
            <w:pPr>
              <w:pStyle w:val="8"/>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55.04</w:t>
            </w:r>
          </w:p>
        </w:tc>
        <w:tc>
          <w:tcPr>
            <w:tcW w:w="922" w:type="dxa"/>
            <w:noWrap w:val="0"/>
            <w:vAlign w:val="center"/>
          </w:tcPr>
          <w:p>
            <w:pPr>
              <w:pStyle w:val="8"/>
              <w:jc w:val="center"/>
              <w:rPr>
                <w:rFonts w:hint="eastAsia" w:ascii="宋体" w:hAnsi="宋体" w:eastAsia="宋体" w:cs="宋体"/>
              </w:rPr>
            </w:pPr>
          </w:p>
        </w:tc>
        <w:tc>
          <w:tcPr>
            <w:tcW w:w="975" w:type="dxa"/>
            <w:noWrap w:val="0"/>
            <w:vAlign w:val="center"/>
          </w:tcPr>
          <w:p>
            <w:pPr>
              <w:pStyle w:val="8"/>
              <w:jc w:val="center"/>
              <w:rPr>
                <w:rFonts w:hint="eastAsia" w:ascii="宋体" w:hAnsi="宋体" w:eastAsia="宋体" w:cs="宋体"/>
              </w:rPr>
            </w:pPr>
          </w:p>
        </w:tc>
        <w:tc>
          <w:tcPr>
            <w:tcW w:w="809"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460" w:type="dxa"/>
            <w:noWrap w:val="0"/>
            <w:vAlign w:val="top"/>
          </w:tcPr>
          <w:p>
            <w:pPr>
              <w:pStyle w:val="8"/>
              <w:rPr>
                <w:rFonts w:hint="eastAsia" w:ascii="宋体" w:hAnsi="宋体" w:eastAsia="宋体" w:cs="宋体"/>
              </w:rPr>
            </w:pPr>
          </w:p>
        </w:tc>
        <w:tc>
          <w:tcPr>
            <w:tcW w:w="1318" w:type="dxa"/>
            <w:noWrap w:val="0"/>
            <w:vAlign w:val="top"/>
          </w:tcPr>
          <w:p>
            <w:pPr>
              <w:pStyle w:val="8"/>
              <w:rPr>
                <w:rFonts w:hint="eastAsia" w:ascii="宋体" w:hAnsi="宋体" w:eastAsia="宋体" w:cs="宋体"/>
              </w:rPr>
            </w:pPr>
          </w:p>
        </w:tc>
        <w:tc>
          <w:tcPr>
            <w:tcW w:w="1253" w:type="dxa"/>
            <w:noWrap w:val="0"/>
            <w:vAlign w:val="top"/>
          </w:tcPr>
          <w:p>
            <w:pPr>
              <w:pStyle w:val="8"/>
              <w:rPr>
                <w:rFonts w:hint="eastAsia" w:ascii="宋体" w:hAnsi="宋体" w:eastAsia="宋体" w:cs="宋体"/>
              </w:rPr>
            </w:pPr>
          </w:p>
        </w:tc>
        <w:tc>
          <w:tcPr>
            <w:tcW w:w="922" w:type="dxa"/>
            <w:noWrap w:val="0"/>
            <w:vAlign w:val="top"/>
          </w:tcPr>
          <w:p>
            <w:pPr>
              <w:pStyle w:val="8"/>
              <w:rPr>
                <w:rFonts w:hint="eastAsia" w:ascii="宋体" w:hAnsi="宋体" w:eastAsia="宋体" w:cs="宋体"/>
              </w:rPr>
            </w:pPr>
          </w:p>
        </w:tc>
        <w:tc>
          <w:tcPr>
            <w:tcW w:w="975" w:type="dxa"/>
            <w:noWrap w:val="0"/>
            <w:vAlign w:val="top"/>
          </w:tcPr>
          <w:p>
            <w:pPr>
              <w:pStyle w:val="8"/>
              <w:rPr>
                <w:rFonts w:hint="eastAsia" w:ascii="宋体" w:hAnsi="宋体" w:eastAsia="宋体" w:cs="宋体"/>
              </w:rPr>
            </w:pPr>
          </w:p>
        </w:tc>
        <w:tc>
          <w:tcPr>
            <w:tcW w:w="809"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460" w:type="dxa"/>
            <w:noWrap w:val="0"/>
            <w:vAlign w:val="top"/>
          </w:tcPr>
          <w:p>
            <w:pPr>
              <w:pStyle w:val="8"/>
              <w:rPr>
                <w:rFonts w:hint="eastAsia" w:ascii="宋体" w:hAnsi="宋体" w:eastAsia="宋体" w:cs="宋体"/>
              </w:rPr>
            </w:pPr>
          </w:p>
        </w:tc>
        <w:tc>
          <w:tcPr>
            <w:tcW w:w="1318" w:type="dxa"/>
            <w:noWrap w:val="0"/>
            <w:vAlign w:val="top"/>
          </w:tcPr>
          <w:p>
            <w:pPr>
              <w:pStyle w:val="8"/>
              <w:rPr>
                <w:rFonts w:hint="eastAsia" w:ascii="宋体" w:hAnsi="宋体" w:eastAsia="宋体" w:cs="宋体"/>
              </w:rPr>
            </w:pPr>
          </w:p>
        </w:tc>
        <w:tc>
          <w:tcPr>
            <w:tcW w:w="1253" w:type="dxa"/>
            <w:noWrap w:val="0"/>
            <w:vAlign w:val="top"/>
          </w:tcPr>
          <w:p>
            <w:pPr>
              <w:pStyle w:val="8"/>
              <w:rPr>
                <w:rFonts w:hint="eastAsia" w:ascii="宋体" w:hAnsi="宋体" w:eastAsia="宋体" w:cs="宋体"/>
              </w:rPr>
            </w:pPr>
          </w:p>
        </w:tc>
        <w:tc>
          <w:tcPr>
            <w:tcW w:w="922" w:type="dxa"/>
            <w:noWrap w:val="0"/>
            <w:vAlign w:val="top"/>
          </w:tcPr>
          <w:p>
            <w:pPr>
              <w:pStyle w:val="8"/>
              <w:rPr>
                <w:rFonts w:hint="eastAsia" w:ascii="宋体" w:hAnsi="宋体" w:eastAsia="宋体" w:cs="宋体"/>
              </w:rPr>
            </w:pPr>
          </w:p>
        </w:tc>
        <w:tc>
          <w:tcPr>
            <w:tcW w:w="975" w:type="dxa"/>
            <w:noWrap w:val="0"/>
            <w:vAlign w:val="top"/>
          </w:tcPr>
          <w:p>
            <w:pPr>
              <w:pStyle w:val="8"/>
              <w:rPr>
                <w:rFonts w:hint="eastAsia" w:ascii="宋体" w:hAnsi="宋体" w:eastAsia="宋体" w:cs="宋体"/>
              </w:rPr>
            </w:pPr>
          </w:p>
        </w:tc>
        <w:tc>
          <w:tcPr>
            <w:tcW w:w="809"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81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95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812" w:type="dxa"/>
            <w:gridSpan w:val="4"/>
            <w:noWrap w:val="0"/>
            <w:vAlign w:val="top"/>
          </w:tcPr>
          <w:p>
            <w:pPr>
              <w:numPr>
                <w:ilvl w:val="0"/>
                <w:numId w:val="2"/>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组织开展入党积极分子培训</w:t>
            </w:r>
            <w:r>
              <w:rPr>
                <w:rFonts w:hint="eastAsia" w:ascii="宋体" w:hAnsi="宋体" w:eastAsia="宋体" w:cs="宋体"/>
                <w:color w:val="000000"/>
                <w:spacing w:val="-2"/>
                <w:sz w:val="21"/>
                <w:szCs w:val="21"/>
                <w:lang w:eastAsia="zh-CN"/>
              </w:rPr>
              <w:t>；</w:t>
            </w:r>
          </w:p>
          <w:p>
            <w:pPr>
              <w:numPr>
                <w:ilvl w:val="0"/>
                <w:numId w:val="2"/>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开展政治机关建设，定期开展集体学习</w:t>
            </w:r>
            <w:r>
              <w:rPr>
                <w:rFonts w:hint="eastAsia" w:ascii="宋体" w:hAnsi="宋体" w:eastAsia="宋体" w:cs="宋体"/>
                <w:color w:val="000000"/>
                <w:spacing w:val="-2"/>
                <w:sz w:val="21"/>
                <w:szCs w:val="21"/>
                <w:lang w:eastAsia="zh-CN"/>
              </w:rPr>
              <w:t>；</w:t>
            </w:r>
          </w:p>
          <w:p>
            <w:pPr>
              <w:numPr>
                <w:ilvl w:val="0"/>
                <w:numId w:val="2"/>
              </w:numPr>
              <w:spacing w:before="21" w:line="207" w:lineRule="auto"/>
              <w:ind w:left="425" w:leftChars="0" w:hanging="425" w:firstLineChars="0"/>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rPr>
              <w:t>帮扶重点产业、重点企业行动办公室</w:t>
            </w:r>
            <w:r>
              <w:rPr>
                <w:rFonts w:hint="eastAsia" w:ascii="宋体" w:hAnsi="宋体" w:eastAsia="宋体" w:cs="宋体"/>
                <w:color w:val="000000"/>
                <w:spacing w:val="-2"/>
                <w:sz w:val="21"/>
                <w:szCs w:val="21"/>
                <w:lang w:eastAsia="zh-CN"/>
              </w:rPr>
              <w:t>；</w:t>
            </w:r>
          </w:p>
          <w:p>
            <w:pPr>
              <w:numPr>
                <w:ilvl w:val="0"/>
                <w:numId w:val="2"/>
              </w:numPr>
              <w:spacing w:before="21" w:line="207" w:lineRule="auto"/>
              <w:ind w:left="425" w:leftChars="0" w:hanging="425" w:firstLineChars="0"/>
              <w:rPr>
                <w:rFonts w:hint="eastAsia" w:ascii="宋体" w:hAnsi="宋体" w:eastAsia="宋体" w:cs="宋体"/>
                <w:spacing w:val="2"/>
                <w:sz w:val="19"/>
                <w:szCs w:val="19"/>
                <w:lang w:val="en-US" w:eastAsia="zh-CN"/>
              </w:rPr>
            </w:pPr>
            <w:r>
              <w:rPr>
                <w:rFonts w:hint="eastAsia" w:ascii="宋体" w:hAnsi="宋体" w:eastAsia="宋体" w:cs="宋体"/>
                <w:color w:val="000000"/>
                <w:spacing w:val="-2"/>
                <w:sz w:val="21"/>
                <w:szCs w:val="21"/>
              </w:rPr>
              <w:t>各区级联点领导及责任单位均到联点企业深入走访</w:t>
            </w:r>
            <w:r>
              <w:rPr>
                <w:rFonts w:hint="eastAsia" w:ascii="宋体" w:hAnsi="宋体" w:eastAsia="宋体" w:cs="宋体"/>
                <w:color w:val="000000"/>
                <w:spacing w:val="-2"/>
                <w:sz w:val="21"/>
                <w:szCs w:val="21"/>
                <w:lang w:eastAsia="zh-CN"/>
              </w:rPr>
              <w:t>。</w:t>
            </w:r>
          </w:p>
          <w:p>
            <w:pPr>
              <w:pStyle w:val="8"/>
              <w:rPr>
                <w:rFonts w:hint="eastAsia" w:ascii="宋体" w:hAnsi="宋体" w:eastAsia="宋体" w:cs="宋体"/>
              </w:rPr>
            </w:pPr>
          </w:p>
        </w:tc>
        <w:tc>
          <w:tcPr>
            <w:tcW w:w="3959" w:type="dxa"/>
            <w:gridSpan w:val="4"/>
            <w:noWrap w:val="0"/>
            <w:vAlign w:val="top"/>
          </w:tcPr>
          <w:p>
            <w:pPr>
              <w:spacing w:before="21" w:line="207" w:lineRule="auto"/>
              <w:rPr>
                <w:rFonts w:hint="eastAsia" w:ascii="宋体" w:hAnsi="宋体" w:eastAsia="宋体" w:cs="宋体"/>
              </w:rPr>
            </w:pPr>
            <w:r>
              <w:rPr>
                <w:rFonts w:hint="eastAsia" w:ascii="宋体" w:hAnsi="宋体" w:eastAsia="宋体" w:cs="宋体"/>
                <w:spacing w:val="2"/>
                <w:sz w:val="19"/>
                <w:szCs w:val="19"/>
                <w:lang w:val="en-US" w:eastAsia="zh-CN"/>
              </w:rPr>
              <w:t>制定《2023年区工商联党建工作计划》、</w:t>
            </w:r>
            <w:r>
              <w:rPr>
                <w:rFonts w:hint="eastAsia" w:ascii="宋体" w:hAnsi="宋体" w:eastAsia="宋体" w:cs="宋体"/>
                <w:spacing w:val="2"/>
                <w:sz w:val="19"/>
                <w:szCs w:val="19"/>
              </w:rPr>
              <w:t>《岳阳楼区</w:t>
            </w:r>
            <w:r>
              <w:rPr>
                <w:rFonts w:hint="eastAsia" w:ascii="宋体" w:hAnsi="宋体" w:eastAsia="宋体" w:cs="宋体"/>
                <w:spacing w:val="2"/>
                <w:sz w:val="19"/>
                <w:szCs w:val="19"/>
                <w:lang w:val="en-US" w:eastAsia="zh-CN"/>
              </w:rPr>
              <w:t>工商联</w:t>
            </w:r>
            <w:r>
              <w:rPr>
                <w:rFonts w:hint="eastAsia" w:ascii="宋体" w:hAnsi="宋体" w:eastAsia="宋体" w:cs="宋体"/>
                <w:spacing w:val="2"/>
                <w:sz w:val="19"/>
                <w:szCs w:val="19"/>
              </w:rPr>
              <w:t>中心组学习制度》，</w:t>
            </w:r>
            <w:r>
              <w:rPr>
                <w:rFonts w:hint="eastAsia" w:ascii="宋体" w:hAnsi="宋体" w:eastAsia="宋体" w:cs="宋体"/>
                <w:spacing w:val="2"/>
                <w:sz w:val="19"/>
                <w:szCs w:val="19"/>
                <w:lang w:val="en-US" w:eastAsia="zh-CN"/>
              </w:rPr>
              <w:t>召开党组理论中心组学习会12次。</w:t>
            </w:r>
            <w:r>
              <w:rPr>
                <w:rFonts w:hint="eastAsia" w:ascii="宋体" w:hAnsi="宋体" w:eastAsia="宋体" w:cs="宋体"/>
                <w:spacing w:val="2"/>
                <w:sz w:val="19"/>
                <w:szCs w:val="19"/>
              </w:rPr>
              <w:t>制定了《岳阳楼区工商联落实意识形态工作责任制实施方案》</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rPr>
              <w:t>《岳阳楼区</w:t>
            </w:r>
            <w:r>
              <w:rPr>
                <w:rFonts w:hint="eastAsia" w:ascii="宋体" w:hAnsi="宋体" w:eastAsia="宋体" w:cs="宋体"/>
                <w:spacing w:val="2"/>
                <w:sz w:val="19"/>
                <w:szCs w:val="19"/>
                <w:lang w:val="en-US" w:eastAsia="zh-CN"/>
              </w:rPr>
              <w:t>工商联</w:t>
            </w:r>
            <w:r>
              <w:rPr>
                <w:rFonts w:hint="eastAsia" w:ascii="宋体" w:hAnsi="宋体" w:eastAsia="宋体" w:cs="宋体"/>
                <w:spacing w:val="2"/>
                <w:sz w:val="19"/>
                <w:szCs w:val="19"/>
              </w:rPr>
              <w:t>（党组）意识形态工作责任制实施办法》</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lang w:val="en-US" w:eastAsia="zh-CN"/>
              </w:rPr>
              <w:t>成立了意识形态工作分析研判领导小组和宣传思想工作领导小组，</w:t>
            </w:r>
            <w:r>
              <w:rPr>
                <w:rFonts w:hint="eastAsia" w:ascii="宋体" w:hAnsi="宋体" w:eastAsia="宋体" w:cs="宋体"/>
                <w:spacing w:val="2"/>
                <w:sz w:val="19"/>
                <w:szCs w:val="19"/>
              </w:rPr>
              <w:t>开展意识形态专题学习</w:t>
            </w:r>
            <w:r>
              <w:rPr>
                <w:rFonts w:hint="eastAsia" w:ascii="宋体" w:hAnsi="宋体" w:eastAsia="宋体" w:cs="宋体"/>
                <w:spacing w:val="2"/>
                <w:sz w:val="19"/>
                <w:szCs w:val="19"/>
                <w:lang w:val="en-US" w:eastAsia="zh-CN"/>
              </w:rPr>
              <w:t>研讨会4次。扎实开展主题教育，制定《岳阳楼区工商联学习贯彻习近平新时代中国特色社会主义思想主题教育工作方案》，召开专题读书会6次</w:t>
            </w:r>
            <w:r>
              <w:rPr>
                <w:rFonts w:hint="eastAsia" w:ascii="宋体" w:hAnsi="宋体" w:eastAsia="宋体" w:cs="宋体"/>
                <w:spacing w:val="2"/>
                <w:sz w:val="19"/>
                <w:szCs w:val="19"/>
              </w:rPr>
              <w:t>。</w:t>
            </w:r>
            <w:r>
              <w:rPr>
                <w:rFonts w:hint="eastAsia" w:ascii="宋体" w:hAnsi="宋体" w:eastAsia="宋体" w:cs="宋体"/>
                <w:spacing w:val="2"/>
                <w:sz w:val="19"/>
                <w:szCs w:val="19"/>
                <w:lang w:val="en-US" w:eastAsia="zh-CN"/>
              </w:rPr>
              <w:t>深入开展“走找相促”活动，解决问题18个。</w:t>
            </w:r>
            <w:r>
              <w:rPr>
                <w:rFonts w:hint="eastAsia" w:ascii="宋体" w:hAnsi="宋体" w:eastAsia="宋体" w:cs="宋体"/>
                <w:spacing w:val="2"/>
                <w:sz w:val="19"/>
                <w:szCs w:val="19"/>
              </w:rPr>
              <w:t>依托“三会一课”制度，</w:t>
            </w:r>
            <w:r>
              <w:rPr>
                <w:rFonts w:hint="eastAsia" w:ascii="宋体" w:hAnsi="宋体" w:eastAsia="宋体" w:cs="宋体"/>
                <w:spacing w:val="2"/>
                <w:sz w:val="19"/>
                <w:szCs w:val="19"/>
                <w:lang w:val="en-US" w:eastAsia="zh-CN"/>
              </w:rPr>
              <w:t>多形式开展</w:t>
            </w:r>
            <w:r>
              <w:rPr>
                <w:rFonts w:hint="eastAsia" w:ascii="宋体" w:hAnsi="宋体" w:eastAsia="宋体" w:cs="宋体"/>
                <w:spacing w:val="2"/>
                <w:sz w:val="19"/>
                <w:szCs w:val="19"/>
              </w:rPr>
              <w:t>主题党日活动</w:t>
            </w:r>
            <w:r>
              <w:rPr>
                <w:rFonts w:hint="eastAsia" w:ascii="宋体" w:hAnsi="宋体" w:eastAsia="宋体" w:cs="宋体"/>
                <w:spacing w:val="2"/>
                <w:sz w:val="19"/>
                <w:szCs w:val="19"/>
                <w:lang w:val="en-US" w:eastAsia="zh-CN"/>
              </w:rPr>
              <w:t>12次，</w:t>
            </w:r>
            <w:r>
              <w:rPr>
                <w:rFonts w:hint="eastAsia" w:ascii="宋体" w:hAnsi="宋体" w:eastAsia="宋体" w:cs="宋体"/>
                <w:spacing w:val="2"/>
                <w:sz w:val="19"/>
                <w:szCs w:val="19"/>
              </w:rPr>
              <w:t>开展书记讲党课、座谈学习</w:t>
            </w:r>
            <w:r>
              <w:rPr>
                <w:rFonts w:hint="eastAsia" w:ascii="宋体" w:hAnsi="宋体" w:eastAsia="宋体" w:cs="宋体"/>
                <w:spacing w:val="2"/>
                <w:sz w:val="19"/>
                <w:szCs w:val="19"/>
                <w:lang w:val="en-US" w:eastAsia="zh-CN"/>
              </w:rPr>
              <w:t>15次</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rPr>
              <w:t>今年新发展</w:t>
            </w:r>
            <w:r>
              <w:rPr>
                <w:rFonts w:hint="eastAsia" w:ascii="宋体" w:hAnsi="宋体" w:eastAsia="宋体" w:cs="宋体"/>
                <w:spacing w:val="2"/>
                <w:sz w:val="19"/>
                <w:szCs w:val="19"/>
                <w:lang w:val="en-US" w:eastAsia="zh-CN"/>
              </w:rPr>
              <w:t>非公领域</w:t>
            </w:r>
            <w:r>
              <w:rPr>
                <w:rFonts w:hint="eastAsia" w:ascii="宋体" w:hAnsi="宋体" w:eastAsia="宋体" w:cs="宋体"/>
                <w:spacing w:val="2"/>
                <w:sz w:val="19"/>
                <w:szCs w:val="19"/>
              </w:rPr>
              <w:t>党员</w:t>
            </w:r>
            <w:r>
              <w:rPr>
                <w:rFonts w:hint="eastAsia" w:ascii="宋体" w:hAnsi="宋体" w:eastAsia="宋体" w:cs="宋体"/>
                <w:spacing w:val="2"/>
                <w:sz w:val="19"/>
                <w:szCs w:val="19"/>
                <w:lang w:val="en-US" w:eastAsia="zh-CN"/>
              </w:rPr>
              <w:t>7</w:t>
            </w:r>
            <w:r>
              <w:rPr>
                <w:rFonts w:hint="eastAsia" w:ascii="宋体" w:hAnsi="宋体" w:eastAsia="宋体" w:cs="宋体"/>
                <w:spacing w:val="2"/>
                <w:sz w:val="19"/>
                <w:szCs w:val="19"/>
              </w:rPr>
              <w:t>名，转正</w:t>
            </w:r>
            <w:r>
              <w:rPr>
                <w:rFonts w:hint="eastAsia" w:ascii="宋体" w:hAnsi="宋体" w:eastAsia="宋体" w:cs="宋体"/>
                <w:spacing w:val="2"/>
                <w:sz w:val="19"/>
                <w:szCs w:val="19"/>
                <w:lang w:val="en-US" w:eastAsia="zh-CN"/>
              </w:rPr>
              <w:t>10</w:t>
            </w:r>
            <w:r>
              <w:rPr>
                <w:rFonts w:hint="eastAsia" w:ascii="宋体" w:hAnsi="宋体" w:eastAsia="宋体" w:cs="宋体"/>
                <w:spacing w:val="2"/>
                <w:sz w:val="19"/>
                <w:szCs w:val="19"/>
              </w:rPr>
              <w:t>名，培养入党积极分子1</w:t>
            </w:r>
            <w:r>
              <w:rPr>
                <w:rFonts w:hint="eastAsia" w:ascii="宋体" w:hAnsi="宋体" w:eastAsia="宋体" w:cs="宋体"/>
                <w:spacing w:val="2"/>
                <w:sz w:val="19"/>
                <w:szCs w:val="19"/>
                <w:lang w:val="en-US" w:eastAsia="zh-CN"/>
              </w:rPr>
              <w:t>2</w:t>
            </w:r>
            <w:r>
              <w:rPr>
                <w:rFonts w:hint="eastAsia" w:ascii="宋体" w:hAnsi="宋体" w:eastAsia="宋体" w:cs="宋体"/>
                <w:spacing w:val="2"/>
                <w:sz w:val="19"/>
                <w:szCs w:val="19"/>
              </w:rPr>
              <w:t>名。建立了党委委员联系指导企业党支部制度，各党委成员下到联点支部，指导企业结合实际，树立了</w:t>
            </w:r>
            <w:r>
              <w:rPr>
                <w:rFonts w:hint="eastAsia" w:ascii="宋体" w:hAnsi="宋体" w:eastAsia="宋体" w:cs="宋体"/>
                <w:spacing w:val="2"/>
                <w:sz w:val="19"/>
                <w:szCs w:val="19"/>
                <w:lang w:val="en-US" w:eastAsia="zh-CN"/>
              </w:rPr>
              <w:t>2</w:t>
            </w:r>
            <w:r>
              <w:rPr>
                <w:rFonts w:hint="eastAsia" w:ascii="宋体" w:hAnsi="宋体" w:eastAsia="宋体" w:cs="宋体"/>
                <w:spacing w:val="2"/>
                <w:sz w:val="19"/>
                <w:szCs w:val="19"/>
              </w:rPr>
              <w:t>家全区非公经济示范党组织。</w:t>
            </w:r>
            <w:r>
              <w:rPr>
                <w:rFonts w:hint="eastAsia" w:ascii="宋体" w:hAnsi="宋体" w:eastAsia="宋体" w:cs="宋体"/>
                <w:spacing w:val="2"/>
                <w:sz w:val="19"/>
                <w:szCs w:val="19"/>
                <w:lang w:val="en-US" w:eastAsia="zh-CN"/>
              </w:rPr>
              <w:t>召开了清廉民企建设推进会，</w:t>
            </w:r>
            <w:r>
              <w:rPr>
                <w:rFonts w:hint="eastAsia" w:ascii="宋体" w:hAnsi="宋体" w:eastAsia="宋体" w:cs="宋体"/>
                <w:spacing w:val="2"/>
                <w:sz w:val="19"/>
                <w:szCs w:val="19"/>
              </w:rPr>
              <w:t>制定了2023年清廉民企建设标准</w:t>
            </w:r>
            <w:r>
              <w:rPr>
                <w:rFonts w:hint="eastAsia" w:ascii="宋体" w:hAnsi="宋体" w:eastAsia="宋体" w:cs="宋体"/>
                <w:spacing w:val="2"/>
                <w:sz w:val="19"/>
                <w:szCs w:val="19"/>
                <w:lang w:eastAsia="zh-CN"/>
              </w:rPr>
              <w:t>。</w:t>
            </w:r>
            <w:r>
              <w:rPr>
                <w:rFonts w:hint="eastAsia" w:ascii="宋体" w:hAnsi="宋体" w:eastAsia="宋体" w:cs="宋体"/>
                <w:spacing w:val="2"/>
                <w:sz w:val="19"/>
                <w:szCs w:val="19"/>
                <w:lang w:val="en-US" w:eastAsia="zh-CN"/>
              </w:rPr>
              <w:t>举办中山大学“2023年岳阳楼区助力民营企业高质量发展研修班”，共计32名企业家参加。推荐3名企业家参加学习贯彻党的二十大精神集中轮训第二阶段调训青年人才、基层团干专题培训班，促进青年企业家健康成长。开展了第二期“对话岳阳楼”企业家论坛，共30家工商联会员参加，推动企业家之间相互交流、碰撞思维、找到机遇、深化合作。通过表彰激励企业发展，开展岳阳楼区民营企业10强榜评选活动、确定文旅产业、建筑业等多个重点帮扶产业，遴选50家企业作为重点帮扶企业。举办企业家沙龙16期，参会企业176家，收集并办结问题134个。与区法院联合设立了民营经济矛盾纠纷调处工作室，与区检察院成立了岳阳楼区涉案企业合规第三方监督评估机制管理委员会，出台了相关实施方案和管理细则，设立了岳阳楼区专业人员名录库，各专业领域共50人，今年完成了3起案件的合规处理。完成寓外乡友数据库的建设。截至目前，共完成寓外乡友数据录入1600多条。分类搭建寓外企业家、寓外领导干部、寓外专家教授数据库共计150余条。引导全区50多家企业参与“万企兴万村”行动，参与建设兴村项目66个，兴村总数64个，投资经营总额近30亿元。截至2023年年底前，工商联总会员人数3169人，其中企业会员1471人，个人会员1686人，团体会员12个；直属会员194名，其中兼职副主席副会长21名，常委36名，执委135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bottom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460" w:type="dxa"/>
            <w:tcBorders>
              <w:bottom w:val="single" w:color="auto" w:sz="4" w:space="0"/>
            </w:tcBorders>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318" w:type="dxa"/>
            <w:tcBorders>
              <w:bottom w:val="single" w:color="auto" w:sz="4" w:space="0"/>
            </w:tcBorders>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53" w:type="dxa"/>
            <w:tcBorders>
              <w:bottom w:val="single" w:color="auto" w:sz="4" w:space="0"/>
            </w:tcBorders>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922" w:type="dxa"/>
            <w:tcBorders>
              <w:bottom w:val="single" w:color="auto" w:sz="4" w:space="0"/>
            </w:tcBorders>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975" w:type="dxa"/>
            <w:tcBorders>
              <w:bottom w:val="single" w:color="auto" w:sz="4" w:space="0"/>
            </w:tcBorders>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809"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召开党组理论中心组学习会</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12次</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12次</w:t>
            </w:r>
          </w:p>
        </w:tc>
        <w:tc>
          <w:tcPr>
            <w:tcW w:w="922"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建立了“一对一”企业帮扶“挂号”“销号”制度解决问题</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107个</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107个</w:t>
            </w:r>
          </w:p>
        </w:tc>
        <w:tc>
          <w:tcPr>
            <w:tcW w:w="922"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46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both"/>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完成寓外乡友数据库的建设</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≥1600条</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pacing w:val="-2"/>
                <w:kern w:val="2"/>
                <w:position w:val="1"/>
                <w:sz w:val="19"/>
                <w:szCs w:val="19"/>
                <w:lang w:val="en-US" w:eastAsia="zh-CN" w:bidi="ar-SA"/>
              </w:rPr>
            </w:pPr>
            <w:r>
              <w:rPr>
                <w:rFonts w:hint="eastAsia" w:ascii="宋体" w:hAnsi="宋体" w:eastAsia="宋体" w:cs="宋体"/>
                <w:spacing w:val="-2"/>
                <w:kern w:val="2"/>
                <w:position w:val="1"/>
                <w:sz w:val="19"/>
                <w:szCs w:val="19"/>
                <w:lang w:val="en-US" w:eastAsia="zh-CN" w:bidi="ar-SA"/>
              </w:rPr>
              <w:t>1600条</w:t>
            </w:r>
          </w:p>
        </w:tc>
        <w:tc>
          <w:tcPr>
            <w:tcW w:w="922"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p>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lang w:val="en-US" w:eastAsia="zh-CN"/>
              </w:rPr>
            </w:pPr>
          </w:p>
          <w:p>
            <w:pPr>
              <w:pStyle w:val="8"/>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意见建议答复率</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执法公正率</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kern w:val="2"/>
                <w:sz w:val="19"/>
                <w:szCs w:val="19"/>
                <w:lang w:val="en-US" w:eastAsia="zh-CN" w:bidi="ar-SA"/>
              </w:rPr>
            </w:pPr>
            <w:r>
              <w:rPr>
                <w:rFonts w:hint="eastAsia" w:ascii="Arial"/>
                <w:color w:val="000000" w:themeColor="text1"/>
                <w:sz w:val="20"/>
                <w:lang w:eastAsia="zh-CN"/>
                <w14:textFill>
                  <w14:solidFill>
                    <w14:schemeClr w14:val="tx1"/>
                  </w14:solidFill>
                </w14:textFill>
              </w:rPr>
              <w:t>会议率</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9" w:type="dxa"/>
            <w:tcBorders>
              <w:lef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4" w:line="240"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40" w:lineRule="auto"/>
              <w:ind w:left="379" w:right="175" w:hanging="178"/>
              <w:rPr>
                <w:rFonts w:hint="eastAsia" w:ascii="宋体" w:hAnsi="宋体" w:eastAsia="宋体" w:cs="宋体"/>
                <w:sz w:val="19"/>
                <w:szCs w:val="19"/>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14:textFill>
                  <w14:solidFill>
                    <w14:schemeClr w14:val="tx1"/>
                  </w14:solidFill>
                </w14:textFill>
              </w:rPr>
              <w:t>年度完成</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2023年</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2023年</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9" w:type="dxa"/>
            <w:tcBorders>
              <w:left w:val="single" w:color="auto" w:sz="4" w:space="0"/>
            </w:tcBorders>
            <w:noWrap w:val="0"/>
            <w:vAlign w:val="top"/>
          </w:tcPr>
          <w:p>
            <w:pPr>
              <w:pStyle w:val="8"/>
              <w:spacing w:line="240" w:lineRule="auto"/>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控制预算成本</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sz w:val="20"/>
                <w:lang w:val="en-US" w:eastAsia="zh-CN"/>
              </w:rPr>
              <w:t>55.04</w:t>
            </w:r>
            <w:r>
              <w:rPr>
                <w:rFonts w:hint="eastAsia" w:ascii="宋体" w:hAnsi="宋体" w:eastAsia="宋体" w:cs="宋体"/>
                <w:color w:val="000000" w:themeColor="text1"/>
                <w:spacing w:val="-6"/>
                <w:sz w:val="21"/>
                <w:szCs w:val="21"/>
                <w:lang w:val="en-US" w:eastAsia="zh-CN"/>
                <w14:textFill>
                  <w14:solidFill>
                    <w14:schemeClr w14:val="tx1"/>
                  </w14:solidFill>
                </w14:textFill>
              </w:rPr>
              <w:t>万</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sz w:val="20"/>
                <w:lang w:val="en-US" w:eastAsia="zh-CN"/>
              </w:rPr>
              <w:t>55.04万</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9" w:type="dxa"/>
            <w:tcBorders>
              <w:left w:val="single" w:color="auto" w:sz="4" w:space="0"/>
              <w:bottom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pStyle w:val="8"/>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kern w:val="2"/>
                <w:sz w:val="20"/>
                <w:szCs w:val="24"/>
                <w:lang w:val="en-US" w:eastAsia="zh-CN" w:bidi="ar-SA"/>
              </w:rPr>
            </w:pPr>
            <w:r>
              <w:rPr>
                <w:rFonts w:hint="eastAsia" w:ascii="Arial"/>
                <w:color w:val="000000" w:themeColor="text1"/>
                <w:sz w:val="20"/>
                <w:lang w:val="en-US" w:eastAsia="zh-CN"/>
                <w14:textFill>
                  <w14:solidFill>
                    <w14:schemeClr w14:val="tx1"/>
                  </w14:solidFill>
                </w14:textFill>
              </w:rPr>
              <w:t>提升社会人民的经济发展</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有提升</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有提升</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kern w:val="2"/>
                <w:sz w:val="20"/>
                <w:szCs w:val="24"/>
                <w:lang w:val="en-US" w:eastAsia="zh-CN" w:bidi="ar-SA"/>
              </w:rPr>
            </w:pPr>
            <w:r>
              <w:rPr>
                <w:rFonts w:hint="eastAsia" w:ascii="宋体" w:hAnsi="宋体" w:eastAsia="宋体" w:cs="宋体"/>
                <w:color w:val="000000" w:themeColor="text1"/>
                <w:spacing w:val="-6"/>
                <w:sz w:val="21"/>
                <w:szCs w:val="21"/>
                <w:lang w:val="en-US" w:eastAsia="zh-CN"/>
                <w14:textFill>
                  <w14:solidFill>
                    <w14:schemeClr w14:val="tx1"/>
                  </w14:solidFill>
                </w14:textFill>
              </w:rPr>
              <w:t>9</w:t>
            </w:r>
          </w:p>
        </w:tc>
        <w:tc>
          <w:tcPr>
            <w:tcW w:w="809" w:type="dxa"/>
            <w:tcBorders>
              <w:top w:val="single" w:color="auto" w:sz="4" w:space="0"/>
              <w:left w:val="single" w:color="auto" w:sz="4" w:space="0"/>
              <w:bottom w:val="single" w:color="auto" w:sz="4" w:space="0"/>
              <w:righ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kern w:val="2"/>
                <w:sz w:val="20"/>
                <w:szCs w:val="24"/>
                <w:lang w:val="en-US" w:eastAsia="zh-CN" w:bidi="ar-SA"/>
              </w:rPr>
            </w:pPr>
            <w:r>
              <w:rPr>
                <w:rFonts w:hint="eastAsia" w:ascii="Arial"/>
                <w:color w:val="000000" w:themeColor="text1"/>
                <w:sz w:val="20"/>
                <w:lang w:eastAsia="zh-CN"/>
                <w14:textFill>
                  <w14:solidFill>
                    <w14:schemeClr w14:val="tx1"/>
                  </w14:solidFill>
                </w14:textFill>
              </w:rPr>
              <w:t>提高企业和非公优质经济人士依法诚信经营</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9" w:type="dxa"/>
            <w:tcBorders>
              <w:top w:val="single" w:color="auto" w:sz="4" w:space="0"/>
              <w:left w:val="single" w:color="auto" w:sz="4" w:space="0"/>
              <w:bottom w:val="single" w:color="auto" w:sz="4" w:space="0"/>
              <w:righ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不适用</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不适用</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提高经营人士的政治思想和政策</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有所提高</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9" w:type="dxa"/>
            <w:tcBorders>
              <w:top w:val="single" w:color="auto" w:sz="4" w:space="0"/>
              <w:left w:val="single" w:color="auto" w:sz="4" w:space="0"/>
              <w:bottom w:val="single" w:color="auto" w:sz="4" w:space="0"/>
              <w:right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46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color w:val="000000" w:themeColor="text1"/>
                <w:sz w:val="20"/>
                <w:lang w:eastAsia="zh-CN"/>
                <w14:textFill>
                  <w14:solidFill>
                    <w14:schemeClr w14:val="tx1"/>
                  </w14:solidFill>
                </w14:textFill>
              </w:rPr>
              <w:t>社会满意度</w:t>
            </w:r>
          </w:p>
        </w:tc>
        <w:tc>
          <w:tcPr>
            <w:tcW w:w="131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125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96%</w:t>
            </w:r>
          </w:p>
        </w:tc>
        <w:tc>
          <w:tcPr>
            <w:tcW w:w="92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9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9" w:type="dxa"/>
            <w:tcBorders>
              <w:top w:val="single" w:color="auto" w:sz="4" w:space="0"/>
            </w:tcBorders>
            <w:noWrap w:val="0"/>
            <w:vAlign w:val="top"/>
          </w:tcPr>
          <w:p>
            <w:pPr>
              <w:pStyle w:val="8"/>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49"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922" w:type="dxa"/>
            <w:noWrap w:val="0"/>
            <w:vAlign w:val="center"/>
          </w:tcPr>
          <w:p>
            <w:pPr>
              <w:spacing w:before="67" w:line="195" w:lineRule="auto"/>
              <w:ind w:left="208"/>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975" w:type="dxa"/>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809" w:type="dxa"/>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年度岳阳市岳阳楼区工商业联合会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 年度岳阳市岳阳楼区工商业联合会</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5"/>
          <w:sz w:val="31"/>
          <w:szCs w:val="31"/>
          <w:lang w:eastAsia="zh-CN"/>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岳阳市岳阳楼区工商业联合会隶属区委群团机关，为正科级单位，内设办公室、经济联络股两个股室，二级机构一个维权服务中心。年末在编在岗7人。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度本单位预算基本支出数124.24万元，其中：人员经费111.64万元，公用经费12.6万元；本年度决算基本支出数147.25万元，其中：人员经费数121.02万元，公用经费数26.23万元；“三公”经费年初数2.00万元，决算数1.65万元，为公务接待费用支出。</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2023年度本单位预算项目支出数11.00万元，决算项目支出数55.04万元，不为单独立项项目支出，都是业务经费支出。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2023年本单位无政府性基金预算支出情况。</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7"/>
          <w:position w:val="21"/>
          <w:sz w:val="31"/>
          <w:szCs w:val="31"/>
          <w:lang w:eastAsia="zh-CN"/>
        </w:rPr>
      </w:pPr>
      <w:r>
        <w:rPr>
          <w:rFonts w:ascii="黑体" w:hAnsi="黑体" w:eastAsia="黑体" w:cs="黑体"/>
          <w:spacing w:val="7"/>
          <w:position w:val="21"/>
          <w:sz w:val="31"/>
          <w:szCs w:val="31"/>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2023年本单位无国有资本经营预算支出情况。</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2023年本单位无社会保险基金预算支出情况。</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2023年，在抓好机关党员干部党史学习教育的同时，我们还负责指导区商会协会党委下属党支部开展学习教育。在会员中深入开展理想信念教育实践活动。深入开展企业帮扶，各区级联点领导及责任单位先后下到联点企业开展走访调研。</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绩效管理要进一步加强，将绩效理念贯穿于预算编制与执行的全过程。</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进一步落实有关文件精神，抓好财务管理工作。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整体绩效评价综述：根据年初设定的整体绩效目标，整体绩效自评得分为99分。全年预算数为208.26万元，执行数为208.26万元，主要包括：人员支出123.68万元，公用支出29.54万元，项目支出55.05万元。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eastAsia" w:ascii="宋体" w:hAnsi="宋体" w:eastAsia="宋体" w:cs="宋体"/>
          <w:spacing w:val="6"/>
          <w:kern w:val="2"/>
          <w:sz w:val="32"/>
          <w:szCs w:val="32"/>
          <w:lang w:val="en-US" w:eastAsia="zh-CN" w:bidi="ar-SA"/>
        </w:rPr>
      </w:pPr>
      <w:r>
        <w:rPr>
          <w:rFonts w:hint="eastAsia" w:ascii="宋体" w:hAnsi="宋体" w:eastAsia="宋体" w:cs="宋体"/>
          <w:spacing w:val="6"/>
          <w:kern w:val="2"/>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4" w:firstLineChars="200"/>
        <w:textAlignment w:val="auto"/>
        <w:rPr>
          <w:rFonts w:hint="default" w:ascii="宋体" w:hAnsi="宋体" w:eastAsia="宋体" w:cs="宋体"/>
          <w:spacing w:val="6"/>
          <w:kern w:val="2"/>
          <w:sz w:val="32"/>
          <w:szCs w:val="32"/>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7097D"/>
    <w:multiLevelType w:val="singleLevel"/>
    <w:tmpl w:val="9B87097D"/>
    <w:lvl w:ilvl="0" w:tentative="0">
      <w:start w:val="1"/>
      <w:numFmt w:val="chineseCounting"/>
      <w:suff w:val="nothing"/>
      <w:lvlText w:val="%1、"/>
      <w:lvlJc w:val="left"/>
      <w:rPr>
        <w:rFonts w:hint="eastAsia"/>
      </w:rPr>
    </w:lvl>
  </w:abstractNum>
  <w:abstractNum w:abstractNumId="1">
    <w:nsid w:val="C7BFB05C"/>
    <w:multiLevelType w:val="singleLevel"/>
    <w:tmpl w:val="C7BFB05C"/>
    <w:lvl w:ilvl="0" w:tentative="0">
      <w:start w:val="1"/>
      <w:numFmt w:val="decimal"/>
      <w:lvlText w:val="%1."/>
      <w:lvlJc w:val="left"/>
      <w:pPr>
        <w:ind w:left="425" w:hanging="425"/>
      </w:pPr>
      <w:rPr>
        <w:rFonts w:hint="default"/>
      </w:rPr>
    </w:lvl>
  </w:abstractNum>
  <w:abstractNum w:abstractNumId="2">
    <w:nsid w:val="D074761B"/>
    <w:multiLevelType w:val="singleLevel"/>
    <w:tmpl w:val="D074761B"/>
    <w:lvl w:ilvl="0" w:tentative="0">
      <w:start w:val="1"/>
      <w:numFmt w:val="decimal"/>
      <w:lvlText w:val="%1."/>
      <w:lvlJc w:val="left"/>
      <w:pPr>
        <w:ind w:left="425" w:hanging="425"/>
      </w:pPr>
      <w:rPr>
        <w:rFonts w:hint="default"/>
      </w:rPr>
    </w:lvl>
  </w:abstractNum>
  <w:abstractNum w:abstractNumId="3">
    <w:nsid w:val="4095C983"/>
    <w:multiLevelType w:val="singleLevel"/>
    <w:tmpl w:val="4095C983"/>
    <w:lvl w:ilvl="0" w:tentative="0">
      <w:start w:val="4"/>
      <w:numFmt w:val="chineseCounting"/>
      <w:suff w:val="nothing"/>
      <w:lvlText w:val="%1、"/>
      <w:lvlJc w:val="left"/>
      <w:rPr>
        <w:rFonts w:hint="eastAsia"/>
      </w:rPr>
    </w:lvl>
  </w:abstractNum>
  <w:abstractNum w:abstractNumId="4">
    <w:nsid w:val="476FB15C"/>
    <w:multiLevelType w:val="singleLevel"/>
    <w:tmpl w:val="476FB15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AA3CEC"/>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272F9"/>
    <w:rsid w:val="03E66326"/>
    <w:rsid w:val="03E704ED"/>
    <w:rsid w:val="03F30B89"/>
    <w:rsid w:val="03FF6E0F"/>
    <w:rsid w:val="0404259A"/>
    <w:rsid w:val="04051601"/>
    <w:rsid w:val="04053773"/>
    <w:rsid w:val="04094307"/>
    <w:rsid w:val="04150B3B"/>
    <w:rsid w:val="042645BA"/>
    <w:rsid w:val="04297A11"/>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E4226C"/>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373283"/>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8516E"/>
    <w:rsid w:val="08DC08E7"/>
    <w:rsid w:val="092D1C9E"/>
    <w:rsid w:val="09377E5E"/>
    <w:rsid w:val="09383E9F"/>
    <w:rsid w:val="0939426E"/>
    <w:rsid w:val="093F4975"/>
    <w:rsid w:val="09504F8C"/>
    <w:rsid w:val="095D034D"/>
    <w:rsid w:val="09616470"/>
    <w:rsid w:val="096C76C1"/>
    <w:rsid w:val="096F66FB"/>
    <w:rsid w:val="097A67FC"/>
    <w:rsid w:val="09835AC1"/>
    <w:rsid w:val="098918FE"/>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0232D"/>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96A37"/>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DE7DF3"/>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4792E"/>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20560"/>
    <w:rsid w:val="1D4E7169"/>
    <w:rsid w:val="1D554265"/>
    <w:rsid w:val="1D5A53AE"/>
    <w:rsid w:val="1D6722E2"/>
    <w:rsid w:val="1D69344A"/>
    <w:rsid w:val="1D6B31E8"/>
    <w:rsid w:val="1D6B7F83"/>
    <w:rsid w:val="1D745F75"/>
    <w:rsid w:val="1D776C3D"/>
    <w:rsid w:val="1D7C0366"/>
    <w:rsid w:val="1D8B7F05"/>
    <w:rsid w:val="1D95321A"/>
    <w:rsid w:val="1DA80CFE"/>
    <w:rsid w:val="1DB85E5C"/>
    <w:rsid w:val="1DBB71A4"/>
    <w:rsid w:val="1DC46662"/>
    <w:rsid w:val="1DCA5E3A"/>
    <w:rsid w:val="1DCF5405"/>
    <w:rsid w:val="1DD75183"/>
    <w:rsid w:val="1DDE2626"/>
    <w:rsid w:val="1DDF66A8"/>
    <w:rsid w:val="1DE859FC"/>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34658"/>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0260AC"/>
    <w:rsid w:val="2039253E"/>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D0598"/>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31625"/>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0E7A47"/>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6F5C56"/>
    <w:rsid w:val="2D7343C9"/>
    <w:rsid w:val="2D8748E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53036"/>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11653"/>
    <w:rsid w:val="2F583C3E"/>
    <w:rsid w:val="2F5E4FF7"/>
    <w:rsid w:val="2F625574"/>
    <w:rsid w:val="2F743362"/>
    <w:rsid w:val="2F783818"/>
    <w:rsid w:val="2FA3249D"/>
    <w:rsid w:val="2FA44A0B"/>
    <w:rsid w:val="2FAF57D0"/>
    <w:rsid w:val="2FC05B92"/>
    <w:rsid w:val="2FC70776"/>
    <w:rsid w:val="2FC82F97"/>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74C16"/>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085004"/>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5527E2"/>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814BF"/>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96772"/>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97BDF"/>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50382F"/>
    <w:rsid w:val="44613E6E"/>
    <w:rsid w:val="446A5324"/>
    <w:rsid w:val="447E7804"/>
    <w:rsid w:val="44943661"/>
    <w:rsid w:val="44950E83"/>
    <w:rsid w:val="44A05C5C"/>
    <w:rsid w:val="44AC3CFA"/>
    <w:rsid w:val="44AC7417"/>
    <w:rsid w:val="44B16853"/>
    <w:rsid w:val="44BE1DEF"/>
    <w:rsid w:val="44BF0A6C"/>
    <w:rsid w:val="44EE4DF6"/>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95479"/>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311E6"/>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562E2"/>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70719"/>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2273"/>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9A7A86"/>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74AF5"/>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34F2"/>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052CE"/>
    <w:rsid w:val="51633834"/>
    <w:rsid w:val="51653405"/>
    <w:rsid w:val="516A1CA8"/>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A12C77"/>
    <w:rsid w:val="53B2707B"/>
    <w:rsid w:val="53B45677"/>
    <w:rsid w:val="53C0579F"/>
    <w:rsid w:val="53D23CC3"/>
    <w:rsid w:val="53DD2466"/>
    <w:rsid w:val="53DE11D6"/>
    <w:rsid w:val="53E34323"/>
    <w:rsid w:val="53F40360"/>
    <w:rsid w:val="5407756C"/>
    <w:rsid w:val="540A5EE2"/>
    <w:rsid w:val="54191438"/>
    <w:rsid w:val="542247A4"/>
    <w:rsid w:val="5427381E"/>
    <w:rsid w:val="543071C7"/>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DA73FC"/>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14C8A"/>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962B6"/>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53DC6"/>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E5153"/>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2F68AE"/>
    <w:rsid w:val="6337684E"/>
    <w:rsid w:val="63403C73"/>
    <w:rsid w:val="6351410B"/>
    <w:rsid w:val="635D4427"/>
    <w:rsid w:val="635F082F"/>
    <w:rsid w:val="63710CD7"/>
    <w:rsid w:val="637D427E"/>
    <w:rsid w:val="637F15E3"/>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97173"/>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512EC"/>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350E3"/>
    <w:rsid w:val="6776404D"/>
    <w:rsid w:val="67937849"/>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94879"/>
    <w:rsid w:val="696B3119"/>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5B3BBC"/>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EF3F23"/>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36C87"/>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A4288"/>
    <w:rsid w:val="6FEB1D4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105EF"/>
    <w:rsid w:val="725F40EB"/>
    <w:rsid w:val="72600D68"/>
    <w:rsid w:val="72604620"/>
    <w:rsid w:val="726B02C1"/>
    <w:rsid w:val="726D1B0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B4EE4"/>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C635F"/>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05D4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000AED"/>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B7506"/>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9045D"/>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BB1BB7"/>
    <w:rsid w:val="7BC12C72"/>
    <w:rsid w:val="7BD1454E"/>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4298</Words>
  <Characters>4815</Characters>
  <Lines>0</Lines>
  <Paragraphs>0</Paragraphs>
  <TotalTime>0</TotalTime>
  <ScaleCrop>false</ScaleCrop>
  <LinksUpToDate>false</LinksUpToDate>
  <CharactersWithSpaces>4969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2024-05-29T08:16:25Z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