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/>
          <w:spacing w:val="2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color w:val="000000"/>
          <w:spacing w:val="2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2"/>
          <w:sz w:val="44"/>
          <w:szCs w:val="44"/>
        </w:rPr>
        <w:t>3</w:t>
      </w:r>
      <w:r>
        <w:rPr>
          <w:rFonts w:ascii="方正小标宋简体" w:hAnsi="方正小标宋简体" w:eastAsia="方正小标宋简体" w:cs="方正小标宋简体"/>
          <w:color w:val="000000"/>
          <w:spacing w:val="2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2"/>
          <w:sz w:val="44"/>
          <w:szCs w:val="44"/>
        </w:rPr>
        <w:t>岳阳市岳阳楼区司法局</w:t>
      </w:r>
      <w:r>
        <w:rPr>
          <w:rFonts w:ascii="方正小标宋简体" w:hAnsi="方正小标宋简体" w:eastAsia="方正小标宋简体" w:cs="方正小标宋简体"/>
          <w:color w:val="000000"/>
          <w:spacing w:val="2"/>
          <w:sz w:val="44"/>
          <w:szCs w:val="44"/>
        </w:rPr>
        <w:t>整体支出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/>
          <w:spacing w:val="2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color w:val="000000"/>
          <w:spacing w:val="2"/>
          <w:sz w:val="44"/>
          <w:szCs w:val="44"/>
        </w:rPr>
        <w:t>绩效自评报告</w:t>
      </w:r>
    </w:p>
    <w:p>
      <w:pPr>
        <w:jc w:val="left"/>
        <w:rPr>
          <w:rFonts w:ascii="仿宋" w:hAnsi="仿宋" w:eastAsia="仿宋" w:cs="仿宋"/>
          <w:color w:val="000000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/>
          <w:sz w:val="22"/>
          <w:szCs w:val="22"/>
        </w:rPr>
      </w:pPr>
    </w:p>
    <w:p>
      <w:pPr>
        <w:jc w:val="center"/>
        <w:rPr>
          <w:rFonts w:ascii="楷体_GB2312" w:hAnsi="楷体_GB2312" w:eastAsia="楷体_GB2312" w:cs="楷体_GB2312"/>
          <w:color w:val="000000"/>
          <w:sz w:val="36"/>
          <w:szCs w:val="36"/>
        </w:rPr>
      </w:pPr>
      <w:r>
        <w:rPr>
          <w:rFonts w:hint="eastAsia" w:ascii="楷体_GB2312" w:hAnsi="楷体_GB2312" w:eastAsia="楷体_GB2312" w:cs="楷体_GB2312"/>
          <w:color w:val="000000"/>
          <w:sz w:val="36"/>
          <w:szCs w:val="36"/>
        </w:rPr>
        <w:t>部门(单位)名称：   ( 盖 章 )</w:t>
      </w:r>
    </w:p>
    <w:p>
      <w:pPr>
        <w:jc w:val="center"/>
        <w:rPr>
          <w:rFonts w:ascii="楷体_GB2312" w:hAnsi="楷体_GB2312" w:eastAsia="楷体_GB2312" w:cs="楷体_GB2312"/>
          <w:color w:val="000000"/>
          <w:sz w:val="36"/>
          <w:szCs w:val="36"/>
        </w:rPr>
      </w:pPr>
      <w:r>
        <w:rPr>
          <w:rFonts w:hint="eastAsia" w:ascii="楷体_GB2312" w:hAnsi="楷体_GB2312" w:eastAsia="楷体_GB2312" w:cs="楷体_GB2312"/>
          <w:color w:val="000000"/>
          <w:sz w:val="36"/>
          <w:szCs w:val="36"/>
        </w:rPr>
        <w:t>2024年 5 月 3</w:t>
      </w:r>
      <w:r>
        <w:rPr>
          <w:rFonts w:hint="eastAsia" w:ascii="楷体_GB2312" w:hAnsi="楷体_GB2312" w:eastAsia="楷体_GB2312" w:cs="楷体_GB2312"/>
          <w:color w:val="000000"/>
          <w:sz w:val="36"/>
          <w:szCs w:val="36"/>
          <w:lang w:val="en-US" w:eastAsia="zh-CN"/>
        </w:rPr>
        <w:t>0</w:t>
      </w:r>
      <w:r>
        <w:rPr>
          <w:rFonts w:hint="eastAsia" w:ascii="楷体_GB2312" w:hAnsi="楷体_GB2312" w:eastAsia="楷体_GB2312" w:cs="楷体_GB2312"/>
          <w:color w:val="000000"/>
          <w:sz w:val="36"/>
          <w:szCs w:val="36"/>
        </w:rPr>
        <w:t xml:space="preserve"> 日</w:t>
      </w:r>
    </w:p>
    <w:p>
      <w:pPr>
        <w:jc w:val="left"/>
        <w:rPr>
          <w:rFonts w:ascii="仿宋" w:hAnsi="仿宋" w:eastAsia="仿宋" w:cs="仿宋"/>
          <w:color w:val="000000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/>
          <w:sz w:val="22"/>
          <w:szCs w:val="22"/>
        </w:rPr>
      </w:pPr>
    </w:p>
    <w:p>
      <w:pPr>
        <w:spacing w:line="700" w:lineRule="exact"/>
        <w:ind w:firstLine="2420" w:firstLineChars="550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spacing w:line="700" w:lineRule="exact"/>
        <w:ind w:firstLine="2420" w:firstLineChars="550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spacing w:line="700" w:lineRule="exact"/>
        <w:ind w:firstLine="2420" w:firstLineChars="550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2023年度岳阳楼区司法局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单位整体支出绩效自评报告</w:t>
      </w:r>
    </w:p>
    <w:p>
      <w:pPr>
        <w:jc w:val="left"/>
        <w:rPr>
          <w:rFonts w:ascii="仿宋" w:hAnsi="仿宋" w:eastAsia="仿宋" w:cs="仿宋"/>
          <w:color w:val="000000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/>
          <w:sz w:val="22"/>
          <w:szCs w:val="22"/>
        </w:rPr>
      </w:pPr>
    </w:p>
    <w:p>
      <w:pPr>
        <w:numPr>
          <w:ilvl w:val="0"/>
          <w:numId w:val="1"/>
        </w:numPr>
        <w:ind w:firstLine="640" w:firstLineChars="200"/>
        <w:jc w:val="lef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单位基本情况</w:t>
      </w:r>
    </w:p>
    <w:p>
      <w:pPr>
        <w:widowControl/>
        <w:spacing w:line="600" w:lineRule="exact"/>
        <w:ind w:firstLine="643" w:firstLineChars="200"/>
        <w:rPr>
          <w:rFonts w:ascii="仿宋" w:hAnsi="仿宋" w:eastAsia="仿宋" w:cs="仿宋_GB2312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kern w:val="0"/>
          <w:sz w:val="32"/>
          <w:szCs w:val="32"/>
        </w:rPr>
        <w:t>（一）职能职责</w:t>
      </w:r>
    </w:p>
    <w:p>
      <w:pPr>
        <w:widowControl/>
        <w:spacing w:line="60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1、贯彻执行国家和省、市有关司法行政工作的方针、政策、法律、法规，编制全区司法行政发展中、长期规划和年度计划并监督实施，指导、管理全区法律服务机构和法律服务市场。</w:t>
      </w:r>
    </w:p>
    <w:p>
      <w:pPr>
        <w:widowControl/>
        <w:spacing w:line="60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2、制定全区法制宣传教育和依法治理规划并组织实施，指导全区地方、行业、基层的依法治理工作，负责全区干部学法用法培训、考试、考核工作，负责牵头“法治楼区”建设工作。</w:t>
      </w:r>
    </w:p>
    <w:p>
      <w:pPr>
        <w:widowControl/>
        <w:spacing w:line="60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3、管理指导监督全区律师、法律顾问工作，管理直属本局的法律服务机构，协助组织司法考试。</w:t>
      </w:r>
    </w:p>
    <w:p>
      <w:pPr>
        <w:widowControl/>
        <w:spacing w:line="60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4、管理指导监督公证业务活动。</w:t>
      </w:r>
    </w:p>
    <w:p>
      <w:pPr>
        <w:widowControl/>
        <w:spacing w:line="60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5、代表政府实施法律援助工作 ，对受援对象提花法律服务。</w:t>
      </w:r>
    </w:p>
    <w:p>
      <w:pPr>
        <w:widowControl/>
        <w:spacing w:line="60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6、管理指导全区街道乡、司法所、基层法律服务所和人民调解委员会工作，负责全区“调委会”组织建设和业务培训工作，负责全区法律服务机构的申报、年检和法律服务工作者资格考试、年检、注册工作，参与社会治安综合治理。</w:t>
      </w:r>
    </w:p>
    <w:p>
      <w:pPr>
        <w:widowControl/>
        <w:spacing w:line="60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7、负责对全区的刑满释放人员的安置帮教工作，承担区刑释解教安置帮教领导小组办公室日常工作。</w:t>
      </w:r>
    </w:p>
    <w:p>
      <w:pPr>
        <w:widowControl/>
        <w:spacing w:line="60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8、负责对全区的社区矫正工作，承担区社区矫正领导小组办公室的日常工作。</w:t>
      </w:r>
    </w:p>
    <w:p>
      <w:pPr>
        <w:widowControl/>
        <w:spacing w:line="60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9、负责对市中心城区患有尿毒症、癌症、脉管炎、肺结核等涉毒重症违法犯罪人员进行集中收治。</w:t>
      </w:r>
    </w:p>
    <w:p>
      <w:pPr>
        <w:widowControl/>
        <w:spacing w:line="60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10、指导管理全区面向社区服务的司法鉴定工作。</w:t>
      </w:r>
    </w:p>
    <w:p>
      <w:pPr>
        <w:widowControl/>
        <w:spacing w:line="60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11、管理指导全区司法行政系统的队伍建设和思想政法工作，管理司法所编制和人事任免工作。</w:t>
      </w:r>
    </w:p>
    <w:p>
      <w:pPr>
        <w:widowControl/>
        <w:spacing w:line="60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12、依法监督商业投资企业执行有关法律法规规章、合同章程的情况并协调解决有关问题，及时预防调处商业纠纷；进行专项法制宣传，提供相应法律服务。</w:t>
      </w:r>
    </w:p>
    <w:p>
      <w:pPr>
        <w:widowControl/>
        <w:spacing w:line="60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13、负责本单位、本系统的信访维稳和安全生产工作。承办区委、区人民政府交办的其他事项。岳阳楼区司法局主要负责全区司法行政工作。</w:t>
      </w:r>
    </w:p>
    <w:p>
      <w:pPr>
        <w:widowControl/>
        <w:spacing w:line="600" w:lineRule="exact"/>
        <w:ind w:firstLine="643" w:firstLineChars="200"/>
        <w:rPr>
          <w:rFonts w:ascii="仿宋" w:hAnsi="仿宋" w:eastAsia="仿宋" w:cs="仿宋_GB2312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kern w:val="0"/>
          <w:sz w:val="32"/>
          <w:szCs w:val="32"/>
        </w:rPr>
        <w:t>（二）机构设置</w:t>
      </w:r>
    </w:p>
    <w:p>
      <w:pPr>
        <w:widowControl/>
        <w:spacing w:line="600" w:lineRule="exact"/>
        <w:ind w:firstLine="640" w:firstLineChars="200"/>
        <w:rPr>
          <w:rFonts w:ascii="仿宋" w:hAnsi="仿宋" w:eastAsia="仿宋" w:cs="仿宋_GB2312"/>
          <w:b/>
          <w:bCs/>
          <w:kern w:val="0"/>
          <w:sz w:val="32"/>
          <w:szCs w:val="32"/>
        </w:rPr>
      </w:pPr>
      <w:r>
        <w:rPr>
          <w:rFonts w:ascii="仿宋" w:hAnsi="仿宋" w:eastAsia="仿宋" w:cs="仿宋_GB2312"/>
          <w:kern w:val="0"/>
          <w:sz w:val="32"/>
          <w:szCs w:val="32"/>
        </w:rPr>
        <w:t>本部门现有干部职工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68</w:t>
      </w:r>
      <w:r>
        <w:rPr>
          <w:rFonts w:ascii="仿宋" w:hAnsi="仿宋" w:eastAsia="仿宋" w:cs="仿宋_GB2312"/>
          <w:kern w:val="0"/>
          <w:sz w:val="32"/>
          <w:szCs w:val="32"/>
        </w:rPr>
        <w:t>人，其中：公务员编制干部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42</w:t>
      </w:r>
      <w:r>
        <w:rPr>
          <w:rFonts w:ascii="仿宋" w:hAnsi="仿宋" w:eastAsia="仿宋" w:cs="仿宋_GB2312"/>
          <w:kern w:val="0"/>
          <w:sz w:val="32"/>
          <w:szCs w:val="32"/>
        </w:rPr>
        <w:t>人，事业编制职工26人。本部门内设：办公室、政工室、行政复议股、规范性文件审查股、律师管理股、基层工作管理股、社区矫正工作管理股、法制宣传教育股、执法监督股、财务装备股10个股室；下设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三个二级机构：岳阳市中心城区涉毒重症违法犯罪人员收治中心、岳阳市岳阳楼区法律援助中心、岳阳市岳阳楼区商业纠纷预防调处服务中心。 </w:t>
      </w:r>
    </w:p>
    <w:p>
      <w:pPr>
        <w:ind w:firstLine="320" w:firstLineChars="100"/>
        <w:jc w:val="lef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二、一般公共预算支出情况</w:t>
      </w:r>
    </w:p>
    <w:p>
      <w:pPr>
        <w:ind w:firstLine="643" w:firstLineChars="200"/>
        <w:jc w:val="left"/>
        <w:rPr>
          <w:rFonts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(一)基本支出情况</w:t>
      </w:r>
    </w:p>
    <w:p>
      <w:pPr>
        <w:spacing w:line="4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2023年基本支出1164.35万元，主要列支人员工资福利和公用工作经费。具体支出项目如下：</w:t>
      </w:r>
    </w:p>
    <w:p>
      <w:pPr>
        <w:spacing w:line="4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1.人员工资福利经费支出</w:t>
      </w:r>
      <w:r>
        <w:rPr>
          <w:rFonts w:ascii="仿宋" w:hAnsi="仿宋" w:eastAsia="仿宋" w:cs="仿宋"/>
          <w:sz w:val="32"/>
          <w:szCs w:val="32"/>
        </w:rPr>
        <w:t>937</w:t>
      </w:r>
      <w:r>
        <w:rPr>
          <w:rFonts w:hint="eastAsia" w:ascii="仿宋" w:hAnsi="仿宋" w:eastAsia="仿宋" w:cs="仿宋"/>
          <w:sz w:val="32"/>
          <w:szCs w:val="32"/>
        </w:rPr>
        <w:t>.</w:t>
      </w:r>
      <w:r>
        <w:rPr>
          <w:rFonts w:ascii="仿宋" w:hAnsi="仿宋" w:eastAsia="仿宋" w:cs="仿宋"/>
          <w:sz w:val="32"/>
          <w:szCs w:val="32"/>
        </w:rPr>
        <w:t>79</w:t>
      </w:r>
      <w:r>
        <w:rPr>
          <w:rFonts w:hint="eastAsia" w:ascii="仿宋" w:hAnsi="仿宋" w:eastAsia="仿宋" w:cs="仿宋"/>
          <w:sz w:val="32"/>
          <w:szCs w:val="32"/>
        </w:rPr>
        <w:t>万元，主要用于在职职工基本工资、绩效工资、奖金、津贴补贴、社会保障缴费、住房公积金、伙食补助费等;</w:t>
      </w:r>
    </w:p>
    <w:p>
      <w:pPr>
        <w:spacing w:line="4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2.商品和服务支出161.45万元，主要用于办公费、水电费、维修费、劳务费、专用材料费、工会经费等单位基本运行费用支出;</w:t>
      </w:r>
    </w:p>
    <w:p>
      <w:pPr>
        <w:spacing w:line="4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3.对个人和家庭补助支出62.70万元，主要用于退休费支出;</w:t>
      </w:r>
    </w:p>
    <w:p>
      <w:pPr>
        <w:widowControl w:val="0"/>
        <w:ind w:firstLine="640" w:firstLineChars="200"/>
        <w:jc w:val="both"/>
        <w:rPr>
          <w:rFonts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4.资本性支出2.42万元,主要用于办公设备购置。</w:t>
      </w:r>
    </w:p>
    <w:p>
      <w:pPr>
        <w:widowControl w:val="0"/>
        <w:ind w:left="0" w:leftChars="0"/>
        <w:jc w:val="both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    5.本年度公务接待费1.48万元，公务用车购置和运行维护费4.27元，因公出国（境）费用0.00万元。</w:t>
      </w:r>
    </w:p>
    <w:p>
      <w:pPr>
        <w:numPr>
          <w:ilvl w:val="0"/>
          <w:numId w:val="2"/>
        </w:numPr>
        <w:ind w:firstLine="643" w:firstLineChars="200"/>
        <w:jc w:val="left"/>
        <w:rPr>
          <w:rFonts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项目支出情况</w:t>
      </w:r>
    </w:p>
    <w:p>
      <w:pPr>
        <w:widowControl w:val="0"/>
        <w:ind w:firstLine="640" w:firstLineChars="200"/>
        <w:jc w:val="both"/>
        <w:rPr>
          <w:rFonts w:ascii="仿宋" w:hAnsi="仿宋" w:eastAsia="仿宋" w:cs="仿宋"/>
          <w:kern w:val="2"/>
          <w:sz w:val="32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24"/>
          <w:lang w:val="en-US" w:eastAsia="zh-CN" w:bidi="ar-SA"/>
        </w:rPr>
        <w:t>2023年项目支出644.80万元，主要列支社区矫正安置帮教、政府购买服务、矛盾多元化调解、法治普法、法律援助、三调联动、戒毒收治中心运行维护等费用。</w:t>
      </w:r>
    </w:p>
    <w:p>
      <w:pPr>
        <w:tabs>
          <w:tab w:val="left" w:pos="605"/>
        </w:tabs>
        <w:ind w:firstLine="320" w:firstLineChars="100"/>
        <w:jc w:val="lef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三、政府性基金预算支出情况</w:t>
      </w:r>
    </w:p>
    <w:p>
      <w:pPr>
        <w:tabs>
          <w:tab w:val="left" w:pos="632"/>
        </w:tabs>
        <w:ind w:firstLine="320" w:firstLineChars="100"/>
        <w:jc w:val="lef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四、国有资本经营预算支出情况</w:t>
      </w:r>
    </w:p>
    <w:p>
      <w:pPr>
        <w:ind w:firstLine="320" w:firstLineChars="100"/>
        <w:jc w:val="lef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五、社会保险基金预算支出情况</w:t>
      </w:r>
    </w:p>
    <w:p>
      <w:pPr>
        <w:ind w:firstLine="320" w:firstLineChars="100"/>
        <w:jc w:val="lef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六、部门整体支出绩效情况</w:t>
      </w:r>
    </w:p>
    <w:p>
      <w:pPr>
        <w:adjustRightInd w:val="0"/>
        <w:snapToGrid w:val="0"/>
        <w:spacing w:line="400" w:lineRule="exact"/>
        <w:ind w:firstLine="643" w:firstLineChars="200"/>
        <w:contextualSpacing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（一）部门整体支出情况分析</w:t>
      </w:r>
    </w:p>
    <w:p>
      <w:pPr>
        <w:adjustRightInd w:val="0"/>
        <w:snapToGrid w:val="0"/>
        <w:spacing w:line="540" w:lineRule="atLeast"/>
        <w:ind w:firstLine="664" w:firstLineChars="200"/>
        <w:contextualSpacing/>
        <w:rPr>
          <w:rFonts w:ascii="仿宋" w:hAnsi="仿宋" w:eastAsia="仿宋" w:cs="仿宋"/>
          <w:spacing w:val="6"/>
          <w:sz w:val="32"/>
          <w:szCs w:val="32"/>
        </w:rPr>
      </w:pPr>
      <w:r>
        <w:rPr>
          <w:rFonts w:hint="eastAsia" w:ascii="仿宋" w:hAnsi="仿宋" w:eastAsia="仿宋" w:cs="仿宋"/>
          <w:spacing w:val="6"/>
          <w:sz w:val="32"/>
          <w:szCs w:val="32"/>
        </w:rPr>
        <w:t>从整体情况来看，我局严格按照年初预算进行部门整体支出。在支出过程中，能严格遵守各项规章制度，“三公经费”明显下降。所有项目都详细制定了方案，严格按方案组织实施，并加强了监督。尤其是在专项经费支出上，我们能专款专用，按项目实施计划的进度情况进行资金拨付，无截留、无挪用等现象。为建设“名副其实的省域副中心城市”目标任务做出了重要贡献。实行了先有预算、后有执行、“用钱必问效、无效必问责”的新常态。</w:t>
      </w:r>
    </w:p>
    <w:p>
      <w:pPr>
        <w:adjustRightInd w:val="0"/>
        <w:snapToGrid w:val="0"/>
        <w:spacing w:line="400" w:lineRule="exact"/>
        <w:ind w:firstLine="643" w:firstLineChars="200"/>
        <w:contextualSpacing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（二）绩效评价工作情况</w:t>
      </w:r>
    </w:p>
    <w:p>
      <w:pPr>
        <w:adjustRightInd w:val="0"/>
        <w:snapToGrid w:val="0"/>
        <w:spacing w:line="520" w:lineRule="exact"/>
        <w:ind w:firstLine="664" w:firstLineChars="200"/>
        <w:contextualSpacing/>
        <w:rPr>
          <w:rFonts w:ascii="仿宋" w:hAnsi="仿宋" w:eastAsia="仿宋" w:cs="仿宋"/>
          <w:spacing w:val="6"/>
          <w:sz w:val="32"/>
          <w:szCs w:val="32"/>
        </w:rPr>
      </w:pPr>
      <w:r>
        <w:rPr>
          <w:rFonts w:hint="eastAsia" w:ascii="仿宋" w:hAnsi="仿宋" w:eastAsia="仿宋" w:cs="仿宋"/>
          <w:spacing w:val="6"/>
          <w:sz w:val="32"/>
          <w:szCs w:val="32"/>
        </w:rPr>
        <w:t>1.</w:t>
      </w:r>
      <w:r>
        <w:rPr>
          <w:rFonts w:ascii="仿宋" w:hAnsi="仿宋" w:eastAsia="仿宋" w:cs="仿宋"/>
          <w:spacing w:val="6"/>
          <w:sz w:val="32"/>
          <w:szCs w:val="32"/>
        </w:rPr>
        <w:t>绩效评价目的</w:t>
      </w:r>
    </w:p>
    <w:p>
      <w:pPr>
        <w:adjustRightInd w:val="0"/>
        <w:snapToGrid w:val="0"/>
        <w:spacing w:line="520" w:lineRule="exact"/>
        <w:ind w:firstLine="664" w:firstLineChars="200"/>
        <w:contextualSpacing/>
        <w:rPr>
          <w:rFonts w:ascii="仿宋" w:hAnsi="仿宋" w:eastAsia="仿宋" w:cs="仿宋"/>
          <w:spacing w:val="6"/>
          <w:sz w:val="32"/>
          <w:szCs w:val="32"/>
        </w:rPr>
      </w:pPr>
      <w:r>
        <w:rPr>
          <w:rFonts w:ascii="仿宋" w:hAnsi="仿宋" w:eastAsia="仿宋" w:cs="仿宋"/>
          <w:spacing w:val="6"/>
          <w:sz w:val="32"/>
          <w:szCs w:val="32"/>
        </w:rPr>
        <w:t>此次绩效评价的目的是：严格落实《预算法》及省、市</w:t>
      </w:r>
      <w:r>
        <w:rPr>
          <w:rFonts w:hint="eastAsia" w:ascii="仿宋" w:hAnsi="仿宋" w:eastAsia="仿宋" w:cs="仿宋"/>
          <w:spacing w:val="6"/>
          <w:sz w:val="32"/>
          <w:szCs w:val="32"/>
        </w:rPr>
        <w:t>、区</w:t>
      </w:r>
      <w:r>
        <w:rPr>
          <w:rFonts w:ascii="仿宋" w:hAnsi="仿宋" w:eastAsia="仿宋" w:cs="仿宋"/>
          <w:spacing w:val="6"/>
          <w:sz w:val="32"/>
          <w:szCs w:val="32"/>
        </w:rPr>
        <w:t>绩效管理工作的有关规定，进一步规范财政资金的管理，强化财政支出绩效理念，提升部门责任意识，提高资金使用效益，促进</w:t>
      </w:r>
      <w:r>
        <w:rPr>
          <w:rFonts w:hint="eastAsia" w:ascii="仿宋" w:hAnsi="仿宋" w:eastAsia="仿宋" w:cs="仿宋"/>
          <w:spacing w:val="6"/>
          <w:sz w:val="32"/>
          <w:szCs w:val="32"/>
        </w:rPr>
        <w:t>司法</w:t>
      </w:r>
      <w:r>
        <w:rPr>
          <w:rFonts w:ascii="仿宋" w:hAnsi="仿宋" w:eastAsia="仿宋" w:cs="仿宋"/>
          <w:spacing w:val="6"/>
          <w:sz w:val="32"/>
          <w:szCs w:val="32"/>
        </w:rPr>
        <w:t>事业的发展。</w:t>
      </w:r>
    </w:p>
    <w:p>
      <w:pPr>
        <w:adjustRightInd w:val="0"/>
        <w:snapToGrid w:val="0"/>
        <w:spacing w:line="520" w:lineRule="exact"/>
        <w:ind w:firstLine="664" w:firstLineChars="200"/>
        <w:contextualSpacing/>
        <w:rPr>
          <w:rFonts w:ascii="仿宋" w:hAnsi="仿宋" w:eastAsia="仿宋" w:cs="仿宋"/>
          <w:spacing w:val="6"/>
          <w:sz w:val="32"/>
          <w:szCs w:val="32"/>
        </w:rPr>
      </w:pPr>
      <w:r>
        <w:rPr>
          <w:rFonts w:hint="eastAsia" w:ascii="仿宋" w:hAnsi="仿宋" w:eastAsia="仿宋" w:cs="仿宋"/>
          <w:spacing w:val="6"/>
          <w:sz w:val="32"/>
          <w:szCs w:val="32"/>
        </w:rPr>
        <w:t>2.</w:t>
      </w:r>
      <w:r>
        <w:rPr>
          <w:rFonts w:ascii="仿宋" w:hAnsi="仿宋" w:eastAsia="仿宋" w:cs="仿宋"/>
          <w:spacing w:val="6"/>
          <w:sz w:val="32"/>
          <w:szCs w:val="32"/>
        </w:rPr>
        <w:t>绩效评价的主要过程</w:t>
      </w:r>
    </w:p>
    <w:p>
      <w:pPr>
        <w:adjustRightInd w:val="0"/>
        <w:snapToGrid w:val="0"/>
        <w:spacing w:line="520" w:lineRule="exact"/>
        <w:ind w:firstLine="664" w:firstLineChars="200"/>
        <w:contextualSpacing/>
        <w:rPr>
          <w:rFonts w:ascii="仿宋" w:hAnsi="仿宋" w:eastAsia="仿宋" w:cs="仿宋"/>
          <w:spacing w:val="6"/>
          <w:sz w:val="32"/>
          <w:szCs w:val="32"/>
        </w:rPr>
      </w:pPr>
      <w:r>
        <w:rPr>
          <w:rFonts w:ascii="仿宋" w:hAnsi="仿宋" w:eastAsia="仿宋" w:cs="仿宋"/>
          <w:spacing w:val="6"/>
          <w:sz w:val="32"/>
          <w:szCs w:val="32"/>
        </w:rPr>
        <w:t>根据绩效评价的要求，我们成立了自评工作领导小组，对照自评方案进行研究和布署，党</w:t>
      </w:r>
      <w:r>
        <w:rPr>
          <w:rFonts w:hint="eastAsia" w:ascii="仿宋" w:hAnsi="仿宋" w:eastAsia="仿宋" w:cs="仿宋"/>
          <w:spacing w:val="6"/>
          <w:sz w:val="32"/>
          <w:szCs w:val="32"/>
          <w:lang w:eastAsia="zh-CN"/>
        </w:rPr>
        <w:t>组</w:t>
      </w:r>
      <w:r>
        <w:rPr>
          <w:rFonts w:ascii="仿宋" w:hAnsi="仿宋" w:eastAsia="仿宋" w:cs="仿宋"/>
          <w:spacing w:val="6"/>
          <w:sz w:val="32"/>
          <w:szCs w:val="32"/>
        </w:rPr>
        <w:t>成员及机关各</w:t>
      </w:r>
      <w:r>
        <w:rPr>
          <w:rFonts w:hint="eastAsia" w:ascii="仿宋" w:hAnsi="仿宋" w:eastAsia="仿宋" w:cs="仿宋"/>
          <w:spacing w:val="6"/>
          <w:sz w:val="32"/>
          <w:szCs w:val="32"/>
        </w:rPr>
        <w:t>股</w:t>
      </w:r>
      <w:r>
        <w:rPr>
          <w:rFonts w:ascii="仿宋" w:hAnsi="仿宋" w:eastAsia="仿宋" w:cs="仿宋"/>
          <w:spacing w:val="6"/>
          <w:sz w:val="32"/>
          <w:szCs w:val="32"/>
        </w:rPr>
        <w:t>室</w:t>
      </w:r>
      <w:r>
        <w:rPr>
          <w:rFonts w:hint="eastAsia" w:ascii="仿宋" w:hAnsi="仿宋" w:eastAsia="仿宋" w:cs="仿宋"/>
          <w:spacing w:val="6"/>
          <w:sz w:val="32"/>
          <w:szCs w:val="32"/>
        </w:rPr>
        <w:t>成员</w:t>
      </w:r>
      <w:r>
        <w:rPr>
          <w:rFonts w:ascii="仿宋" w:hAnsi="仿宋" w:eastAsia="仿宋" w:cs="仿宋"/>
          <w:spacing w:val="6"/>
          <w:sz w:val="32"/>
          <w:szCs w:val="32"/>
        </w:rPr>
        <w:t>全程参与，按照自评方案的要求，对照各实施项目的内容逐条逐项自评。在自评过程发现问题，查找原因，及时纠正偏差，为下一步工作夯实基础。</w:t>
      </w:r>
    </w:p>
    <w:p>
      <w:pPr>
        <w:adjustRightInd w:val="0"/>
        <w:snapToGrid w:val="0"/>
        <w:spacing w:line="400" w:lineRule="exact"/>
        <w:ind w:firstLine="643" w:firstLineChars="200"/>
        <w:contextualSpacing/>
        <w:rPr>
          <w:rFonts w:ascii="宋体" w:hAnsi="宋体" w:eastAsia="宋体" w:cs="宋体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（三）主要绩效及评价结论</w:t>
      </w:r>
    </w:p>
    <w:p>
      <w:pPr>
        <w:adjustRightInd w:val="0"/>
        <w:snapToGrid w:val="0"/>
        <w:spacing w:line="520" w:lineRule="exact"/>
        <w:ind w:firstLine="855" w:firstLineChars="250"/>
        <w:contextualSpacing/>
        <w:rPr>
          <w:rFonts w:ascii="仿宋" w:hAnsi="仿宋" w:eastAsia="仿宋" w:cs="仿宋"/>
          <w:spacing w:val="11"/>
          <w:position w:val="1"/>
          <w:sz w:val="32"/>
          <w:szCs w:val="32"/>
        </w:rPr>
      </w:pPr>
      <w:r>
        <w:rPr>
          <w:rFonts w:hint="eastAsia" w:ascii="仿宋" w:hAnsi="仿宋" w:eastAsia="仿宋" w:cs="仿宋"/>
          <w:spacing w:val="11"/>
          <w:position w:val="1"/>
          <w:sz w:val="32"/>
          <w:szCs w:val="32"/>
        </w:rPr>
        <w:t>1.全面依法治区工作稳步前进</w:t>
      </w:r>
    </w:p>
    <w:p>
      <w:pPr>
        <w:adjustRightInd w:val="0"/>
        <w:snapToGrid w:val="0"/>
        <w:spacing w:line="520" w:lineRule="exact"/>
        <w:ind w:firstLine="687" w:firstLineChars="200"/>
        <w:contextualSpacing/>
        <w:rPr>
          <w:rFonts w:hint="eastAsia" w:ascii="仿宋" w:hAnsi="仿宋" w:eastAsia="仿宋" w:cs="仿宋"/>
          <w:spacing w:val="11"/>
          <w:position w:val="1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11"/>
          <w:position w:val="1"/>
          <w:sz w:val="32"/>
          <w:szCs w:val="32"/>
        </w:rPr>
        <w:t>（1）积极创建全国法治政府建设示范区。</w:t>
      </w:r>
      <w:r>
        <w:rPr>
          <w:rFonts w:hint="eastAsia" w:ascii="仿宋" w:hAnsi="仿宋" w:eastAsia="仿宋" w:cs="仿宋"/>
          <w:spacing w:val="11"/>
          <w:position w:val="1"/>
          <w:sz w:val="32"/>
          <w:szCs w:val="32"/>
        </w:rPr>
        <w:t>2021年5月12日，我区被正式命名为全省首批法治政府建设示范区。2023年，我局将申创全国法治政府建设示范区纳入重点工作，进行专项部署。</w:t>
      </w:r>
    </w:p>
    <w:p>
      <w:pPr>
        <w:adjustRightInd w:val="0"/>
        <w:snapToGrid w:val="0"/>
        <w:spacing w:line="520" w:lineRule="exact"/>
        <w:ind w:firstLine="684" w:firstLineChars="200"/>
        <w:contextualSpacing/>
        <w:rPr>
          <w:rFonts w:ascii="仿宋" w:hAnsi="仿宋" w:eastAsia="仿宋" w:cs="仿宋"/>
          <w:spacing w:val="11"/>
          <w:position w:val="1"/>
          <w:sz w:val="32"/>
          <w:szCs w:val="32"/>
        </w:rPr>
      </w:pPr>
      <w:r>
        <w:rPr>
          <w:rFonts w:hint="eastAsia" w:ascii="仿宋" w:hAnsi="仿宋" w:eastAsia="仿宋" w:cs="仿宋"/>
          <w:spacing w:val="11"/>
          <w:position w:val="1"/>
          <w:sz w:val="32"/>
          <w:szCs w:val="32"/>
        </w:rPr>
        <w:t>（</w:t>
      </w:r>
      <w:r>
        <w:rPr>
          <w:rFonts w:hint="eastAsia" w:ascii="仿宋" w:hAnsi="仿宋" w:eastAsia="仿宋" w:cs="仿宋"/>
          <w:b/>
          <w:bCs/>
          <w:spacing w:val="11"/>
          <w:position w:val="1"/>
          <w:sz w:val="32"/>
          <w:szCs w:val="32"/>
        </w:rPr>
        <w:t>2）持续深化行政复议体制改革落地成效。一是</w:t>
      </w:r>
      <w:r>
        <w:rPr>
          <w:rFonts w:hint="eastAsia" w:ascii="仿宋" w:hAnsi="仿宋" w:eastAsia="仿宋" w:cs="仿宋"/>
          <w:spacing w:val="11"/>
          <w:position w:val="1"/>
          <w:sz w:val="32"/>
          <w:szCs w:val="32"/>
        </w:rPr>
        <w:t>健全行政复议案件审理机制。2023年办理行政复议案件154件（办结139件）；办理或组织、协调、指导行政应诉案件139件，代理区政府出庭应诉的案件48件，为违建整治、危房治理等重要工作以及重大诉讼案件提供法律意见45份</w:t>
      </w:r>
      <w:r>
        <w:rPr>
          <w:rFonts w:hint="eastAsia" w:ascii="仿宋" w:hAnsi="仿宋" w:eastAsia="仿宋" w:cs="仿宋"/>
          <w:spacing w:val="11"/>
          <w:position w:val="1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pacing w:val="11"/>
          <w:position w:val="1"/>
          <w:sz w:val="32"/>
          <w:szCs w:val="32"/>
        </w:rPr>
        <w:t>牵头组织参与和宸公司案、龙峰公司案等重大案件研讨会、调度会，为案件办理提供法律分析与支持。</w:t>
      </w:r>
    </w:p>
    <w:p>
      <w:pPr>
        <w:adjustRightInd w:val="0"/>
        <w:snapToGrid w:val="0"/>
        <w:spacing w:line="520" w:lineRule="exact"/>
        <w:ind w:firstLine="687" w:firstLineChars="200"/>
        <w:contextualSpacing/>
        <w:rPr>
          <w:rFonts w:ascii="仿宋" w:hAnsi="仿宋" w:eastAsia="仿宋" w:cs="仿宋"/>
          <w:spacing w:val="11"/>
          <w:position w:val="1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11"/>
          <w:position w:val="1"/>
          <w:sz w:val="32"/>
          <w:szCs w:val="32"/>
        </w:rPr>
        <w:t>（3）开创依法治区工作新局面</w:t>
      </w:r>
      <w:r>
        <w:rPr>
          <w:rFonts w:hint="eastAsia" w:ascii="仿宋" w:hAnsi="仿宋" w:eastAsia="仿宋" w:cs="仿宋"/>
          <w:b/>
          <w:spacing w:val="11"/>
          <w:position w:val="1"/>
          <w:sz w:val="32"/>
          <w:szCs w:val="32"/>
        </w:rPr>
        <w:t>。</w:t>
      </w:r>
      <w:r>
        <w:rPr>
          <w:rFonts w:hint="eastAsia" w:ascii="仿宋" w:hAnsi="仿宋" w:eastAsia="仿宋" w:cs="仿宋"/>
          <w:spacing w:val="11"/>
          <w:position w:val="1"/>
          <w:sz w:val="32"/>
          <w:szCs w:val="32"/>
        </w:rPr>
        <w:t>对城管直属一大队、区市场监督管理局等7家单位开展专项法治建设督察；组织全区347名执法工作人员参加行政执法资格考试，合格人数156人</w:t>
      </w:r>
      <w:r>
        <w:rPr>
          <w:rFonts w:hint="eastAsia" w:ascii="仿宋" w:hAnsi="仿宋" w:eastAsia="仿宋" w:cs="仿宋"/>
          <w:b/>
          <w:bCs/>
          <w:spacing w:val="11"/>
          <w:position w:val="1"/>
          <w:sz w:val="32"/>
          <w:szCs w:val="32"/>
        </w:rPr>
        <w:t>；</w:t>
      </w:r>
      <w:r>
        <w:rPr>
          <w:rFonts w:hint="eastAsia" w:ascii="仿宋" w:hAnsi="仿宋" w:eastAsia="仿宋" w:cs="仿宋"/>
          <w:spacing w:val="11"/>
          <w:position w:val="1"/>
          <w:sz w:val="32"/>
          <w:szCs w:val="32"/>
        </w:rPr>
        <w:t>开设周五执法培训“微”课堂、行政执法干部交流研讨会；5月16日-18日，组织全区41个区直单位及街道（乡）的法治工作骨干开展全区行政执法人员业务培训；制发《岳阳楼区人民政府行政规范性文件管理办法》</w:t>
      </w:r>
      <w:r>
        <w:rPr>
          <w:rFonts w:hint="eastAsia" w:ascii="仿宋" w:hAnsi="仿宋" w:eastAsia="仿宋" w:cs="仿宋"/>
          <w:spacing w:val="11"/>
          <w:position w:val="1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pacing w:val="11"/>
          <w:position w:val="1"/>
          <w:sz w:val="32"/>
          <w:szCs w:val="32"/>
        </w:rPr>
        <w:t>共审查规范性文件7件，其他文件、合同、协议等100件，为政府依法决策提供了强有力的法治保障。</w:t>
      </w:r>
    </w:p>
    <w:p>
      <w:pPr>
        <w:adjustRightInd w:val="0"/>
        <w:snapToGrid w:val="0"/>
        <w:spacing w:line="520" w:lineRule="exact"/>
        <w:ind w:firstLine="687" w:firstLineChars="200"/>
        <w:contextualSpacing/>
        <w:rPr>
          <w:rFonts w:ascii="仿宋" w:hAnsi="仿宋" w:eastAsia="仿宋" w:cs="仿宋"/>
          <w:bCs/>
          <w:spacing w:val="11"/>
          <w:position w:val="1"/>
          <w:sz w:val="32"/>
          <w:szCs w:val="32"/>
        </w:rPr>
      </w:pPr>
      <w:r>
        <w:rPr>
          <w:rFonts w:hint="eastAsia" w:ascii="仿宋" w:hAnsi="仿宋" w:eastAsia="仿宋" w:cs="仿宋"/>
          <w:b/>
          <w:spacing w:val="11"/>
          <w:position w:val="1"/>
          <w:sz w:val="32"/>
          <w:szCs w:val="32"/>
        </w:rPr>
        <w:t>（4）全面提升依法行政水平。</w:t>
      </w:r>
      <w:r>
        <w:rPr>
          <w:rFonts w:hint="eastAsia" w:ascii="仿宋" w:hAnsi="仿宋" w:eastAsia="仿宋" w:cs="仿宋"/>
          <w:bCs/>
          <w:spacing w:val="11"/>
          <w:position w:val="1"/>
          <w:sz w:val="32"/>
          <w:szCs w:val="32"/>
        </w:rPr>
        <w:t>审议通过《2023年度岳阳楼区人民政府重大行政决策事项目录、标准清单》；聘请1家顾问单位、11名法学专家和社会律师担任区政府法律顾问，推动35家行政执法单位、15家街道（乡）配备专门法律顾问</w:t>
      </w:r>
      <w:r>
        <w:rPr>
          <w:rFonts w:hint="eastAsia" w:ascii="仿宋" w:hAnsi="仿宋" w:eastAsia="仿宋" w:cs="仿宋"/>
          <w:b/>
          <w:spacing w:val="11"/>
          <w:position w:val="1"/>
          <w:sz w:val="32"/>
          <w:szCs w:val="32"/>
        </w:rPr>
        <w:t>；</w:t>
      </w:r>
      <w:r>
        <w:rPr>
          <w:rFonts w:hint="eastAsia" w:ascii="仿宋" w:hAnsi="仿宋" w:eastAsia="仿宋" w:cs="仿宋"/>
          <w:bCs/>
          <w:spacing w:val="11"/>
          <w:position w:val="1"/>
          <w:sz w:val="32"/>
          <w:szCs w:val="32"/>
        </w:rPr>
        <w:t>组织43家行政执法资格考试。</w:t>
      </w:r>
    </w:p>
    <w:p>
      <w:pPr>
        <w:adjustRightInd w:val="0"/>
        <w:snapToGrid w:val="0"/>
        <w:spacing w:line="520" w:lineRule="exact"/>
        <w:ind w:firstLine="684" w:firstLineChars="200"/>
        <w:contextualSpacing/>
        <w:rPr>
          <w:rFonts w:ascii="仿宋" w:hAnsi="仿宋" w:eastAsia="仿宋" w:cs="仿宋"/>
          <w:spacing w:val="11"/>
          <w:position w:val="1"/>
          <w:sz w:val="32"/>
          <w:szCs w:val="32"/>
        </w:rPr>
      </w:pPr>
      <w:r>
        <w:rPr>
          <w:rFonts w:hint="eastAsia" w:ascii="仿宋" w:hAnsi="仿宋" w:eastAsia="仿宋" w:cs="仿宋"/>
          <w:spacing w:val="11"/>
          <w:position w:val="1"/>
          <w:sz w:val="32"/>
          <w:szCs w:val="32"/>
        </w:rPr>
        <w:t>2.市域社会治理现代化工作成效显著</w:t>
      </w:r>
    </w:p>
    <w:p>
      <w:pPr>
        <w:adjustRightInd w:val="0"/>
        <w:snapToGrid w:val="0"/>
        <w:spacing w:line="520" w:lineRule="exact"/>
        <w:ind w:firstLine="684" w:firstLineChars="200"/>
        <w:contextualSpacing/>
        <w:rPr>
          <w:rFonts w:ascii="仿宋" w:hAnsi="仿宋" w:eastAsia="仿宋" w:cs="仿宋"/>
          <w:spacing w:val="11"/>
          <w:position w:val="1"/>
          <w:sz w:val="32"/>
          <w:szCs w:val="32"/>
        </w:rPr>
      </w:pPr>
      <w:r>
        <w:rPr>
          <w:rFonts w:hint="eastAsia" w:ascii="仿宋" w:hAnsi="仿宋" w:eastAsia="仿宋" w:cs="仿宋"/>
          <w:spacing w:val="11"/>
          <w:position w:val="1"/>
          <w:sz w:val="32"/>
          <w:szCs w:val="32"/>
        </w:rPr>
        <w:t>（1）推动岳阳楼、站前路、城陵矶、洛王、东茅岭、金鹗山等所重新选址或提质改造。</w:t>
      </w:r>
    </w:p>
    <w:p>
      <w:pPr>
        <w:adjustRightInd w:val="0"/>
        <w:snapToGrid w:val="0"/>
        <w:spacing w:line="520" w:lineRule="exact"/>
        <w:ind w:firstLine="687" w:firstLineChars="200"/>
        <w:contextualSpacing/>
        <w:rPr>
          <w:rFonts w:ascii="仿宋" w:hAnsi="仿宋" w:eastAsia="仿宋" w:cs="仿宋"/>
          <w:bCs/>
          <w:spacing w:val="11"/>
          <w:position w:val="1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11"/>
          <w:position w:val="1"/>
          <w:sz w:val="32"/>
          <w:szCs w:val="32"/>
        </w:rPr>
        <w:t>（2）</w:t>
      </w:r>
      <w:r>
        <w:rPr>
          <w:rFonts w:hint="eastAsia" w:ascii="仿宋" w:hAnsi="仿宋" w:eastAsia="仿宋" w:cs="仿宋"/>
          <w:bCs/>
          <w:spacing w:val="11"/>
          <w:position w:val="1"/>
          <w:sz w:val="32"/>
          <w:szCs w:val="32"/>
        </w:rPr>
        <w:t>加强对矫正人员的管控。今年以来，</w:t>
      </w:r>
      <w:r>
        <w:rPr>
          <w:rFonts w:hint="eastAsia" w:ascii="仿宋" w:hAnsi="仿宋" w:eastAsia="仿宋" w:cs="仿宋"/>
          <w:bCs/>
          <w:spacing w:val="11"/>
          <w:position w:val="1"/>
          <w:sz w:val="32"/>
          <w:szCs w:val="32"/>
          <w:lang w:eastAsia="zh-CN"/>
        </w:rPr>
        <w:t>全年</w:t>
      </w:r>
      <w:r>
        <w:rPr>
          <w:rFonts w:hint="eastAsia" w:ascii="仿宋" w:hAnsi="仿宋" w:eastAsia="仿宋" w:cs="仿宋"/>
          <w:bCs/>
          <w:spacing w:val="11"/>
          <w:position w:val="1"/>
          <w:sz w:val="32"/>
          <w:szCs w:val="32"/>
        </w:rPr>
        <w:t>共接收社区矫正对象309人，解除225人，在册344人，实现了“零脱管”“零漏管”；对刑满释放人员和解除矫正人员的衔接管控，形成全方位的帮教管理，</w:t>
      </w:r>
      <w:r>
        <w:rPr>
          <w:rFonts w:hint="eastAsia" w:ascii="仿宋" w:hAnsi="仿宋" w:eastAsia="仿宋" w:cs="仿宋"/>
          <w:bCs/>
          <w:spacing w:val="11"/>
          <w:position w:val="1"/>
          <w:sz w:val="32"/>
          <w:szCs w:val="32"/>
          <w:lang w:eastAsia="zh-CN"/>
        </w:rPr>
        <w:t>全年</w:t>
      </w:r>
      <w:r>
        <w:rPr>
          <w:rFonts w:hint="eastAsia" w:ascii="仿宋" w:hAnsi="仿宋" w:eastAsia="仿宋" w:cs="仿宋"/>
          <w:bCs/>
          <w:spacing w:val="11"/>
          <w:position w:val="1"/>
          <w:sz w:val="32"/>
          <w:szCs w:val="32"/>
        </w:rPr>
        <w:t>共接收安置帮教对象408人，接回重点对象13人，接回率达100%；接收法院、检察院平台线上流转调查评估委托227件；办理社区矫正对象入矫登记128人；实时传送回复来自公安部门推送的外部监管信息245条。</w:t>
      </w:r>
    </w:p>
    <w:p>
      <w:pPr>
        <w:adjustRightInd w:val="0"/>
        <w:snapToGrid w:val="0"/>
        <w:spacing w:line="520" w:lineRule="exact"/>
        <w:ind w:firstLine="687" w:firstLineChars="200"/>
        <w:contextualSpacing/>
        <w:rPr>
          <w:rFonts w:hint="eastAsia" w:ascii="仿宋" w:hAnsi="仿宋" w:eastAsia="仿宋" w:cs="仿宋"/>
          <w:bCs/>
          <w:spacing w:val="11"/>
          <w:position w:val="1"/>
          <w:sz w:val="32"/>
          <w:szCs w:val="32"/>
        </w:rPr>
      </w:pPr>
      <w:r>
        <w:rPr>
          <w:rFonts w:hint="eastAsia" w:ascii="仿宋" w:hAnsi="仿宋" w:eastAsia="仿宋" w:cs="仿宋"/>
          <w:b/>
          <w:spacing w:val="11"/>
          <w:position w:val="1"/>
          <w:sz w:val="32"/>
          <w:szCs w:val="32"/>
        </w:rPr>
        <w:t>（3）加大全区病残吸毒人员收治力度。</w:t>
      </w:r>
      <w:r>
        <w:rPr>
          <w:rFonts w:hint="eastAsia" w:ascii="仿宋" w:hAnsi="仿宋" w:eastAsia="仿宋" w:cs="仿宋"/>
          <w:b w:val="0"/>
          <w:bCs/>
          <w:spacing w:val="11"/>
          <w:position w:val="1"/>
          <w:sz w:val="32"/>
          <w:szCs w:val="32"/>
          <w:lang w:eastAsia="zh-CN"/>
        </w:rPr>
        <w:t>全年</w:t>
      </w:r>
      <w:r>
        <w:rPr>
          <w:rFonts w:hint="eastAsia" w:ascii="仿宋" w:hAnsi="仿宋" w:eastAsia="仿宋" w:cs="仿宋"/>
          <w:bCs/>
          <w:spacing w:val="11"/>
          <w:position w:val="1"/>
          <w:sz w:val="32"/>
          <w:szCs w:val="32"/>
        </w:rPr>
        <w:t>共依法收治病残吸毒人员30人；将2022年按市防疫指挥部指令收押的33名收治学员顺利移交给岳阳县收治中心；投入资金五万多元，对中心安防进行了全面整改升级。</w:t>
      </w:r>
    </w:p>
    <w:p>
      <w:pPr>
        <w:adjustRightInd w:val="0"/>
        <w:snapToGrid w:val="0"/>
        <w:spacing w:line="520" w:lineRule="exact"/>
        <w:ind w:firstLine="687" w:firstLineChars="200"/>
        <w:contextualSpacing/>
        <w:rPr>
          <w:rFonts w:ascii="仿宋" w:hAnsi="仿宋" w:eastAsia="仿宋" w:cs="仿宋"/>
          <w:spacing w:val="11"/>
          <w:position w:val="1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11"/>
          <w:position w:val="1"/>
          <w:sz w:val="32"/>
          <w:szCs w:val="32"/>
        </w:rPr>
        <w:t>（4）大力推介“群英断是非”工作法。</w:t>
      </w:r>
      <w:r>
        <w:rPr>
          <w:rFonts w:hint="eastAsia" w:ascii="仿宋" w:hAnsi="仿宋" w:eastAsia="仿宋" w:cs="仿宋"/>
          <w:spacing w:val="11"/>
          <w:position w:val="1"/>
          <w:sz w:val="32"/>
          <w:szCs w:val="32"/>
        </w:rPr>
        <w:t>我局结合“群英断是非”工作法和基层调解工作，</w:t>
      </w:r>
      <w:r>
        <w:rPr>
          <w:rFonts w:hint="eastAsia" w:ascii="仿宋" w:hAnsi="仿宋" w:eastAsia="仿宋" w:cs="仿宋"/>
          <w:spacing w:val="11"/>
          <w:position w:val="1"/>
          <w:sz w:val="32"/>
          <w:szCs w:val="32"/>
          <w:lang w:eastAsia="zh-CN"/>
        </w:rPr>
        <w:t>全</w:t>
      </w:r>
      <w:r>
        <w:rPr>
          <w:rFonts w:hint="eastAsia" w:ascii="仿宋" w:hAnsi="仿宋" w:eastAsia="仿宋" w:cs="仿宋"/>
          <w:spacing w:val="11"/>
          <w:position w:val="1"/>
          <w:sz w:val="32"/>
          <w:szCs w:val="32"/>
        </w:rPr>
        <w:t>年共调解各类矛盾纠纷1277起，调解成功1232起，调处成功率为96.48%。；组织全区行业性专业性调委会、街道（乡）调委会、社区（村）调委会调解员开展了2次全区人民调解专项培训；对司法所指导管理人民调解、参与实施“群英断是非”工作法情况进行视察，并组织人民调解案件“百案评查、优案评选”活动。</w:t>
      </w:r>
    </w:p>
    <w:p>
      <w:pPr>
        <w:adjustRightInd w:val="0"/>
        <w:snapToGrid w:val="0"/>
        <w:spacing w:line="520" w:lineRule="exact"/>
        <w:ind w:firstLine="684" w:firstLineChars="200"/>
        <w:contextualSpacing/>
        <w:rPr>
          <w:rFonts w:ascii="仿宋" w:hAnsi="仿宋" w:eastAsia="仿宋" w:cs="仿宋"/>
          <w:spacing w:val="11"/>
          <w:position w:val="1"/>
          <w:sz w:val="32"/>
          <w:szCs w:val="32"/>
        </w:rPr>
      </w:pPr>
      <w:r>
        <w:rPr>
          <w:rFonts w:hint="eastAsia" w:ascii="仿宋" w:hAnsi="仿宋" w:eastAsia="仿宋" w:cs="仿宋"/>
          <w:spacing w:val="11"/>
          <w:position w:val="1"/>
          <w:sz w:val="32"/>
          <w:szCs w:val="32"/>
        </w:rPr>
        <w:t>3.打造便捷高效惠民的公共法律服务体系</w:t>
      </w:r>
    </w:p>
    <w:p>
      <w:pPr>
        <w:adjustRightInd w:val="0"/>
        <w:snapToGrid w:val="0"/>
        <w:spacing w:line="520" w:lineRule="exact"/>
        <w:ind w:firstLine="687" w:firstLineChars="200"/>
        <w:contextualSpacing/>
        <w:rPr>
          <w:rFonts w:ascii="仿宋" w:hAnsi="仿宋" w:eastAsia="仿宋" w:cs="仿宋"/>
          <w:spacing w:val="11"/>
          <w:position w:val="1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11"/>
          <w:position w:val="1"/>
          <w:sz w:val="32"/>
          <w:szCs w:val="32"/>
        </w:rPr>
        <w:t>（1）推动普法与依法治理工作有机融合。</w:t>
      </w:r>
      <w:r>
        <w:rPr>
          <w:rFonts w:hint="eastAsia" w:ascii="仿宋" w:hAnsi="仿宋" w:eastAsia="仿宋" w:cs="仿宋"/>
          <w:b w:val="0"/>
          <w:bCs w:val="0"/>
          <w:spacing w:val="11"/>
          <w:position w:val="1"/>
          <w:sz w:val="32"/>
          <w:szCs w:val="32"/>
          <w:lang w:eastAsia="zh-CN"/>
        </w:rPr>
        <w:t>全</w:t>
      </w:r>
      <w:r>
        <w:rPr>
          <w:rFonts w:hint="eastAsia" w:ascii="仿宋" w:hAnsi="仿宋" w:eastAsia="仿宋" w:cs="仿宋"/>
          <w:b w:val="0"/>
          <w:bCs w:val="0"/>
          <w:spacing w:val="11"/>
          <w:position w:val="1"/>
          <w:sz w:val="32"/>
          <w:szCs w:val="32"/>
        </w:rPr>
        <w:t>年</w:t>
      </w:r>
      <w:r>
        <w:rPr>
          <w:rFonts w:hint="eastAsia" w:ascii="仿宋" w:hAnsi="仿宋" w:eastAsia="仿宋" w:cs="仿宋"/>
          <w:spacing w:val="11"/>
          <w:position w:val="1"/>
          <w:sz w:val="32"/>
          <w:szCs w:val="32"/>
        </w:rPr>
        <w:t>开展普法宣传活动36场，提供免费法律咨询1100余人次，发放宣传资料13000余份；择优选拔10名干部担任中小学校的法治副校长，在市十中、东升小学、市一幼等10所中小学校开展法治讲堂18次，发放宣传资料15000余本；组织全区近一万名国家工作人员开展网上学法用法考试，参考率与通过率都达到100%。</w:t>
      </w:r>
    </w:p>
    <w:p>
      <w:pPr>
        <w:adjustRightInd w:val="0"/>
        <w:snapToGrid w:val="0"/>
        <w:spacing w:line="520" w:lineRule="exact"/>
        <w:ind w:firstLine="687" w:firstLineChars="200"/>
        <w:contextualSpacing/>
        <w:rPr>
          <w:rFonts w:hint="eastAsia" w:ascii="仿宋" w:hAnsi="仿宋" w:eastAsia="仿宋" w:cs="仿宋"/>
          <w:spacing w:val="11"/>
          <w:position w:val="1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spacing w:val="11"/>
          <w:position w:val="1"/>
          <w:sz w:val="32"/>
          <w:szCs w:val="32"/>
        </w:rPr>
        <w:t>（2）</w:t>
      </w:r>
      <w:r>
        <w:rPr>
          <w:rFonts w:ascii="仿宋" w:hAnsi="仿宋" w:eastAsia="仿宋" w:cs="仿宋"/>
          <w:b/>
          <w:spacing w:val="11"/>
          <w:position w:val="1"/>
          <w:sz w:val="32"/>
          <w:szCs w:val="32"/>
        </w:rPr>
        <w:t>提高</w:t>
      </w:r>
      <w:r>
        <w:rPr>
          <w:rFonts w:hint="eastAsia" w:ascii="仿宋" w:hAnsi="仿宋" w:eastAsia="仿宋" w:cs="仿宋"/>
          <w:b/>
          <w:spacing w:val="11"/>
          <w:position w:val="1"/>
          <w:sz w:val="32"/>
          <w:szCs w:val="32"/>
        </w:rPr>
        <w:t>便民</w:t>
      </w:r>
      <w:r>
        <w:rPr>
          <w:rFonts w:ascii="仿宋" w:hAnsi="仿宋" w:eastAsia="仿宋" w:cs="仿宋"/>
          <w:b/>
          <w:spacing w:val="11"/>
          <w:position w:val="1"/>
          <w:sz w:val="32"/>
          <w:szCs w:val="32"/>
        </w:rPr>
        <w:t>公共法律服务水平</w:t>
      </w:r>
      <w:r>
        <w:rPr>
          <w:rFonts w:hint="eastAsia" w:ascii="仿宋" w:hAnsi="仿宋" w:eastAsia="仿宋" w:cs="仿宋"/>
          <w:b/>
          <w:spacing w:val="11"/>
          <w:position w:val="1"/>
          <w:sz w:val="32"/>
          <w:szCs w:val="32"/>
        </w:rPr>
        <w:t>。</w:t>
      </w:r>
      <w:r>
        <w:rPr>
          <w:rFonts w:hint="eastAsia" w:ascii="仿宋" w:hAnsi="仿宋" w:eastAsia="仿宋" w:cs="仿宋"/>
          <w:b w:val="0"/>
          <w:bCs/>
          <w:spacing w:val="11"/>
          <w:position w:val="1"/>
          <w:sz w:val="32"/>
          <w:szCs w:val="32"/>
          <w:lang w:eastAsia="zh-CN"/>
        </w:rPr>
        <w:t>全年</w:t>
      </w:r>
      <w:r>
        <w:rPr>
          <w:rFonts w:hint="eastAsia" w:ascii="仿宋" w:hAnsi="仿宋" w:eastAsia="仿宋" w:cs="仿宋"/>
          <w:spacing w:val="11"/>
          <w:position w:val="1"/>
          <w:sz w:val="32"/>
          <w:szCs w:val="32"/>
        </w:rPr>
        <w:t>共受理各类法律援助案件384件，接待网络、热线、实体平台各类法律咨询近1500人次及两起特殊群体性案件；组建“法律援助”服务团队，为全区防范化解风险隐患贡献法治力量</w:t>
      </w:r>
      <w:r>
        <w:rPr>
          <w:rFonts w:hint="eastAsia" w:ascii="仿宋" w:hAnsi="仿宋" w:eastAsia="仿宋" w:cs="仿宋"/>
          <w:spacing w:val="11"/>
          <w:position w:val="1"/>
          <w:sz w:val="32"/>
          <w:szCs w:val="32"/>
          <w:lang w:eastAsia="zh-CN"/>
        </w:rPr>
        <w:t>。</w:t>
      </w:r>
    </w:p>
    <w:p>
      <w:pPr>
        <w:adjustRightInd w:val="0"/>
        <w:snapToGrid w:val="0"/>
        <w:spacing w:line="520" w:lineRule="exact"/>
        <w:ind w:firstLine="687" w:firstLineChars="200"/>
        <w:contextualSpacing/>
        <w:rPr>
          <w:rFonts w:ascii="仿宋" w:hAnsi="仿宋" w:eastAsia="仿宋" w:cs="仿宋"/>
          <w:spacing w:val="11"/>
          <w:position w:val="1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11"/>
          <w:position w:val="1"/>
          <w:sz w:val="32"/>
          <w:szCs w:val="32"/>
        </w:rPr>
        <w:t>（3）扎实开展“走基层、惠民生”活动。</w:t>
      </w:r>
      <w:r>
        <w:rPr>
          <w:rFonts w:hint="eastAsia" w:ascii="仿宋" w:hAnsi="仿宋" w:eastAsia="仿宋" w:cs="仿宋"/>
          <w:b w:val="0"/>
          <w:bCs w:val="0"/>
          <w:spacing w:val="11"/>
          <w:position w:val="1"/>
          <w:sz w:val="32"/>
          <w:szCs w:val="32"/>
          <w:lang w:eastAsia="zh-CN"/>
        </w:rPr>
        <w:t>全年</w:t>
      </w:r>
      <w:r>
        <w:rPr>
          <w:rFonts w:hint="eastAsia" w:ascii="仿宋" w:hAnsi="仿宋" w:eastAsia="仿宋" w:cs="仿宋"/>
          <w:spacing w:val="11"/>
          <w:position w:val="1"/>
          <w:sz w:val="32"/>
          <w:szCs w:val="32"/>
        </w:rPr>
        <w:t>组织全区律师和基层法律工作者开展了为期3个月的专题活动，开展法治宣传教育活动41次；推进一村（社区）一法律顾问工作，共聘请法律顾问的村（居）108个，顾问律师108名，村（社区）法律顾问覆盖率达到 100%；组织全区各律所开展“千所联千企”专项活动，“一对一”精准提供法律服务，共开展惠民惠企普法宣传、法律咨询60余次。</w:t>
      </w:r>
    </w:p>
    <w:p>
      <w:pPr>
        <w:adjustRightInd w:val="0"/>
        <w:snapToGrid w:val="0"/>
        <w:spacing w:line="520" w:lineRule="exact"/>
        <w:ind w:firstLine="684" w:firstLineChars="200"/>
        <w:contextualSpacing/>
        <w:rPr>
          <w:rFonts w:ascii="仿宋" w:hAnsi="仿宋" w:eastAsia="仿宋" w:cs="仿宋"/>
          <w:spacing w:val="11"/>
          <w:position w:val="1"/>
          <w:sz w:val="32"/>
          <w:szCs w:val="32"/>
        </w:rPr>
      </w:pPr>
      <w:r>
        <w:rPr>
          <w:rFonts w:hint="eastAsia" w:ascii="仿宋" w:hAnsi="仿宋" w:eastAsia="仿宋" w:cs="仿宋"/>
          <w:spacing w:val="11"/>
          <w:position w:val="1"/>
          <w:sz w:val="32"/>
          <w:szCs w:val="32"/>
        </w:rPr>
        <w:t>4.建设干净担当、专业内行的司法行政队伍</w:t>
      </w:r>
    </w:p>
    <w:p>
      <w:pPr>
        <w:adjustRightInd w:val="0"/>
        <w:snapToGrid w:val="0"/>
        <w:spacing w:line="520" w:lineRule="exact"/>
        <w:ind w:firstLine="687" w:firstLineChars="200"/>
        <w:contextualSpacing/>
        <w:rPr>
          <w:rFonts w:ascii="仿宋" w:hAnsi="仿宋" w:eastAsia="仿宋" w:cs="仿宋"/>
          <w:spacing w:val="11"/>
          <w:position w:val="1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11"/>
          <w:position w:val="1"/>
          <w:sz w:val="32"/>
          <w:szCs w:val="32"/>
        </w:rPr>
        <w:t>（1）加强意识形态理论学习。</w:t>
      </w:r>
      <w:r>
        <w:rPr>
          <w:rFonts w:hint="eastAsia" w:ascii="仿宋" w:hAnsi="仿宋" w:eastAsia="仿宋" w:cs="仿宋"/>
          <w:spacing w:val="11"/>
          <w:position w:val="1"/>
          <w:sz w:val="32"/>
          <w:szCs w:val="32"/>
        </w:rPr>
        <w:t>制定《2023年岳阳楼区司法局理论学习中心组专题学习实施方案》；常态化开展青年法治讲堂，共开展青年法治讲堂8次，增强了干部职工的法治素养和依法行政能力。</w:t>
      </w:r>
    </w:p>
    <w:p>
      <w:pPr>
        <w:adjustRightInd w:val="0"/>
        <w:snapToGrid w:val="0"/>
        <w:spacing w:line="520" w:lineRule="exact"/>
        <w:ind w:firstLine="687" w:firstLineChars="200"/>
        <w:contextualSpacing/>
        <w:rPr>
          <w:rFonts w:ascii="仿宋" w:hAnsi="仿宋" w:eastAsia="仿宋" w:cs="仿宋"/>
          <w:spacing w:val="11"/>
          <w:position w:val="1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11"/>
          <w:position w:val="1"/>
          <w:sz w:val="32"/>
          <w:szCs w:val="32"/>
        </w:rPr>
        <w:t>（2）优化司法行政队伍政治生态。</w:t>
      </w:r>
      <w:r>
        <w:rPr>
          <w:rFonts w:hint="eastAsia" w:ascii="仿宋" w:hAnsi="仿宋" w:eastAsia="仿宋" w:cs="仿宋"/>
          <w:spacing w:val="11"/>
          <w:position w:val="1"/>
          <w:sz w:val="32"/>
          <w:szCs w:val="32"/>
        </w:rPr>
        <w:t>认真开展“两带头五整治”纠风防腐专项行动、深化整治利用领导干部职权或影响力“打牌子”“提篮子”牟取利益问题专项工作、党员干部和公职人员酒驾醉驾问题专项治理工作等专项整治活动；在“元旦”、“春节”等节假日期间，配合派驻纪检组大力开展廉政建设专项督查，重点督查公车私用、财务报账、工会经费、公务接待、扫黑除恶及扶贫领域作风等方面的问题。</w:t>
      </w:r>
    </w:p>
    <w:p>
      <w:pPr>
        <w:adjustRightInd w:val="0"/>
        <w:snapToGrid w:val="0"/>
        <w:spacing w:line="520" w:lineRule="exact"/>
        <w:ind w:firstLine="684" w:firstLineChars="200"/>
        <w:contextualSpacing/>
        <w:rPr>
          <w:rFonts w:hint="eastAsia" w:ascii="仿宋" w:hAnsi="仿宋" w:eastAsia="仿宋" w:cs="仿宋"/>
          <w:spacing w:val="11"/>
          <w:position w:val="1"/>
          <w:sz w:val="32"/>
          <w:szCs w:val="32"/>
        </w:rPr>
      </w:pPr>
      <w:r>
        <w:rPr>
          <w:rFonts w:hint="eastAsia" w:ascii="仿宋" w:hAnsi="仿宋" w:eastAsia="仿宋" w:cs="仿宋"/>
          <w:spacing w:val="11"/>
          <w:position w:val="1"/>
          <w:sz w:val="32"/>
          <w:szCs w:val="32"/>
        </w:rPr>
        <w:t>（3） 2023年我局深入推动市级文明单位申创工作。</w:t>
      </w:r>
    </w:p>
    <w:p>
      <w:pPr>
        <w:adjustRightInd w:val="0"/>
        <w:snapToGrid w:val="0"/>
        <w:spacing w:line="520" w:lineRule="exact"/>
        <w:ind w:firstLine="684" w:firstLineChars="200"/>
        <w:contextualSpacing/>
        <w:rPr>
          <w:rFonts w:ascii="仿宋" w:hAnsi="仿宋" w:eastAsia="仿宋" w:cs="仿宋"/>
          <w:spacing w:val="11"/>
          <w:position w:val="1"/>
          <w:sz w:val="32"/>
          <w:szCs w:val="32"/>
        </w:rPr>
      </w:pPr>
      <w:r>
        <w:rPr>
          <w:rFonts w:hint="eastAsia" w:ascii="仿宋" w:hAnsi="仿宋" w:eastAsia="仿宋" w:cs="仿宋"/>
          <w:spacing w:val="11"/>
          <w:position w:val="1"/>
          <w:sz w:val="32"/>
          <w:szCs w:val="32"/>
        </w:rPr>
        <w:t>根据对我单位2023年部门整体支出项目绩效评价指标体系和绩效情况的检查，2023年我单位部门整体绩效自评分9</w:t>
      </w:r>
      <w:r>
        <w:rPr>
          <w:rFonts w:hint="eastAsia" w:ascii="仿宋" w:hAnsi="仿宋" w:eastAsia="仿宋" w:cs="仿宋"/>
          <w:spacing w:val="11"/>
          <w:position w:val="1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pacing w:val="11"/>
          <w:position w:val="1"/>
          <w:sz w:val="32"/>
          <w:szCs w:val="32"/>
        </w:rPr>
        <w:t>分，为“优”等级。</w:t>
      </w:r>
      <w:bookmarkStart w:id="0" w:name="_GoBack"/>
      <w:bookmarkEnd w:id="0"/>
    </w:p>
    <w:p>
      <w:pPr>
        <w:numPr>
          <w:ilvl w:val="0"/>
          <w:numId w:val="3"/>
        </w:numPr>
        <w:ind w:firstLine="640" w:firstLineChars="200"/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存在的问题及原因分析</w:t>
      </w:r>
    </w:p>
    <w:p>
      <w:pPr>
        <w:adjustRightInd w:val="0"/>
        <w:snapToGrid w:val="0"/>
        <w:spacing w:line="520" w:lineRule="exact"/>
        <w:ind w:firstLine="684" w:firstLineChars="200"/>
        <w:contextualSpacing/>
        <w:rPr>
          <w:rFonts w:hint="eastAsia" w:ascii="仿宋" w:hAnsi="仿宋" w:eastAsia="仿宋" w:cs="仿宋"/>
          <w:spacing w:val="11"/>
          <w:position w:val="1"/>
          <w:sz w:val="32"/>
          <w:szCs w:val="32"/>
        </w:rPr>
      </w:pPr>
      <w:r>
        <w:rPr>
          <w:rFonts w:hint="eastAsia" w:ascii="仿宋" w:hAnsi="仿宋" w:eastAsia="仿宋" w:cs="仿宋"/>
          <w:spacing w:val="11"/>
          <w:position w:val="1"/>
          <w:sz w:val="32"/>
          <w:szCs w:val="32"/>
        </w:rPr>
        <w:t>（一）行政执法水平有待加强。一是执法权限有待进一步理清。二是执法力量不均衡，部分行政执法单位持证人数无法满足执法需求，一线执法人员法治素养不高，专业水平有待进一步加强。</w:t>
      </w:r>
    </w:p>
    <w:p>
      <w:pPr>
        <w:adjustRightInd w:val="0"/>
        <w:snapToGrid w:val="0"/>
        <w:spacing w:line="520" w:lineRule="exact"/>
        <w:ind w:firstLine="684" w:firstLineChars="200"/>
        <w:contextualSpacing/>
        <w:rPr>
          <w:rFonts w:hint="eastAsia" w:ascii="仿宋" w:hAnsi="仿宋" w:eastAsia="仿宋" w:cs="仿宋"/>
          <w:spacing w:val="11"/>
          <w:position w:val="1"/>
          <w:sz w:val="32"/>
          <w:szCs w:val="32"/>
        </w:rPr>
      </w:pPr>
      <w:r>
        <w:rPr>
          <w:rFonts w:hint="eastAsia" w:ascii="仿宋" w:hAnsi="仿宋" w:eastAsia="仿宋" w:cs="仿宋"/>
          <w:spacing w:val="11"/>
          <w:position w:val="1"/>
          <w:sz w:val="32"/>
          <w:szCs w:val="32"/>
        </w:rPr>
        <w:t>（二）全区司法行政队伍力量相对薄弱。随着行政复议、行政诉讼案件的不断增长，但目前我局取得法律职业资格证的同事仅有6人，在未新增专业人员及编制的情况下，人手紧张，人案矛盾突出。</w:t>
      </w:r>
    </w:p>
    <w:p>
      <w:pPr>
        <w:adjustRightInd w:val="0"/>
        <w:snapToGrid w:val="0"/>
        <w:spacing w:line="520" w:lineRule="exact"/>
        <w:ind w:firstLine="684" w:firstLineChars="200"/>
        <w:contextualSpacing/>
        <w:rPr>
          <w:rFonts w:hint="eastAsia" w:ascii="仿宋" w:hAnsi="仿宋" w:eastAsia="仿宋" w:cs="仿宋"/>
          <w:spacing w:val="11"/>
          <w:position w:val="1"/>
          <w:sz w:val="32"/>
          <w:szCs w:val="32"/>
        </w:rPr>
      </w:pPr>
      <w:r>
        <w:rPr>
          <w:rFonts w:hint="eastAsia" w:ascii="仿宋" w:hAnsi="仿宋" w:eastAsia="仿宋" w:cs="仿宋"/>
          <w:spacing w:val="11"/>
          <w:position w:val="1"/>
          <w:sz w:val="32"/>
          <w:szCs w:val="32"/>
        </w:rPr>
        <w:t>（三）相关制度落实有待加强。部分行政机关存在“重实体、轻程序”的现象。随意简化程序或者不遵守程序的现象较为突出； “谁执法、谁普法”普法责任制度落实还不到位。</w:t>
      </w:r>
    </w:p>
    <w:p>
      <w:pPr>
        <w:adjustRightInd w:val="0"/>
        <w:snapToGrid w:val="0"/>
        <w:spacing w:line="520" w:lineRule="exact"/>
        <w:ind w:firstLine="684" w:firstLineChars="200"/>
        <w:contextualSpacing/>
        <w:rPr>
          <w:rFonts w:hint="eastAsia" w:ascii="仿宋" w:hAnsi="仿宋" w:eastAsia="仿宋" w:cs="仿宋"/>
          <w:spacing w:val="11"/>
          <w:position w:val="1"/>
          <w:sz w:val="32"/>
          <w:szCs w:val="32"/>
        </w:rPr>
      </w:pPr>
      <w:r>
        <w:rPr>
          <w:rFonts w:hint="eastAsia" w:ascii="仿宋" w:hAnsi="仿宋" w:eastAsia="仿宋" w:cs="仿宋"/>
          <w:spacing w:val="11"/>
          <w:position w:val="1"/>
          <w:sz w:val="32"/>
          <w:szCs w:val="32"/>
        </w:rPr>
        <w:t>（四）政法部门协作配合有待加强。在齐抓共管、合力推进的方面还需提高。</w:t>
      </w:r>
    </w:p>
    <w:p>
      <w:pPr>
        <w:widowControl w:val="0"/>
        <w:spacing w:before="120" w:after="200" w:line="440" w:lineRule="exact"/>
        <w:ind w:firstLine="540"/>
        <w:jc w:val="both"/>
        <w:rPr>
          <w:rFonts w:ascii="仿宋" w:hAnsi="仿宋" w:eastAsia="仿宋" w:cs="仿宋"/>
          <w:b/>
          <w:spacing w:val="11"/>
          <w:kern w:val="2"/>
          <w:position w:val="1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spacing w:val="11"/>
          <w:kern w:val="2"/>
          <w:position w:val="1"/>
          <w:sz w:val="32"/>
          <w:szCs w:val="32"/>
          <w:lang w:val="en-US" w:eastAsia="zh-CN" w:bidi="ar-SA"/>
        </w:rPr>
        <w:t>八、下一步改进措施</w:t>
      </w:r>
    </w:p>
    <w:p>
      <w:pPr>
        <w:adjustRightInd w:val="0"/>
        <w:snapToGrid w:val="0"/>
        <w:spacing w:line="520" w:lineRule="exact"/>
        <w:ind w:firstLine="684" w:firstLineChars="200"/>
        <w:contextualSpacing/>
        <w:rPr>
          <w:rFonts w:hint="eastAsia" w:ascii="仿宋" w:hAnsi="仿宋" w:eastAsia="仿宋" w:cs="仿宋"/>
          <w:spacing w:val="11"/>
          <w:position w:val="1"/>
          <w:sz w:val="32"/>
          <w:szCs w:val="32"/>
        </w:rPr>
      </w:pPr>
      <w:r>
        <w:rPr>
          <w:rFonts w:hint="eastAsia" w:ascii="仿宋" w:hAnsi="仿宋" w:eastAsia="仿宋" w:cs="仿宋"/>
          <w:spacing w:val="11"/>
          <w:position w:val="1"/>
          <w:sz w:val="32"/>
          <w:szCs w:val="32"/>
        </w:rPr>
        <w:t>（一）坚持统筹推进法治政府建设，落实党政主要负责人履行推进法治政府建设第一责任人职责规定；开展规范性文件备案审查、规范清理工作，落实证明事项告知承诺制度；强化行政复议监督力度，建立健全败诉案件通报制度。</w:t>
      </w:r>
    </w:p>
    <w:p>
      <w:pPr>
        <w:adjustRightInd w:val="0"/>
        <w:snapToGrid w:val="0"/>
        <w:spacing w:line="520" w:lineRule="exact"/>
        <w:ind w:firstLine="684" w:firstLineChars="200"/>
        <w:contextualSpacing/>
        <w:rPr>
          <w:rFonts w:ascii="仿宋" w:hAnsi="仿宋" w:eastAsia="仿宋" w:cs="仿宋"/>
          <w:spacing w:val="11"/>
          <w:position w:val="1"/>
          <w:sz w:val="32"/>
          <w:szCs w:val="32"/>
        </w:rPr>
      </w:pPr>
      <w:r>
        <w:rPr>
          <w:rFonts w:hint="eastAsia" w:ascii="仿宋" w:hAnsi="仿宋" w:eastAsia="仿宋" w:cs="仿宋"/>
          <w:spacing w:val="11"/>
          <w:position w:val="1"/>
          <w:sz w:val="32"/>
          <w:szCs w:val="32"/>
        </w:rPr>
        <w:t>（二）坚持维护社会和谐稳定大局。完善矛盾纠纷多元化调解机制，加大对人民调解员的指导、培训力度，提升矛盾纠纷化解能力；加强重点人员摸排管控工作，确保做到不脱管、不漏管，加大收治力度。</w:t>
      </w:r>
    </w:p>
    <w:p>
      <w:pPr>
        <w:adjustRightInd w:val="0"/>
        <w:snapToGrid w:val="0"/>
        <w:spacing w:line="520" w:lineRule="exact"/>
        <w:ind w:firstLine="684" w:firstLineChars="200"/>
        <w:contextualSpacing/>
        <w:rPr>
          <w:rFonts w:ascii="仿宋" w:hAnsi="仿宋" w:eastAsia="仿宋" w:cs="仿宋"/>
          <w:spacing w:val="11"/>
          <w:position w:val="1"/>
          <w:sz w:val="32"/>
          <w:szCs w:val="32"/>
        </w:rPr>
      </w:pPr>
      <w:r>
        <w:rPr>
          <w:rFonts w:hint="eastAsia" w:ascii="仿宋" w:hAnsi="仿宋" w:eastAsia="仿宋" w:cs="仿宋"/>
          <w:spacing w:val="11"/>
          <w:position w:val="1"/>
          <w:sz w:val="32"/>
          <w:szCs w:val="32"/>
        </w:rPr>
        <w:t>（三）坚持抓好民生领域法律服务。完善法律援助案件质量监控体系，引导律师事务所拓宽服务领域，参与化解矛盾纠纷和涉法涉诉信访案件，深入推进“一村（社区）一法律顾问”工作，完善考核奖惩机制。</w:t>
      </w:r>
    </w:p>
    <w:p>
      <w:pPr>
        <w:adjustRightInd w:val="0"/>
        <w:snapToGrid w:val="0"/>
        <w:spacing w:line="520" w:lineRule="exact"/>
        <w:ind w:firstLine="684" w:firstLineChars="200"/>
        <w:contextualSpacing/>
        <w:rPr>
          <w:rFonts w:ascii="仿宋" w:hAnsi="仿宋" w:eastAsia="仿宋" w:cs="仿宋"/>
          <w:spacing w:val="11"/>
          <w:position w:val="1"/>
          <w:sz w:val="32"/>
          <w:szCs w:val="32"/>
        </w:rPr>
      </w:pPr>
      <w:r>
        <w:rPr>
          <w:rFonts w:hint="eastAsia" w:ascii="仿宋" w:hAnsi="仿宋" w:eastAsia="仿宋" w:cs="仿宋"/>
          <w:spacing w:val="11"/>
          <w:position w:val="1"/>
          <w:sz w:val="32"/>
          <w:szCs w:val="32"/>
        </w:rPr>
        <w:t>（四）坚持全面提高干部队伍素质。通过完善考评体系，树立实干实绩失效导向；鼓励政法干部深化继续教育，提高干部法律职业资格政考试通过率。</w:t>
      </w:r>
    </w:p>
    <w:p>
      <w:pPr>
        <w:ind w:firstLine="640" w:firstLineChars="200"/>
        <w:jc w:val="lef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九、部门整体支出绩效自评结果拟应用和公开情况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其他需要说明的情况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报告需要以下附件：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1、部门整体支出绩效评价基础数据表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2、部门整体支出绩效自评表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3、项目支出绩效自评表(一个一级项目支出一张表)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4、政府性基金预算支出情况表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5、国有资本经营预算支出情况表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6、社会保险基金预算支出情况表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before="169" w:line="776" w:lineRule="exact"/>
        <w:ind w:left="372"/>
        <w:rPr>
          <w:rFonts w:ascii="宋体" w:hAnsi="宋体" w:eastAsia="宋体" w:cs="宋体"/>
          <w:b/>
          <w:bCs/>
          <w:color w:val="000000"/>
          <w:spacing w:val="19"/>
          <w:position w:val="17"/>
          <w:sz w:val="36"/>
          <w:szCs w:val="36"/>
        </w:rPr>
        <w:sectPr>
          <w:pgSz w:w="11906" w:h="16838"/>
          <w:pgMar w:top="1701" w:right="1701" w:bottom="1701" w:left="1701" w:header="851" w:footer="992" w:gutter="0"/>
          <w:cols w:space="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C75C79"/>
    <w:multiLevelType w:val="singleLevel"/>
    <w:tmpl w:val="BBC75C79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FEBDE9E"/>
    <w:multiLevelType w:val="singleLevel"/>
    <w:tmpl w:val="FFEBDE9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2C26E8E"/>
    <w:multiLevelType w:val="singleLevel"/>
    <w:tmpl w:val="22C26E8E"/>
    <w:lvl w:ilvl="0" w:tentative="0">
      <w:start w:val="2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hZTlkNzU5MDQwZjQwNmFlYjQzNmY0YzNkMmY0NTEifQ=="/>
  </w:docVars>
  <w:rsids>
    <w:rsidRoot w:val="68373B54"/>
    <w:rsid w:val="151C58D4"/>
    <w:rsid w:val="6837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4465</Words>
  <Characters>4651</Characters>
  <Lines>0</Lines>
  <Paragraphs>0</Paragraphs>
  <TotalTime>4</TotalTime>
  <ScaleCrop>false</ScaleCrop>
  <LinksUpToDate>false</LinksUpToDate>
  <CharactersWithSpaces>4670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2024-06-03T07:38:00Z</dcterms:created>
  <dc:creator>泽</dc:creator>
  <cp:lastModifiedBy>泽</cp:lastModifiedBy>
  <dcterms:modified xsi:type="dcterms:W3CDTF">2024-06-19T07:13:10Z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2F5A6020C6FC4F889A041D57B7BE487E_11</vt:lpwstr>
  </property>
</Properties>
</file>