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jc w:val="center"/>
              <w:rPr>
                <w:rFonts w:hint="eastAsia"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岳阳市岳阳楼区金鹗山街道办事处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w:t>
            </w:r>
          </w:p>
        </w:tc>
        <w:tc>
          <w:tcPr>
            <w:tcW w:w="232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5.52</w:t>
            </w:r>
          </w:p>
        </w:tc>
        <w:tc>
          <w:tcPr>
            <w:tcW w:w="232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5.52</w:t>
            </w:r>
          </w:p>
        </w:tc>
        <w:tc>
          <w:tcPr>
            <w:tcW w:w="2325"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5</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公益性岗位补贴</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其他劳动专项资金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春节慰问款</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临时救助</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其他民政专项资金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环卫工人工资</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环卫工人保险</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其他城管环卫专项资金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独生子女父母奖励金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生育关怀扶助金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重性精神病障碍患者看护补贴</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其他计生专项资金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联络员补贴</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残疾人专职委员经费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其他残联专项资金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企业军转干部解困金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退役军人困难帮扶款</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入伍义务兵优待金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退役军人春节慰问金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特殊困难退役军人财政补贴</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其他退役军人专项资金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其他应急专项资金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武装经费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信访维稳救助经费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疫情防控经费</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其他未区分专项资金</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474.39</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111.60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963.57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17.62</w:t>
            </w:r>
          </w:p>
        </w:tc>
        <w:tc>
          <w:tcPr>
            <w:tcW w:w="2325" w:type="dxa"/>
            <w:gridSpan w:val="2"/>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9</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10.54</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0.51</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229.18</w:t>
            </w:r>
          </w:p>
        </w:tc>
        <w:tc>
          <w:tcPr>
            <w:tcW w:w="2325"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211.60</w:t>
            </w:r>
          </w:p>
        </w:tc>
        <w:tc>
          <w:tcPr>
            <w:tcW w:w="1679" w:type="dxa"/>
            <w:gridSpan w:val="2"/>
            <w:noWrap w:val="0"/>
            <w:vAlign w:val="top"/>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jc w:val="center"/>
              <w:rPr>
                <w:rFonts w:hint="eastAsia" w:ascii="宋体" w:hAnsi="宋体" w:eastAsia="宋体" w:cs="宋体"/>
                <w:color w:val="000000"/>
                <w:sz w:val="21"/>
              </w:rPr>
            </w:pPr>
          </w:p>
        </w:tc>
        <w:tc>
          <w:tcPr>
            <w:tcW w:w="2325" w:type="dxa"/>
            <w:gridSpan w:val="2"/>
            <w:noWrap w:val="0"/>
            <w:vAlign w:val="top"/>
          </w:tcPr>
          <w:p>
            <w:pPr>
              <w:jc w:val="center"/>
              <w:rPr>
                <w:rFonts w:hint="eastAsia" w:ascii="宋体" w:hAnsi="宋体" w:eastAsia="宋体" w:cs="宋体"/>
                <w:color w:val="000000"/>
                <w:sz w:val="21"/>
              </w:rPr>
            </w:pPr>
          </w:p>
        </w:tc>
        <w:tc>
          <w:tcPr>
            <w:tcW w:w="1679" w:type="dxa"/>
            <w:gridSpan w:val="2"/>
            <w:noWrap w:val="0"/>
            <w:vAlign w:val="top"/>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rPr>
              <w:t>一是严格控制一般性支出，降低行政运行成本，提高公用经费使用效率；二是严控楼堂馆所建设；三是推进节能减排。</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赵亚兰</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13873085583</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2024.5.20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rPr>
      </w:pPr>
      <w:r>
        <w:rPr>
          <w:rFonts w:hint="eastAsia" w:ascii="方正小标宋简体" w:hAnsi="方正小标宋简体" w:eastAsia="方正小标宋简体" w:cs="方正小标宋简体"/>
          <w:b w:val="0"/>
          <w:bCs w:val="0"/>
          <w:color w:val="000000"/>
          <w:spacing w:val="2"/>
          <w:sz w:val="42"/>
          <w:szCs w:val="42"/>
          <w:lang w:val="en-US" w:eastAsia="zh-CN"/>
        </w:rPr>
        <w:t xml:space="preserve">  </w:t>
      </w: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整体支出绩效自评表</w:t>
      </w:r>
    </w:p>
    <w:p>
      <w:pPr>
        <w:spacing w:line="168" w:lineRule="exact"/>
        <w:rPr>
          <w:rFonts w:ascii="Calibri" w:hAnsi="Calibri" w:eastAsia="宋体" w:cs="Times New Roman"/>
          <w:color w:val="000000"/>
        </w:rPr>
      </w:pPr>
    </w:p>
    <w:tbl>
      <w:tblPr>
        <w:tblStyle w:val="8"/>
        <w:tblW w:w="9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945"/>
        <w:gridCol w:w="1020"/>
        <w:gridCol w:w="1275"/>
        <w:gridCol w:w="1320"/>
        <w:gridCol w:w="1452"/>
        <w:gridCol w:w="663"/>
        <w:gridCol w:w="765"/>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27"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2"/>
                <w:sz w:val="21"/>
                <w:szCs w:val="21"/>
              </w:rPr>
              <w:t>预算</w:t>
            </w:r>
            <w:r>
              <w:rPr>
                <w:rFonts w:hint="eastAsia" w:ascii="宋体" w:hAnsi="宋体" w:eastAsia="宋体" w:cs="宋体"/>
                <w:color w:val="000000"/>
                <w:spacing w:val="2"/>
                <w:sz w:val="21"/>
                <w:szCs w:val="21"/>
                <w:lang w:eastAsia="zh-CN"/>
              </w:rPr>
              <w:t>单位</w:t>
            </w:r>
            <w:r>
              <w:rPr>
                <w:rFonts w:hint="eastAsia" w:ascii="宋体" w:hAnsi="宋体" w:eastAsia="宋体" w:cs="宋体"/>
                <w:color w:val="000000"/>
                <w:spacing w:val="2"/>
                <w:sz w:val="21"/>
                <w:szCs w:val="21"/>
                <w:lang w:val="en-US" w:eastAsia="zh-CN"/>
              </w:rPr>
              <w:t xml:space="preserve"> </w:t>
            </w:r>
            <w:r>
              <w:rPr>
                <w:rFonts w:ascii="宋体" w:hAnsi="宋体" w:eastAsia="宋体" w:cs="宋体"/>
                <w:color w:val="000000"/>
                <w:spacing w:val="2"/>
                <w:sz w:val="21"/>
                <w:szCs w:val="21"/>
              </w:rPr>
              <w:t>名称</w:t>
            </w:r>
          </w:p>
        </w:tc>
        <w:tc>
          <w:tcPr>
            <w:tcW w:w="8730" w:type="dxa"/>
            <w:gridSpan w:val="8"/>
            <w:noWrap w:val="0"/>
            <w:vAlign w:val="center"/>
          </w:tcPr>
          <w:p>
            <w:pPr>
              <w:jc w:val="center"/>
              <w:rPr>
                <w:rFonts w:ascii="Arial" w:hAnsi="Calibri" w:eastAsia="宋体" w:cs="Times New Roman"/>
                <w:color w:val="000000"/>
                <w:sz w:val="21"/>
              </w:rPr>
            </w:pPr>
            <w:r>
              <w:rPr>
                <w:rFonts w:hint="eastAsia" w:ascii="宋体" w:hAnsi="宋体" w:eastAsia="宋体" w:cs="宋体"/>
                <w:color w:val="000000"/>
                <w:spacing w:val="-2"/>
                <w:sz w:val="24"/>
                <w:szCs w:val="24"/>
                <w:lang w:val="en-US" w:eastAsia="zh-CN"/>
              </w:rPr>
              <w:t>岳阳市岳阳楼区金鹗山街道办事处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7"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hAnsi="Calibri" w:eastAsia="宋体"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3"/>
                <w:position w:val="4"/>
                <w:sz w:val="21"/>
                <w:szCs w:val="21"/>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3"/>
                <w:sz w:val="21"/>
                <w:szCs w:val="21"/>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11"/>
                <w:sz w:val="21"/>
                <w:szCs w:val="21"/>
              </w:rPr>
              <w:t>(万元)</w:t>
            </w:r>
          </w:p>
        </w:tc>
        <w:tc>
          <w:tcPr>
            <w:tcW w:w="19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pacing w:val="0"/>
                <w:sz w:val="20"/>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年初预算数</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全年预算数</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全年执行数</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7"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19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Calibri" w:eastAsia="宋体" w:cs="Times New Roman"/>
                <w:color w:val="000000"/>
                <w:spacing w:val="0"/>
                <w:kern w:val="2"/>
                <w:sz w:val="20"/>
                <w:szCs w:val="24"/>
                <w:lang w:val="en-US" w:eastAsia="zh-CN" w:bidi="ar-SA"/>
              </w:rPr>
            </w:pPr>
            <w:r>
              <w:rPr>
                <w:rFonts w:hint="eastAsia" w:ascii="Arial" w:hAnsi="Calibri" w:eastAsia="宋体" w:cs="Times New Roman"/>
                <w:color w:val="000000"/>
                <w:spacing w:val="0"/>
                <w:kern w:val="2"/>
                <w:sz w:val="20"/>
                <w:szCs w:val="24"/>
                <w:lang w:val="en-US" w:eastAsia="zh-CN" w:bidi="ar-SA"/>
              </w:rPr>
              <w:t>967.75</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Calibri" w:eastAsia="宋体" w:cs="Times New Roman"/>
                <w:color w:val="000000"/>
                <w:spacing w:val="0"/>
                <w:kern w:val="2"/>
                <w:sz w:val="20"/>
                <w:szCs w:val="24"/>
                <w:lang w:val="en-US" w:eastAsia="zh-CN" w:bidi="ar-SA"/>
              </w:rPr>
            </w:pPr>
            <w:r>
              <w:rPr>
                <w:rFonts w:hint="eastAsia" w:ascii="Arial" w:hAnsi="Calibri" w:eastAsia="宋体" w:cs="Times New Roman"/>
                <w:color w:val="000000"/>
                <w:spacing w:val="0"/>
                <w:kern w:val="2"/>
                <w:sz w:val="20"/>
                <w:szCs w:val="24"/>
                <w:lang w:val="en-US" w:eastAsia="zh-CN" w:bidi="ar-SA"/>
              </w:rPr>
              <w:t>2669.14</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Calibri" w:eastAsia="宋体" w:cs="Times New Roman"/>
                <w:color w:val="000000"/>
                <w:spacing w:val="0"/>
                <w:kern w:val="2"/>
                <w:sz w:val="20"/>
                <w:szCs w:val="24"/>
                <w:lang w:val="en-US" w:eastAsia="zh-CN" w:bidi="ar-SA"/>
              </w:rPr>
            </w:pPr>
            <w:r>
              <w:rPr>
                <w:rFonts w:hint="eastAsia" w:ascii="Arial" w:hAnsi="Calibri" w:eastAsia="宋体" w:cs="Times New Roman"/>
                <w:color w:val="000000"/>
                <w:spacing w:val="0"/>
                <w:kern w:val="2"/>
                <w:sz w:val="20"/>
                <w:szCs w:val="24"/>
                <w:lang w:val="en-US" w:eastAsia="zh-CN" w:bidi="ar-SA"/>
              </w:rPr>
              <w:t>2669.14</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spacing w:val="0"/>
                <w:sz w:val="20"/>
                <w:szCs w:val="20"/>
              </w:rPr>
            </w:pPr>
            <w:r>
              <w:rPr>
                <w:rFonts w:ascii="宋体" w:hAnsi="宋体" w:eastAsia="宋体" w:cs="宋体"/>
                <w:color w:val="000000"/>
                <w:spacing w:val="0"/>
                <w:position w:val="-3"/>
                <w:sz w:val="20"/>
                <w:szCs w:val="20"/>
              </w:rPr>
              <w:t>10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pacing w:val="0"/>
                <w:sz w:val="20"/>
                <w:lang w:val="en-US" w:eastAsia="zh-CN"/>
              </w:rPr>
            </w:pPr>
            <w:r>
              <w:rPr>
                <w:rFonts w:hint="eastAsia" w:ascii="Arial" w:hAnsi="Calibri" w:eastAsia="宋体" w:cs="Times New Roman"/>
                <w:color w:val="000000"/>
                <w:spacing w:val="0"/>
                <w:sz w:val="20"/>
                <w:lang w:val="en-US" w:eastAsia="zh-CN"/>
              </w:rPr>
              <w:t>100%</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pacing w:val="0"/>
                <w:sz w:val="20"/>
                <w:lang w:val="en-US" w:eastAsia="zh-CN"/>
              </w:rPr>
            </w:pPr>
            <w:r>
              <w:rPr>
                <w:rFonts w:hint="eastAsia" w:ascii="Arial" w:hAnsi="Calibri" w:eastAsia="宋体" w:cs="Times New Roman"/>
                <w:color w:val="000000"/>
                <w:spacing w:val="0"/>
                <w:sz w:val="2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27"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按收入性质分：</w:t>
            </w:r>
          </w:p>
        </w:tc>
        <w:tc>
          <w:tcPr>
            <w:tcW w:w="41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27"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spacing w:val="0"/>
                <w:sz w:val="21"/>
                <w:szCs w:val="21"/>
                <w:lang w:val="en-US" w:eastAsia="zh-CN"/>
              </w:rPr>
            </w:pPr>
            <w:r>
              <w:rPr>
                <w:rFonts w:ascii="宋体" w:hAnsi="宋体" w:eastAsia="宋体" w:cs="宋体"/>
                <w:color w:val="000000"/>
                <w:spacing w:val="0"/>
                <w:sz w:val="21"/>
                <w:szCs w:val="21"/>
              </w:rPr>
              <w:t xml:space="preserve">其中： </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一般公共预算：</w:t>
            </w:r>
            <w:r>
              <w:rPr>
                <w:rFonts w:hint="eastAsia" w:ascii="宋体" w:hAnsi="宋体" w:eastAsia="宋体" w:cs="宋体"/>
                <w:color w:val="000000"/>
                <w:spacing w:val="0"/>
                <w:sz w:val="21"/>
                <w:szCs w:val="21"/>
                <w:lang w:val="en-US" w:eastAsia="zh-CN"/>
              </w:rPr>
              <w:t>1858.32万元</w:t>
            </w:r>
          </w:p>
        </w:tc>
        <w:tc>
          <w:tcPr>
            <w:tcW w:w="41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spacing w:val="0"/>
                <w:sz w:val="21"/>
                <w:szCs w:val="21"/>
                <w:lang w:val="en-US" w:eastAsia="zh-CN"/>
              </w:rPr>
            </w:pPr>
            <w:r>
              <w:rPr>
                <w:rFonts w:ascii="宋体" w:hAnsi="宋体" w:eastAsia="宋体" w:cs="宋体"/>
                <w:color w:val="000000"/>
                <w:spacing w:val="0"/>
                <w:sz w:val="21"/>
                <w:szCs w:val="21"/>
              </w:rPr>
              <w:t>其中：基本支出：</w:t>
            </w:r>
            <w:r>
              <w:rPr>
                <w:rFonts w:hint="eastAsia" w:ascii="宋体" w:hAnsi="宋体" w:eastAsia="宋体" w:cs="宋体"/>
                <w:color w:val="000000"/>
                <w:spacing w:val="0"/>
                <w:sz w:val="21"/>
                <w:szCs w:val="21"/>
                <w:lang w:val="en-US" w:eastAsia="zh-CN"/>
              </w:rPr>
              <w:t>1852.37万元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政府性基金拨款：</w:t>
            </w:r>
          </w:p>
        </w:tc>
        <w:tc>
          <w:tcPr>
            <w:tcW w:w="41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spacing w:val="0"/>
                <w:sz w:val="21"/>
                <w:szCs w:val="21"/>
                <w:lang w:val="en-US" w:eastAsia="zh-CN"/>
              </w:rPr>
            </w:pPr>
            <w:r>
              <w:rPr>
                <w:rFonts w:ascii="宋体" w:hAnsi="宋体" w:eastAsia="宋体" w:cs="宋体"/>
                <w:color w:val="000000"/>
                <w:spacing w:val="0"/>
                <w:sz w:val="21"/>
                <w:szCs w:val="21"/>
              </w:rPr>
              <w:t>项目支出：</w:t>
            </w:r>
            <w:r>
              <w:rPr>
                <w:rFonts w:hint="eastAsia" w:ascii="宋体" w:hAnsi="宋体" w:eastAsia="宋体" w:cs="宋体"/>
                <w:color w:val="000000"/>
                <w:spacing w:val="0"/>
                <w:sz w:val="21"/>
                <w:szCs w:val="21"/>
                <w:lang w:val="en-US" w:eastAsia="zh-CN"/>
              </w:rPr>
              <w:t>816.77万元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7"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纳入专户管理的非税收入拨款：</w:t>
            </w:r>
          </w:p>
        </w:tc>
        <w:tc>
          <w:tcPr>
            <w:tcW w:w="41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7"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spacing w:val="0"/>
                <w:sz w:val="21"/>
                <w:szCs w:val="21"/>
                <w:lang w:val="en-US" w:eastAsia="zh-CN"/>
              </w:rPr>
            </w:pPr>
            <w:r>
              <w:rPr>
                <w:rFonts w:ascii="宋体" w:hAnsi="宋体" w:eastAsia="宋体" w:cs="宋体"/>
                <w:color w:val="000000"/>
                <w:spacing w:val="0"/>
                <w:sz w:val="21"/>
                <w:szCs w:val="21"/>
              </w:rPr>
              <w:t>其他资金：</w:t>
            </w:r>
            <w:r>
              <w:rPr>
                <w:rFonts w:hint="eastAsia" w:ascii="宋体" w:hAnsi="宋体" w:eastAsia="宋体" w:cs="宋体"/>
                <w:color w:val="000000"/>
                <w:spacing w:val="0"/>
                <w:sz w:val="21"/>
                <w:szCs w:val="21"/>
                <w:lang w:val="en-US" w:eastAsia="zh-CN"/>
              </w:rPr>
              <w:t>810.82万元</w:t>
            </w:r>
          </w:p>
        </w:tc>
        <w:tc>
          <w:tcPr>
            <w:tcW w:w="41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hAnsi="Calibri" w:eastAsia="宋体" w:cs="Times New Roman"/>
                <w:color w:val="000000"/>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7"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pacing w:val="7"/>
                <w:sz w:val="21"/>
                <w:szCs w:val="21"/>
              </w:rPr>
              <w:t>年度总体</w:t>
            </w:r>
            <w:r>
              <w:rPr>
                <w:rFonts w:ascii="宋体" w:hAnsi="宋体" w:eastAsia="宋体" w:cs="宋体"/>
                <w:color w:val="000000"/>
                <w:spacing w:val="1"/>
                <w:sz w:val="21"/>
                <w:szCs w:val="21"/>
              </w:rPr>
              <w:t xml:space="preserve"> </w:t>
            </w:r>
            <w:r>
              <w:rPr>
                <w:rFonts w:ascii="宋体" w:hAnsi="宋体" w:eastAsia="宋体" w:cs="宋体"/>
                <w:color w:val="000000"/>
                <w:spacing w:val="-19"/>
                <w:sz w:val="21"/>
                <w:szCs w:val="21"/>
              </w:rPr>
              <w:t>目</w:t>
            </w:r>
            <w:r>
              <w:rPr>
                <w:rFonts w:ascii="宋体" w:hAnsi="宋体" w:eastAsia="宋体" w:cs="宋体"/>
                <w:color w:val="000000"/>
                <w:spacing w:val="-35"/>
                <w:sz w:val="21"/>
                <w:szCs w:val="21"/>
              </w:rPr>
              <w:t xml:space="preserve"> </w:t>
            </w:r>
            <w:r>
              <w:rPr>
                <w:rFonts w:ascii="宋体" w:hAnsi="宋体" w:eastAsia="宋体" w:cs="宋体"/>
                <w:color w:val="000000"/>
                <w:spacing w:val="-19"/>
                <w:sz w:val="21"/>
                <w:szCs w:val="21"/>
              </w:rPr>
              <w:t>标</w:t>
            </w:r>
          </w:p>
        </w:tc>
        <w:tc>
          <w:tcPr>
            <w:tcW w:w="45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41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6" w:hRule="atLeast"/>
        </w:trPr>
        <w:tc>
          <w:tcPr>
            <w:tcW w:w="1027"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hAnsi="Calibri" w:eastAsia="宋体" w:cs="Times New Roman"/>
                <w:color w:val="000000"/>
                <w:sz w:val="21"/>
                <w:szCs w:val="21"/>
              </w:rPr>
            </w:pPr>
          </w:p>
        </w:tc>
        <w:tc>
          <w:tcPr>
            <w:tcW w:w="45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default"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lang w:val="en-US" w:eastAsia="zh-CN"/>
              </w:rPr>
              <w:t>1.强党建提作风  坚持把转作风、强纪律、讲规矩、爱学习摆在突出位置，广泛开展廉政教育，不定期开展工作督查，全年作风督查不低于10次。</w:t>
            </w:r>
          </w:p>
          <w:p>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eastAsia"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lang w:val="en-US" w:eastAsia="zh-CN"/>
              </w:rPr>
              <w:t>2.抓招商引税源  扎实推进“湘商回归”的工作，搭建商友平台，成立金鹗山街道商会，助推辖区内的非公企业健康发展，全面完成税收入库任务，全年完成税收入库不低于10000万元。</w:t>
            </w:r>
          </w:p>
          <w:p>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eastAsia"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lang w:val="en-US" w:eastAsia="zh-CN"/>
              </w:rPr>
              <w:t>3.抓平常安全实  牢固树立安全生产底线，常态化开展居民用电用火用气安全知识宣传，强化自建房安全隐患排查，做到全年无重大安全生产事故发生。</w:t>
            </w:r>
          </w:p>
          <w:p>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default"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lang w:val="en-US" w:eastAsia="zh-CN"/>
              </w:rPr>
              <w:t>4.抓项目暖民心  全力推动市中院审判庭建设项目，扎实做好老旧小区改造，全年</w:t>
            </w:r>
            <w:r>
              <w:rPr>
                <w:rFonts w:hint="eastAsia" w:ascii="Arial" w:hAnsi="Calibri" w:eastAsia="宋体" w:cs="Times New Roman"/>
                <w:color w:val="000000"/>
                <w:sz w:val="18"/>
                <w:szCs w:val="18"/>
                <w:lang w:eastAsia="zh-CN"/>
              </w:rPr>
              <w:t>老旧小区改造覆盖面积不低于</w:t>
            </w:r>
            <w:r>
              <w:rPr>
                <w:rFonts w:hint="eastAsia" w:ascii="Arial" w:hAnsi="Calibri" w:eastAsia="宋体" w:cs="Times New Roman"/>
                <w:color w:val="000000"/>
                <w:sz w:val="18"/>
                <w:szCs w:val="18"/>
                <w:lang w:val="en-US" w:eastAsia="zh-CN"/>
              </w:rPr>
              <w:t>230栋</w:t>
            </w:r>
            <w:r>
              <w:rPr>
                <w:rFonts w:hint="eastAsia" w:ascii="Arial" w:hAnsi="Calibri" w:eastAsia="宋体" w:cs="Times New Roman"/>
                <w:color w:val="000000"/>
                <w:sz w:val="18"/>
                <w:szCs w:val="18"/>
                <w:lang w:eastAsia="zh-CN"/>
              </w:rPr>
              <w:t>，覆盖小区数量不低于</w:t>
            </w:r>
            <w:r>
              <w:rPr>
                <w:rFonts w:hint="eastAsia" w:ascii="Arial" w:hAnsi="Calibri" w:eastAsia="宋体" w:cs="Times New Roman"/>
                <w:color w:val="000000"/>
                <w:sz w:val="18"/>
                <w:szCs w:val="18"/>
                <w:lang w:val="en-US" w:eastAsia="zh-CN"/>
              </w:rPr>
              <w:t>35</w:t>
            </w:r>
            <w:r>
              <w:rPr>
                <w:rFonts w:hint="eastAsia" w:ascii="Arial" w:hAnsi="Calibri" w:eastAsia="宋体" w:cs="Times New Roman"/>
                <w:color w:val="000000"/>
                <w:sz w:val="18"/>
                <w:szCs w:val="18"/>
                <w:lang w:eastAsia="zh-CN"/>
              </w:rPr>
              <w:t>个。</w:t>
            </w:r>
            <w:r>
              <w:rPr>
                <w:rFonts w:hint="eastAsia" w:ascii="Arial" w:hAnsi="Calibri" w:eastAsia="宋体" w:cs="Times New Roman"/>
                <w:color w:val="000000"/>
                <w:spacing w:val="0"/>
                <w:sz w:val="18"/>
                <w:szCs w:val="18"/>
                <w:lang w:val="en-US" w:eastAsia="zh-CN"/>
              </w:rPr>
              <w:t xml:space="preserve">                                           5、禁违拆违推进有力，</w:t>
            </w:r>
            <w:r>
              <w:rPr>
                <w:rFonts w:hint="eastAsia" w:ascii="Arial" w:hAnsi="Calibri" w:eastAsia="宋体" w:cs="Times New Roman"/>
                <w:color w:val="000000"/>
                <w:sz w:val="18"/>
                <w:szCs w:val="18"/>
                <w:lang w:eastAsia="zh-CN"/>
              </w:rPr>
              <w:t>全年累计拆除存量违法建设不少于</w:t>
            </w:r>
            <w:r>
              <w:rPr>
                <w:rFonts w:hint="eastAsia" w:ascii="Arial" w:hAnsi="Calibri" w:eastAsia="宋体" w:cs="Times New Roman"/>
                <w:color w:val="000000"/>
                <w:sz w:val="18"/>
                <w:szCs w:val="18"/>
                <w:lang w:val="en-US" w:eastAsia="zh-CN"/>
              </w:rPr>
              <w:t>60</w:t>
            </w:r>
            <w:r>
              <w:rPr>
                <w:rFonts w:hint="eastAsia" w:ascii="Arial" w:hAnsi="Calibri" w:eastAsia="宋体" w:cs="Times New Roman"/>
                <w:color w:val="000000"/>
                <w:sz w:val="18"/>
                <w:szCs w:val="18"/>
                <w:lang w:eastAsia="zh-CN"/>
              </w:rPr>
              <w:t>处、面积不少于</w:t>
            </w:r>
            <w:r>
              <w:rPr>
                <w:rFonts w:hint="eastAsia" w:ascii="Arial" w:hAnsi="Calibri" w:eastAsia="宋体" w:cs="Times New Roman"/>
                <w:color w:val="000000"/>
                <w:sz w:val="18"/>
                <w:szCs w:val="18"/>
                <w:lang w:val="en-US" w:eastAsia="zh-CN"/>
              </w:rPr>
              <w:t>5000</w:t>
            </w:r>
            <w:r>
              <w:rPr>
                <w:rFonts w:hint="eastAsia" w:ascii="Arial" w:hAnsi="Calibri" w:eastAsia="宋体" w:cs="Times New Roman"/>
                <w:color w:val="000000"/>
                <w:sz w:val="18"/>
                <w:szCs w:val="18"/>
                <w:lang w:eastAsia="zh-CN"/>
              </w:rPr>
              <w:t>平方米。</w:t>
            </w:r>
            <w:r>
              <w:rPr>
                <w:rFonts w:hint="eastAsia" w:ascii="Arial" w:hAnsi="Calibri" w:eastAsia="宋体" w:cs="Times New Roman"/>
                <w:color w:val="000000"/>
                <w:spacing w:val="0"/>
                <w:sz w:val="18"/>
                <w:szCs w:val="18"/>
                <w:lang w:val="en-US" w:eastAsia="zh-CN"/>
              </w:rPr>
              <w:t xml:space="preserve">                                            6、优化人居环境，持续开展城市“六治”工作，全力以赴打好深化全国文明卫生城市建设“攻坚站”。全年组织环卫大扫除部低于300次，清理陈年垃圾不少于2000吨。</w:t>
            </w:r>
          </w:p>
        </w:tc>
        <w:tc>
          <w:tcPr>
            <w:tcW w:w="41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hAnsi="Calibri" w:eastAsia="宋体" w:cs="Times New Roman"/>
                <w:color w:val="000000"/>
                <w:spacing w:val="0"/>
                <w:sz w:val="18"/>
                <w:szCs w:val="18"/>
              </w:rPr>
            </w:pPr>
            <w:r>
              <w:rPr>
                <w:rFonts w:hint="eastAsia" w:ascii="Arial" w:hAnsi="Calibri" w:eastAsia="宋体" w:cs="Times New Roman"/>
                <w:color w:val="000000"/>
                <w:spacing w:val="0"/>
                <w:sz w:val="18"/>
                <w:szCs w:val="18"/>
              </w:rPr>
              <w:t>1.加强政治理论学习,扎实开展</w:t>
            </w:r>
            <w:r>
              <w:rPr>
                <w:rFonts w:hint="eastAsia" w:ascii="Arial" w:hAnsi="Calibri" w:eastAsia="宋体" w:cs="Times New Roman"/>
                <w:color w:val="000000"/>
                <w:spacing w:val="0"/>
                <w:sz w:val="18"/>
                <w:szCs w:val="18"/>
                <w:lang w:eastAsia="zh-CN"/>
              </w:rPr>
              <w:t>学习习近平新时代中国特色社会主义思想主题教育，组织中心组学习</w:t>
            </w:r>
            <w:r>
              <w:rPr>
                <w:rFonts w:hint="eastAsia" w:ascii="Arial" w:hAnsi="Calibri" w:eastAsia="宋体" w:cs="Times New Roman"/>
                <w:color w:val="000000"/>
                <w:spacing w:val="0"/>
                <w:sz w:val="18"/>
                <w:szCs w:val="18"/>
              </w:rPr>
              <w:t>12次，</w:t>
            </w:r>
            <w:r>
              <w:rPr>
                <w:rFonts w:hint="eastAsia" w:ascii="Arial" w:hAnsi="Calibri" w:eastAsia="宋体" w:cs="Times New Roman"/>
                <w:color w:val="000000"/>
                <w:spacing w:val="0"/>
                <w:sz w:val="18"/>
                <w:szCs w:val="18"/>
                <w:lang w:eastAsia="zh-CN"/>
              </w:rPr>
              <w:t>开展青年大讲堂</w:t>
            </w:r>
            <w:r>
              <w:rPr>
                <w:rFonts w:hint="eastAsia" w:ascii="Arial" w:hAnsi="Calibri" w:eastAsia="宋体" w:cs="Times New Roman"/>
                <w:color w:val="000000"/>
                <w:spacing w:val="0"/>
                <w:sz w:val="18"/>
                <w:szCs w:val="18"/>
                <w:lang w:val="en-US" w:eastAsia="zh-CN"/>
              </w:rPr>
              <w:t>4次，开展警示教育3次。</w:t>
            </w:r>
            <w:r>
              <w:rPr>
                <w:rFonts w:hint="eastAsia" w:ascii="Arial" w:hAnsi="Calibri" w:eastAsia="宋体" w:cs="Times New Roman"/>
                <w:color w:val="000000"/>
                <w:spacing w:val="0"/>
                <w:sz w:val="18"/>
                <w:szCs w:val="18"/>
                <w:lang w:eastAsia="zh-CN"/>
              </w:rPr>
              <w:t>强化作风纪律整顿，</w:t>
            </w:r>
            <w:r>
              <w:rPr>
                <w:rFonts w:hint="eastAsia" w:ascii="Arial" w:hAnsi="Calibri" w:eastAsia="宋体" w:cs="Times New Roman"/>
                <w:color w:val="000000"/>
                <w:spacing w:val="0"/>
                <w:sz w:val="18"/>
                <w:szCs w:val="18"/>
              </w:rPr>
              <w:t>全年开展</w:t>
            </w:r>
            <w:r>
              <w:rPr>
                <w:rFonts w:hint="eastAsia" w:ascii="Arial" w:hAnsi="Calibri" w:eastAsia="宋体" w:cs="Times New Roman"/>
                <w:color w:val="000000"/>
                <w:spacing w:val="0"/>
                <w:sz w:val="18"/>
                <w:szCs w:val="18"/>
                <w:lang w:eastAsia="zh-CN"/>
              </w:rPr>
              <w:t>作风</w:t>
            </w:r>
            <w:r>
              <w:rPr>
                <w:rFonts w:hint="eastAsia" w:ascii="Arial" w:hAnsi="Calibri" w:eastAsia="宋体" w:cs="Times New Roman"/>
                <w:color w:val="000000"/>
                <w:spacing w:val="0"/>
                <w:sz w:val="18"/>
                <w:szCs w:val="18"/>
              </w:rPr>
              <w:t>督查</w:t>
            </w:r>
            <w:r>
              <w:rPr>
                <w:rFonts w:hint="eastAsia" w:ascii="Arial" w:hAnsi="Calibri" w:eastAsia="宋体" w:cs="Times New Roman"/>
                <w:color w:val="000000"/>
                <w:spacing w:val="0"/>
                <w:sz w:val="18"/>
                <w:szCs w:val="18"/>
                <w:lang w:val="en-US" w:eastAsia="zh-CN"/>
              </w:rPr>
              <w:t>14</w:t>
            </w:r>
            <w:r>
              <w:rPr>
                <w:rFonts w:hint="eastAsia" w:ascii="Arial" w:hAnsi="Calibri" w:eastAsia="宋体" w:cs="Times New Roman"/>
                <w:color w:val="000000"/>
                <w:spacing w:val="0"/>
                <w:sz w:val="18"/>
                <w:szCs w:val="18"/>
              </w:rPr>
              <w:t>次。</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rPr>
              <w:t>2.税收指标超额完成，全年共计完成税收入库数</w:t>
            </w:r>
            <w:r>
              <w:rPr>
                <w:rFonts w:hint="eastAsia" w:ascii="Arial" w:hAnsi="Calibri" w:eastAsia="宋体" w:cs="Times New Roman"/>
                <w:color w:val="000000"/>
                <w:spacing w:val="0"/>
                <w:sz w:val="18"/>
                <w:szCs w:val="18"/>
                <w:lang w:val="en-US" w:eastAsia="zh-CN"/>
              </w:rPr>
              <w:t>10533</w:t>
            </w:r>
            <w:r>
              <w:rPr>
                <w:rFonts w:hint="eastAsia" w:ascii="Arial" w:hAnsi="Calibri" w:eastAsia="宋体" w:cs="Times New Roman"/>
                <w:color w:val="000000"/>
                <w:spacing w:val="0"/>
                <w:sz w:val="18"/>
                <w:szCs w:val="18"/>
              </w:rPr>
              <w:t>万元。</w:t>
            </w:r>
            <w:r>
              <w:rPr>
                <w:rFonts w:hint="eastAsia" w:ascii="Arial" w:hAnsi="Calibri" w:eastAsia="宋体" w:cs="Times New Roman"/>
                <w:color w:val="000000"/>
                <w:spacing w:val="0"/>
                <w:sz w:val="18"/>
                <w:szCs w:val="18"/>
                <w:lang w:eastAsia="zh-CN"/>
              </w:rPr>
              <w:t>完成固定资产投资</w:t>
            </w:r>
            <w:r>
              <w:rPr>
                <w:rFonts w:hint="eastAsia" w:ascii="Arial" w:hAnsi="Calibri" w:eastAsia="宋体" w:cs="Times New Roman"/>
                <w:color w:val="000000"/>
                <w:spacing w:val="0"/>
                <w:sz w:val="18"/>
                <w:szCs w:val="18"/>
                <w:lang w:val="en-US" w:eastAsia="zh-CN"/>
              </w:rPr>
              <w:t>12.64万元，同比去年增幅199.4%。</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hAnsi="Calibri" w:eastAsia="宋体" w:cs="Times New Roman"/>
                <w:color w:val="000000"/>
                <w:spacing w:val="0"/>
                <w:sz w:val="18"/>
                <w:szCs w:val="18"/>
              </w:rPr>
            </w:pPr>
            <w:r>
              <w:rPr>
                <w:rFonts w:hint="eastAsia" w:ascii="Arial" w:hAnsi="Calibri" w:eastAsia="宋体" w:cs="Times New Roman"/>
                <w:color w:val="000000"/>
                <w:spacing w:val="0"/>
                <w:sz w:val="18"/>
                <w:szCs w:val="18"/>
              </w:rPr>
              <w:t>3.常态化开展居民用电用火用气安全知识宣传，</w:t>
            </w:r>
            <w:r>
              <w:rPr>
                <w:rFonts w:hint="eastAsia" w:ascii="Arial" w:hAnsi="Calibri" w:eastAsia="宋体" w:cs="Times New Roman"/>
                <w:color w:val="000000"/>
                <w:spacing w:val="0"/>
                <w:sz w:val="18"/>
                <w:szCs w:val="18"/>
                <w:lang w:eastAsia="zh-CN"/>
              </w:rPr>
              <w:t>开展安全检查</w:t>
            </w:r>
            <w:r>
              <w:rPr>
                <w:rFonts w:hint="eastAsia" w:ascii="Arial" w:hAnsi="Calibri" w:eastAsia="宋体" w:cs="Times New Roman"/>
                <w:color w:val="000000"/>
                <w:spacing w:val="0"/>
                <w:sz w:val="18"/>
                <w:szCs w:val="18"/>
                <w:lang w:val="en-US" w:eastAsia="zh-CN"/>
              </w:rPr>
              <w:t>300余次。</w:t>
            </w:r>
            <w:r>
              <w:rPr>
                <w:rFonts w:hint="eastAsia" w:ascii="Arial" w:hAnsi="Calibri" w:eastAsia="宋体" w:cs="Times New Roman"/>
                <w:color w:val="000000"/>
                <w:spacing w:val="0"/>
                <w:sz w:val="18"/>
                <w:szCs w:val="18"/>
                <w:lang w:eastAsia="zh-CN"/>
              </w:rPr>
              <w:t>强化</w:t>
            </w:r>
            <w:r>
              <w:rPr>
                <w:rFonts w:hint="eastAsia" w:ascii="Arial" w:hAnsi="Calibri" w:eastAsia="宋体" w:cs="Times New Roman"/>
                <w:color w:val="000000"/>
                <w:spacing w:val="0"/>
                <w:sz w:val="18"/>
                <w:szCs w:val="18"/>
              </w:rPr>
              <w:t>自建房</w:t>
            </w:r>
            <w:r>
              <w:rPr>
                <w:rFonts w:hint="eastAsia" w:ascii="Arial" w:hAnsi="Calibri" w:eastAsia="宋体" w:cs="Times New Roman"/>
                <w:color w:val="000000"/>
                <w:spacing w:val="0"/>
                <w:sz w:val="18"/>
                <w:szCs w:val="18"/>
                <w:lang w:eastAsia="zh-CN"/>
              </w:rPr>
              <w:t>安全隐患</w:t>
            </w:r>
            <w:r>
              <w:rPr>
                <w:rFonts w:hint="eastAsia" w:ascii="Arial" w:hAnsi="Calibri" w:eastAsia="宋体" w:cs="Times New Roman"/>
                <w:color w:val="000000"/>
                <w:spacing w:val="0"/>
                <w:sz w:val="18"/>
                <w:szCs w:val="18"/>
              </w:rPr>
              <w:t>排查、燃气安全、屋顶扫雷、消防保畅等专项行动，摸排自建房1729栋，其中改扩建810栋，用作经营246栋。</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hAnsi="Calibri" w:eastAsia="宋体" w:cs="Times New Roman"/>
                <w:color w:val="000000"/>
                <w:spacing w:val="0"/>
                <w:sz w:val="18"/>
                <w:szCs w:val="18"/>
                <w:lang w:val="en-US" w:eastAsia="zh-CN"/>
              </w:rPr>
            </w:pPr>
            <w:r>
              <w:rPr>
                <w:rFonts w:hint="eastAsia" w:ascii="Arial" w:hAnsi="Calibri" w:eastAsia="宋体" w:cs="Times New Roman"/>
                <w:color w:val="000000"/>
                <w:spacing w:val="0"/>
                <w:sz w:val="18"/>
                <w:szCs w:val="18"/>
              </w:rPr>
              <w:t>4.202</w:t>
            </w:r>
            <w:r>
              <w:rPr>
                <w:rFonts w:hint="eastAsia" w:ascii="Arial" w:hAnsi="Calibri" w:eastAsia="宋体" w:cs="Times New Roman"/>
                <w:color w:val="000000"/>
                <w:spacing w:val="0"/>
                <w:sz w:val="18"/>
                <w:szCs w:val="18"/>
                <w:lang w:val="en-US" w:eastAsia="zh-CN"/>
              </w:rPr>
              <w:t>3</w:t>
            </w:r>
            <w:r>
              <w:rPr>
                <w:rFonts w:hint="eastAsia" w:ascii="Arial" w:hAnsi="Calibri" w:eastAsia="宋体" w:cs="Times New Roman"/>
                <w:color w:val="000000"/>
                <w:spacing w:val="0"/>
                <w:sz w:val="18"/>
                <w:szCs w:val="18"/>
              </w:rPr>
              <w:t>年街道老旧小区改造开展涉及41个小区，共</w:t>
            </w:r>
            <w:r>
              <w:rPr>
                <w:rFonts w:hint="eastAsia" w:ascii="Arial" w:hAnsi="Calibri" w:eastAsia="宋体" w:cs="Times New Roman"/>
                <w:color w:val="000000"/>
                <w:spacing w:val="0"/>
                <w:sz w:val="18"/>
                <w:szCs w:val="18"/>
                <w:lang w:val="en-US" w:eastAsia="zh-CN"/>
              </w:rPr>
              <w:t>4535</w:t>
            </w:r>
            <w:r>
              <w:rPr>
                <w:rFonts w:hint="eastAsia" w:ascii="Arial" w:hAnsi="Calibri" w:eastAsia="宋体" w:cs="Times New Roman"/>
                <w:color w:val="000000"/>
                <w:spacing w:val="0"/>
                <w:sz w:val="18"/>
                <w:szCs w:val="18"/>
              </w:rPr>
              <w:t>户，2</w:t>
            </w:r>
            <w:r>
              <w:rPr>
                <w:rFonts w:hint="eastAsia" w:ascii="Arial" w:hAnsi="Calibri" w:eastAsia="宋体" w:cs="Times New Roman"/>
                <w:color w:val="000000"/>
                <w:spacing w:val="0"/>
                <w:sz w:val="18"/>
                <w:szCs w:val="18"/>
                <w:lang w:val="en-US" w:eastAsia="zh-CN"/>
              </w:rPr>
              <w:t>59</w:t>
            </w:r>
            <w:r>
              <w:rPr>
                <w:rFonts w:hint="eastAsia" w:ascii="Arial" w:hAnsi="Calibri" w:eastAsia="宋体" w:cs="Times New Roman"/>
                <w:color w:val="000000"/>
                <w:spacing w:val="0"/>
                <w:sz w:val="18"/>
                <w:szCs w:val="18"/>
              </w:rPr>
              <w:t>栋</w:t>
            </w:r>
            <w:r>
              <w:rPr>
                <w:rFonts w:hint="eastAsia" w:ascii="Arial" w:hAnsi="Calibri" w:eastAsia="宋体" w:cs="Times New Roman"/>
                <w:color w:val="000000"/>
                <w:spacing w:val="0"/>
                <w:sz w:val="18"/>
                <w:szCs w:val="18"/>
                <w:lang w:eastAsia="zh-CN"/>
              </w:rPr>
              <w:t>。市中院审判庭建设项目稳步推进，已完成入户评估</w:t>
            </w:r>
            <w:r>
              <w:rPr>
                <w:rFonts w:hint="eastAsia" w:ascii="Arial" w:hAnsi="Calibri" w:eastAsia="宋体" w:cs="Times New Roman"/>
                <w:color w:val="000000"/>
                <w:spacing w:val="0"/>
                <w:sz w:val="18"/>
                <w:szCs w:val="18"/>
                <w:lang w:val="en-US" w:eastAsia="zh-CN"/>
              </w:rPr>
              <w:t>28户，签约8户。</w:t>
            </w:r>
            <w:r>
              <w:rPr>
                <w:rFonts w:hint="eastAsia" w:ascii="Arial" w:hAnsi="Calibri" w:eastAsia="宋体" w:cs="Times New Roman"/>
                <w:color w:val="000000"/>
                <w:spacing w:val="0"/>
                <w:sz w:val="18"/>
                <w:szCs w:val="18"/>
              </w:rPr>
              <w:t xml:space="preserve">         </w:t>
            </w:r>
            <w:r>
              <w:rPr>
                <w:rFonts w:hint="eastAsia" w:ascii="Arial" w:hAnsi="Calibri" w:eastAsia="宋体" w:cs="Times New Roman"/>
                <w:color w:val="000000"/>
                <w:spacing w:val="0"/>
                <w:sz w:val="18"/>
                <w:szCs w:val="18"/>
                <w:lang w:val="en-US" w:eastAsia="zh-CN"/>
              </w:rPr>
              <w:t xml:space="preserve">                          </w:t>
            </w:r>
            <w:r>
              <w:rPr>
                <w:rFonts w:hint="eastAsia" w:ascii="Arial" w:hAnsi="Calibri" w:eastAsia="宋体" w:cs="Times New Roman"/>
                <w:color w:val="000000"/>
                <w:spacing w:val="0"/>
                <w:sz w:val="18"/>
                <w:szCs w:val="18"/>
              </w:rPr>
              <w:t xml:space="preserve"> 5、强力推进</w:t>
            </w:r>
            <w:r>
              <w:rPr>
                <w:rFonts w:hint="eastAsia" w:ascii="Arial" w:hAnsi="Calibri" w:eastAsia="宋体" w:cs="Times New Roman"/>
                <w:color w:val="000000"/>
                <w:spacing w:val="0"/>
                <w:sz w:val="18"/>
                <w:szCs w:val="18"/>
                <w:lang w:eastAsia="zh-CN"/>
              </w:rPr>
              <w:t>“三年拆除计划”</w:t>
            </w:r>
            <w:r>
              <w:rPr>
                <w:rFonts w:hint="eastAsia" w:ascii="Arial" w:hAnsi="Calibri" w:eastAsia="宋体" w:cs="Times New Roman"/>
                <w:color w:val="000000"/>
                <w:spacing w:val="0"/>
                <w:sz w:val="18"/>
                <w:szCs w:val="18"/>
              </w:rPr>
              <w:t>，累计拆除存量违法建设</w:t>
            </w:r>
            <w:r>
              <w:rPr>
                <w:rFonts w:hint="eastAsia" w:ascii="Arial" w:hAnsi="Calibri" w:eastAsia="宋体" w:cs="Times New Roman"/>
                <w:color w:val="000000"/>
                <w:spacing w:val="0"/>
                <w:sz w:val="18"/>
                <w:szCs w:val="18"/>
                <w:lang w:val="en-US" w:eastAsia="zh-CN"/>
              </w:rPr>
              <w:t>72</w:t>
            </w:r>
            <w:r>
              <w:rPr>
                <w:rFonts w:hint="eastAsia" w:ascii="Arial" w:hAnsi="Calibri" w:eastAsia="宋体" w:cs="Times New Roman"/>
                <w:color w:val="000000"/>
                <w:spacing w:val="0"/>
                <w:sz w:val="18"/>
                <w:szCs w:val="18"/>
              </w:rPr>
              <w:t>处、</w:t>
            </w:r>
            <w:r>
              <w:rPr>
                <w:rFonts w:hint="eastAsia" w:ascii="Arial" w:hAnsi="Calibri" w:eastAsia="宋体" w:cs="Times New Roman"/>
                <w:color w:val="000000"/>
                <w:spacing w:val="0"/>
                <w:sz w:val="18"/>
                <w:szCs w:val="18"/>
                <w:lang w:eastAsia="zh-CN"/>
              </w:rPr>
              <w:t>面积</w:t>
            </w:r>
            <w:r>
              <w:rPr>
                <w:rFonts w:hint="eastAsia" w:ascii="Arial" w:hAnsi="Calibri" w:eastAsia="宋体" w:cs="Times New Roman"/>
                <w:color w:val="000000"/>
                <w:spacing w:val="0"/>
                <w:sz w:val="18"/>
                <w:szCs w:val="18"/>
                <w:lang w:val="en-US" w:eastAsia="zh-CN"/>
              </w:rPr>
              <w:t>6518</w:t>
            </w:r>
            <w:r>
              <w:rPr>
                <w:rFonts w:hint="eastAsia" w:ascii="Arial" w:hAnsi="Calibri" w:eastAsia="宋体" w:cs="Times New Roman"/>
                <w:color w:val="000000"/>
                <w:spacing w:val="0"/>
                <w:sz w:val="18"/>
                <w:szCs w:val="18"/>
              </w:rPr>
              <w:t>平方米</w:t>
            </w:r>
            <w:r>
              <w:rPr>
                <w:rFonts w:hint="eastAsia" w:ascii="Arial" w:hAnsi="Calibri" w:eastAsia="宋体" w:cs="Times New Roman"/>
                <w:color w:val="000000"/>
                <w:spacing w:val="0"/>
                <w:sz w:val="18"/>
                <w:szCs w:val="18"/>
                <w:lang w:eastAsia="zh-CN"/>
              </w:rPr>
              <w:t>，强力开展房屋楼顶“扫雷”行动，共拆除违法建设</w:t>
            </w:r>
            <w:r>
              <w:rPr>
                <w:rFonts w:hint="eastAsia" w:ascii="Arial" w:hAnsi="Calibri" w:eastAsia="宋体" w:cs="Times New Roman"/>
                <w:color w:val="000000"/>
                <w:spacing w:val="0"/>
                <w:sz w:val="18"/>
                <w:szCs w:val="18"/>
                <w:lang w:val="en-US" w:eastAsia="zh-CN"/>
              </w:rPr>
              <w:t>108处，面积10106平方米</w:t>
            </w:r>
            <w:r>
              <w:rPr>
                <w:rFonts w:hint="eastAsia" w:ascii="Arial" w:hAnsi="Calibri" w:eastAsia="宋体" w:cs="Times New Roman"/>
                <w:color w:val="000000"/>
                <w:spacing w:val="0"/>
                <w:sz w:val="18"/>
                <w:szCs w:val="18"/>
              </w:rPr>
              <w:t xml:space="preserve">。      </w:t>
            </w:r>
            <w:r>
              <w:rPr>
                <w:rFonts w:hint="eastAsia" w:ascii="Arial" w:hAnsi="Calibri" w:eastAsia="宋体" w:cs="Times New Roman"/>
                <w:color w:val="000000"/>
                <w:spacing w:val="0"/>
                <w:sz w:val="18"/>
                <w:szCs w:val="18"/>
                <w:lang w:val="en-US" w:eastAsia="zh-CN"/>
              </w:rPr>
              <w:t xml:space="preserve">  </w:t>
            </w:r>
            <w:r>
              <w:rPr>
                <w:rFonts w:hint="eastAsia" w:ascii="Arial" w:hAnsi="Calibri" w:eastAsia="宋体" w:cs="Times New Roman"/>
                <w:color w:val="000000"/>
                <w:spacing w:val="0"/>
                <w:sz w:val="18"/>
                <w:szCs w:val="18"/>
              </w:rPr>
              <w:t xml:space="preserve"> </w:t>
            </w:r>
            <w:r>
              <w:rPr>
                <w:rFonts w:hint="eastAsia" w:ascii="Arial" w:hAnsi="Calibri" w:eastAsia="宋体" w:cs="Times New Roman"/>
                <w:color w:val="000000"/>
                <w:spacing w:val="0"/>
                <w:sz w:val="18"/>
                <w:szCs w:val="18"/>
                <w:lang w:val="en-US" w:eastAsia="zh-CN"/>
              </w:rPr>
              <w:t xml:space="preserve">          </w:t>
            </w:r>
            <w:r>
              <w:rPr>
                <w:rFonts w:hint="eastAsia" w:ascii="Arial" w:hAnsi="Calibri" w:eastAsia="宋体" w:cs="Times New Roman"/>
                <w:color w:val="000000"/>
                <w:spacing w:val="0"/>
                <w:sz w:val="18"/>
                <w:szCs w:val="18"/>
              </w:rPr>
              <w:t>6、</w:t>
            </w:r>
            <w:r>
              <w:rPr>
                <w:rFonts w:hint="eastAsia" w:ascii="Arial" w:hAnsi="Calibri" w:eastAsia="宋体" w:cs="Times New Roman"/>
                <w:color w:val="000000"/>
                <w:spacing w:val="0"/>
                <w:sz w:val="18"/>
                <w:szCs w:val="18"/>
                <w:lang w:eastAsia="zh-CN"/>
              </w:rPr>
              <w:t>广泛开展平安金鹗宣传，定期开展扫楼行动。严格落实维稳工作责任制，打造和谐稳定社会环境</w:t>
            </w:r>
            <w:r>
              <w:rPr>
                <w:rFonts w:hint="eastAsia" w:ascii="Arial" w:hAnsi="Calibri" w:eastAsia="宋体" w:cs="Times New Roman"/>
                <w:color w:val="000000"/>
                <w:spacing w:val="0"/>
                <w:sz w:val="18"/>
                <w:szCs w:val="18"/>
              </w:rPr>
              <w:t>。</w:t>
            </w:r>
            <w:r>
              <w:rPr>
                <w:rFonts w:hint="eastAsia" w:ascii="Arial" w:hAnsi="Calibri" w:eastAsia="宋体" w:cs="Times New Roman"/>
                <w:color w:val="000000"/>
                <w:spacing w:val="0"/>
                <w:sz w:val="18"/>
                <w:szCs w:val="18"/>
                <w:lang w:val="en-US" w:eastAsia="zh-CN"/>
              </w:rPr>
              <w:t xml:space="preserve">                                   7、持续开展城市“六治”工作，紧盯卫生死角和盲区，组织环卫大扫除440余次，清理陈年垃圾2830余吨，清除城市牛皮癣4500余处。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7"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hAnsi="Calibri" w:eastAsia="宋体" w:cs="Times New Roman"/>
                <w:color w:val="000000"/>
                <w:sz w:val="21"/>
                <w:szCs w:val="21"/>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sz w:val="21"/>
                <w:szCs w:val="21"/>
              </w:rPr>
            </w:pPr>
            <w:r>
              <w:rPr>
                <w:rFonts w:ascii="宋体" w:hAnsi="宋体" w:eastAsia="宋体" w:cs="宋体"/>
                <w:color w:val="000000"/>
                <w:sz w:val="21"/>
                <w:szCs w:val="21"/>
              </w:rPr>
              <w:t>绩效指标</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年度指标值</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实际完成值</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hAnsi="Calibri" w:eastAsia="宋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hAnsi="Calibri" w:eastAsia="宋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hAnsi="Calibri" w:eastAsia="宋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hAnsi="Calibri" w:eastAsia="宋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sz w:val="18"/>
                <w:szCs w:val="18"/>
              </w:rPr>
            </w:pPr>
            <w:r>
              <w:rPr>
                <w:rFonts w:ascii="宋体" w:hAnsi="宋体" w:eastAsia="宋体" w:cs="宋体"/>
                <w:color w:val="000000"/>
                <w:spacing w:val="-2"/>
                <w:position w:val="20"/>
                <w:sz w:val="18"/>
                <w:szCs w:val="18"/>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p>
        </w:tc>
        <w:tc>
          <w:tcPr>
            <w:tcW w:w="1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数量指标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税收入库完成年初下达任务</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宋体" w:hAnsi="宋体" w:eastAsia="宋体" w:cs="宋体"/>
                <w:color w:val="000000"/>
                <w:sz w:val="15"/>
                <w:szCs w:val="15"/>
                <w:lang w:val="en-US" w:eastAsia="zh-CN"/>
              </w:rPr>
            </w:pPr>
            <w:r>
              <w:rPr>
                <w:rFonts w:hint="default" w:ascii="宋体" w:hAnsi="宋体" w:eastAsia="宋体" w:cs="宋体"/>
                <w:color w:val="000000"/>
                <w:sz w:val="15"/>
                <w:szCs w:val="15"/>
                <w:lang w:val="en-US" w:eastAsia="zh-CN"/>
              </w:rPr>
              <w:t>税收入库不低于</w:t>
            </w:r>
            <w:r>
              <w:rPr>
                <w:rFonts w:hint="eastAsia" w:ascii="宋体" w:hAnsi="宋体" w:eastAsia="宋体" w:cs="宋体"/>
                <w:color w:val="000000"/>
                <w:sz w:val="15"/>
                <w:szCs w:val="15"/>
                <w:lang w:val="en-US" w:eastAsia="zh-CN"/>
              </w:rPr>
              <w:t>10000</w:t>
            </w:r>
            <w:r>
              <w:rPr>
                <w:rFonts w:hint="default" w:ascii="宋体" w:hAnsi="宋体" w:eastAsia="宋体" w:cs="宋体"/>
                <w:color w:val="000000"/>
                <w:sz w:val="15"/>
                <w:szCs w:val="15"/>
                <w:lang w:val="en-US" w:eastAsia="zh-CN"/>
              </w:rPr>
              <w:t>万元</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全年共计完成税收入库数</w:t>
            </w:r>
            <w:r>
              <w:rPr>
                <w:rFonts w:hint="eastAsia" w:ascii="Arial" w:hAnsi="Calibri" w:eastAsia="宋体" w:cs="Times New Roman"/>
                <w:color w:val="000000"/>
                <w:sz w:val="15"/>
                <w:szCs w:val="15"/>
                <w:lang w:val="en-US" w:eastAsia="zh-CN"/>
              </w:rPr>
              <w:t>10000</w:t>
            </w:r>
            <w:r>
              <w:rPr>
                <w:rFonts w:hint="eastAsia" w:ascii="Arial" w:hAnsi="Calibri" w:eastAsia="宋体" w:cs="Times New Roman"/>
                <w:color w:val="000000"/>
                <w:sz w:val="15"/>
                <w:szCs w:val="15"/>
              </w:rPr>
              <w:t>万元</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禁违拆违工作 </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全年累计拆除存量违法建设不少于</w:t>
            </w:r>
            <w:r>
              <w:rPr>
                <w:rFonts w:hint="eastAsia" w:ascii="Arial" w:hAnsi="Calibri" w:eastAsia="宋体" w:cs="Times New Roman"/>
                <w:color w:val="000000"/>
                <w:sz w:val="15"/>
                <w:szCs w:val="15"/>
                <w:lang w:val="en-US" w:eastAsia="zh-CN"/>
              </w:rPr>
              <w:t>60</w:t>
            </w:r>
            <w:r>
              <w:rPr>
                <w:rFonts w:hint="eastAsia" w:ascii="Arial" w:hAnsi="Calibri" w:eastAsia="宋体" w:cs="Times New Roman"/>
                <w:color w:val="000000"/>
                <w:sz w:val="15"/>
                <w:szCs w:val="15"/>
                <w:lang w:eastAsia="zh-CN"/>
              </w:rPr>
              <w:t>处、面积不少于</w:t>
            </w:r>
            <w:r>
              <w:rPr>
                <w:rFonts w:hint="eastAsia" w:ascii="Arial" w:hAnsi="Calibri" w:eastAsia="宋体" w:cs="Times New Roman"/>
                <w:color w:val="000000"/>
                <w:sz w:val="15"/>
                <w:szCs w:val="15"/>
                <w:lang w:val="en-US" w:eastAsia="zh-CN"/>
              </w:rPr>
              <w:t>5000</w:t>
            </w:r>
            <w:r>
              <w:rPr>
                <w:rFonts w:hint="eastAsia" w:ascii="Arial" w:hAnsi="Calibri" w:eastAsia="宋体" w:cs="Times New Roman"/>
                <w:color w:val="000000"/>
                <w:sz w:val="15"/>
                <w:szCs w:val="15"/>
                <w:lang w:eastAsia="zh-CN"/>
              </w:rPr>
              <w:t>平方米</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 xml:space="preserve">全年累计拆除存量违法建设72处、面积6518平方米，强力开展房屋楼顶“扫雷”行动，共拆除违法建设108处，面积10106平方米。                       </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环境整治工作 </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eastAsia="zh-CN"/>
              </w:rPr>
              <w:t>全年累计清理陈年垃圾不低于2000余吨，清除城市牛皮癣不少于</w:t>
            </w:r>
            <w:r>
              <w:rPr>
                <w:rFonts w:hint="eastAsia" w:ascii="Arial" w:hAnsi="Calibri" w:eastAsia="宋体" w:cs="Times New Roman"/>
                <w:color w:val="000000"/>
                <w:sz w:val="15"/>
                <w:szCs w:val="15"/>
                <w:lang w:val="en-US" w:eastAsia="zh-CN"/>
              </w:rPr>
              <w:t>4000余处</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全年累计清理陈年垃圾2830余吨，清理牛皮癣4500余处。</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安全生产工作 </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每年至少深入摸排公共安全隐患不少于</w:t>
            </w:r>
            <w:r>
              <w:rPr>
                <w:rFonts w:hint="eastAsia" w:ascii="Arial" w:hAnsi="Calibri" w:eastAsia="宋体" w:cs="Times New Roman"/>
                <w:color w:val="000000"/>
                <w:sz w:val="15"/>
                <w:szCs w:val="15"/>
                <w:lang w:val="en-US" w:eastAsia="zh-CN"/>
              </w:rPr>
              <w:t>100</w:t>
            </w:r>
            <w:r>
              <w:rPr>
                <w:rFonts w:hint="eastAsia" w:ascii="Arial" w:hAnsi="Calibri" w:eastAsia="宋体" w:cs="Times New Roman"/>
                <w:color w:val="000000"/>
                <w:sz w:val="15"/>
                <w:szCs w:val="15"/>
                <w:lang w:eastAsia="zh-CN"/>
              </w:rPr>
              <w:t>次，全年零重大事故发生</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全年共深入摸排安全隐患检查300余次，录入执法系统检查180余条，全年零重大事故发生。</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综治信访维稳工作 </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不定期开展辖区综治治安巡逻，每周不少于两次</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每周一、二、四开展综治治安巡逻</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文明创建工作 </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全年开展文化活动一季度一次，学习实践科学理论至少一季度一次，移风易俗活动至少一季度一次，宣传宣讲党的政策至少一季度一次，核心价值观至少一季度一次，志愿者服务活动一个月一次，共计活动不低于32次</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全年共开展文化活动、移风易俗活动、志愿者服务活动、宣传宣讲党的政策、核心价值观、学习实践科学理论90余次</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 xml:space="preserve">“清廉楼区”建设工作 </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每月至少开展一次工作督查及作风督查</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rPr>
              <w:t>全年开展各项工作督查</w:t>
            </w:r>
            <w:r>
              <w:rPr>
                <w:rFonts w:hint="eastAsia" w:ascii="Arial" w:hAnsi="Calibri" w:eastAsia="宋体" w:cs="Times New Roman"/>
                <w:color w:val="000000"/>
                <w:sz w:val="15"/>
                <w:szCs w:val="15"/>
                <w:lang w:val="en-US" w:eastAsia="zh-CN"/>
              </w:rPr>
              <w:t>14</w:t>
            </w:r>
            <w:r>
              <w:rPr>
                <w:rFonts w:hint="eastAsia" w:ascii="Arial" w:hAnsi="Calibri" w:eastAsia="宋体" w:cs="Times New Roman"/>
                <w:color w:val="000000"/>
                <w:sz w:val="15"/>
                <w:szCs w:val="15"/>
              </w:rPr>
              <w:t>次，</w:t>
            </w:r>
            <w:r>
              <w:rPr>
                <w:rFonts w:hint="eastAsia" w:ascii="Arial" w:hAnsi="Calibri" w:eastAsia="宋体" w:cs="Times New Roman"/>
                <w:color w:val="000000"/>
                <w:sz w:val="15"/>
                <w:szCs w:val="15"/>
                <w:lang w:eastAsia="zh-CN"/>
              </w:rPr>
              <w:t>开展警示教育</w:t>
            </w:r>
            <w:r>
              <w:rPr>
                <w:rFonts w:hint="eastAsia" w:ascii="Arial" w:hAnsi="Calibri" w:eastAsia="宋体" w:cs="Times New Roman"/>
                <w:color w:val="000000"/>
                <w:sz w:val="15"/>
                <w:szCs w:val="15"/>
                <w:lang w:val="en-US" w:eastAsia="zh-CN"/>
              </w:rPr>
              <w:t>3次，谈心谈话80人次。</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 xml:space="preserve">民政救助工作  </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highlight w:val="none"/>
                <w:lang w:eastAsia="zh-CN"/>
              </w:rPr>
            </w:pPr>
            <w:r>
              <w:rPr>
                <w:rFonts w:hint="eastAsia" w:ascii="Arial" w:hAnsi="Calibri" w:eastAsia="宋体" w:cs="Times New Roman"/>
                <w:color w:val="000000"/>
                <w:sz w:val="15"/>
                <w:szCs w:val="15"/>
                <w:highlight w:val="none"/>
                <w:lang w:eastAsia="zh-CN"/>
              </w:rPr>
              <w:t>新增低保不低于60人，提标不低于10人；发放临时救助不低于25人，金额不少于30000元</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仿宋_GB2312" w:hAnsi="仿宋_GB2312" w:eastAsia="仿宋_GB2312" w:cs="仿宋_GB2312"/>
                <w:sz w:val="15"/>
                <w:szCs w:val="15"/>
                <w:lang w:val="en-US" w:eastAsia="zh-CN"/>
              </w:rPr>
            </w:pPr>
            <w:r>
              <w:rPr>
                <w:rFonts w:hint="default" w:ascii="仿宋_GB2312" w:hAnsi="仿宋_GB2312" w:eastAsia="仿宋_GB2312" w:cs="仿宋_GB2312"/>
                <w:sz w:val="15"/>
                <w:szCs w:val="15"/>
                <w:lang w:val="en-US" w:eastAsia="zh-CN"/>
              </w:rPr>
              <w:t>新增低保87人，提标16人，发放金额合计41263元；发放临时救助35人，金额共计43500元。</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第五次经济普查工作</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完成法人单位新增不少于1800家，完成个体户培育不少于6500家</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截止10月底完成法人单位新增2095家，完成个体户培育8363家。</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自建房摸排工作</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全年共计自建房摸排不少于1500栋</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全年共计摸排自建房1729栋，其中改扩建810栋。</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城乡居民医保征缴工作</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累计参保人员不低于10000名</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仿宋_GB2312" w:cs="Times New Roman"/>
                <w:color w:val="000000"/>
                <w:sz w:val="15"/>
                <w:szCs w:val="15"/>
                <w:lang w:eastAsia="zh-CN"/>
              </w:rPr>
            </w:pPr>
            <w:r>
              <w:rPr>
                <w:rFonts w:hint="eastAsia"/>
                <w:sz w:val="15"/>
                <w:szCs w:val="15"/>
              </w:rPr>
              <w:t>全年累计参保人员13275名</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老旧小区改造</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全年老旧小区改造不低于230栋，覆盖小区数量不低于35个</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全力推进41个小区，共4535户，259栋旧房改造。</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质量指标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公共财政支出进度</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≧100%</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≧100%</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财政收入增速</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高于财政收入增速</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低保金发放率</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低保金发放率达到100%</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100%</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完成城镇居民医保征缴率</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≧100%</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100%</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hAnsi="Calibri" w:eastAsia="宋体" w:cs="Times New Roman"/>
                <w:color w:val="000000"/>
                <w:sz w:val="19"/>
                <w:lang w:val="en-US" w:eastAsia="zh-CN"/>
              </w:rPr>
            </w:pPr>
            <w:r>
              <w:rPr>
                <w:rFonts w:hint="eastAsia" w:ascii="Arial" w:hAnsi="Calibri" w:eastAsia="宋体" w:cs="Times New Roman"/>
                <w:color w:val="000000"/>
                <w:sz w:val="19"/>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hAnsi="Calibri" w:eastAsia="宋体" w:cs="Times New Roman"/>
                <w:color w:val="000000"/>
                <w:sz w:val="19"/>
                <w:lang w:val="en-US" w:eastAsia="zh-CN"/>
              </w:rPr>
            </w:pPr>
            <w:r>
              <w:rPr>
                <w:rFonts w:hint="eastAsia" w:ascii="Arial" w:hAnsi="Calibri" w:eastAsia="宋体" w:cs="Times New Roman"/>
                <w:color w:val="000000"/>
                <w:sz w:val="19"/>
                <w:lang w:val="en-US" w:eastAsia="zh-CN"/>
              </w:rPr>
              <w:t>2</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hAnsi="Calibri" w:eastAsia="宋体" w:cs="Times New Roman"/>
                <w:color w:val="000000"/>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时效指标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预决算公开</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按相应公开工作时限</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100%</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2"/>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Calibri" w:eastAsia="宋体" w:cs="Times New Roman"/>
                <w:color w:val="000000"/>
                <w:kern w:val="2"/>
                <w:sz w:val="15"/>
                <w:szCs w:val="15"/>
                <w:lang w:val="en-US" w:eastAsia="zh-CN" w:bidi="ar-SA"/>
              </w:rPr>
            </w:pPr>
            <w:r>
              <w:rPr>
                <w:rFonts w:hint="eastAsia" w:ascii="Arial" w:hAnsi="Calibri" w:eastAsia="宋体" w:cs="Times New Roman"/>
                <w:color w:val="000000"/>
                <w:kern w:val="2"/>
                <w:sz w:val="15"/>
                <w:szCs w:val="15"/>
                <w:lang w:val="en-US" w:eastAsia="zh-CN" w:bidi="ar-SA"/>
              </w:rPr>
              <w:t>12345接诉即办件处理时间</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Calibri" w:eastAsia="宋体" w:cs="Times New Roman"/>
                <w:color w:val="000000"/>
                <w:kern w:val="2"/>
                <w:sz w:val="15"/>
                <w:szCs w:val="15"/>
                <w:lang w:val="en-US" w:eastAsia="zh-CN" w:bidi="ar-SA"/>
              </w:rPr>
            </w:pPr>
            <w:r>
              <w:rPr>
                <w:rFonts w:hint="eastAsia" w:ascii="Arial" w:hAnsi="Calibri" w:eastAsia="宋体" w:cs="Times New Roman"/>
                <w:color w:val="000000"/>
                <w:kern w:val="2"/>
                <w:sz w:val="15"/>
                <w:szCs w:val="15"/>
                <w:lang w:val="en-US" w:eastAsia="zh-CN" w:bidi="ar-SA"/>
              </w:rPr>
              <w:t>接到之日起2日内</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15"/>
                <w:szCs w:val="15"/>
              </w:rPr>
            </w:pPr>
            <w:r>
              <w:rPr>
                <w:rFonts w:hint="eastAsia" w:ascii="Arial" w:hAnsi="Calibri" w:eastAsia="宋体" w:cs="Times New Roman"/>
                <w:color w:val="000000"/>
                <w:sz w:val="15"/>
                <w:szCs w:val="15"/>
              </w:rPr>
              <w:t>100%</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工资发放及时率</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每月15日前足额发放</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定时</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hAnsi="Calibri" w:eastAsia="宋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hAnsi="Calibri" w:eastAsia="宋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hAnsi="Calibri" w:eastAsia="宋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hAnsi="Calibri" w:eastAsia="宋体" w:cs="Times New Roman"/>
                <w:color w:val="000000"/>
                <w:sz w:val="18"/>
                <w:szCs w:val="18"/>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sz w:val="18"/>
                <w:szCs w:val="18"/>
              </w:rPr>
            </w:pPr>
            <w:r>
              <w:rPr>
                <w:rFonts w:ascii="宋体" w:hAnsi="宋体" w:eastAsia="宋体" w:cs="宋体"/>
                <w:color w:val="000000"/>
                <w:spacing w:val="2"/>
                <w:position w:val="21"/>
                <w:sz w:val="18"/>
                <w:szCs w:val="18"/>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益指标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全街道经济发展</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持续</w:t>
            </w:r>
            <w:r>
              <w:rPr>
                <w:rFonts w:hint="eastAsia" w:ascii="Arial" w:hAnsi="Calibri" w:eastAsia="宋体" w:cs="Times New Roman"/>
                <w:color w:val="000000"/>
                <w:sz w:val="15"/>
                <w:szCs w:val="15"/>
                <w:lang w:val="en-US" w:eastAsia="zh-CN"/>
              </w:rPr>
              <w:t>上升</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持续</w:t>
            </w:r>
            <w:r>
              <w:rPr>
                <w:rFonts w:hint="eastAsia" w:ascii="Arial" w:hAnsi="Calibri" w:eastAsia="宋体" w:cs="Times New Roman"/>
                <w:color w:val="000000"/>
                <w:sz w:val="15"/>
                <w:szCs w:val="15"/>
                <w:lang w:val="en-US" w:eastAsia="zh-CN"/>
              </w:rPr>
              <w:t>上升</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益指标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促进社会就业</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highlight w:val="none"/>
                <w:lang w:eastAsia="zh-CN"/>
              </w:rPr>
            </w:pPr>
            <w:r>
              <w:rPr>
                <w:rFonts w:hint="eastAsia" w:ascii="Arial" w:hAnsi="Calibri" w:eastAsia="宋体" w:cs="Times New Roman"/>
                <w:color w:val="000000"/>
                <w:sz w:val="15"/>
                <w:szCs w:val="15"/>
                <w:highlight w:val="none"/>
                <w:lang w:eastAsia="zh-CN"/>
              </w:rPr>
              <w:t>就业人数增加</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highlight w:val="none"/>
                <w:lang w:val="en-US" w:eastAsia="zh-CN"/>
              </w:rPr>
            </w:pPr>
            <w:r>
              <w:rPr>
                <w:rFonts w:hint="default" w:ascii="Arial" w:hAnsi="Calibri" w:eastAsia="宋体" w:cs="Times New Roman"/>
                <w:color w:val="000000"/>
                <w:sz w:val="15"/>
                <w:szCs w:val="15"/>
                <w:highlight w:val="none"/>
                <w:lang w:val="en-US" w:eastAsia="zh-CN"/>
              </w:rPr>
              <w:t>街道新增就业实名制登记人数8</w:t>
            </w:r>
            <w:r>
              <w:rPr>
                <w:rFonts w:hint="eastAsia" w:ascii="Arial" w:hAnsi="Calibri" w:eastAsia="宋体" w:cs="Times New Roman"/>
                <w:color w:val="000000"/>
                <w:sz w:val="15"/>
                <w:szCs w:val="15"/>
                <w:highlight w:val="none"/>
                <w:lang w:val="en-US" w:eastAsia="zh-CN"/>
              </w:rPr>
              <w:t>80</w:t>
            </w:r>
            <w:r>
              <w:rPr>
                <w:rFonts w:hint="default" w:ascii="Arial" w:hAnsi="Calibri" w:eastAsia="宋体" w:cs="Times New Roman"/>
                <w:color w:val="000000"/>
                <w:sz w:val="15"/>
                <w:szCs w:val="15"/>
                <w:highlight w:val="none"/>
                <w:lang w:val="en-US" w:eastAsia="zh-CN"/>
              </w:rPr>
              <w:t>人</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居民生活水平提高</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低保</w:t>
            </w:r>
            <w:r>
              <w:rPr>
                <w:rFonts w:hint="eastAsia" w:ascii="Arial" w:hAnsi="Calibri" w:eastAsia="宋体" w:cs="Times New Roman"/>
                <w:color w:val="000000"/>
                <w:sz w:val="15"/>
                <w:szCs w:val="15"/>
                <w:lang w:val="en-US" w:eastAsia="zh-CN"/>
              </w:rPr>
              <w:t>总</w:t>
            </w:r>
            <w:r>
              <w:rPr>
                <w:rFonts w:hint="default" w:ascii="Arial" w:hAnsi="Calibri" w:eastAsia="宋体" w:cs="Times New Roman"/>
                <w:color w:val="000000"/>
                <w:sz w:val="15"/>
                <w:szCs w:val="15"/>
                <w:lang w:val="en-US" w:eastAsia="zh-CN"/>
              </w:rPr>
              <w:t>人数减少</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减少</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促进社会安稳</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highlight w:val="none"/>
                <w:lang w:val="en-US" w:eastAsia="zh-CN"/>
              </w:rPr>
            </w:pPr>
            <w:r>
              <w:rPr>
                <w:rFonts w:hint="default" w:ascii="Arial" w:hAnsi="Calibri" w:eastAsia="宋体" w:cs="Times New Roman"/>
                <w:color w:val="000000"/>
                <w:sz w:val="15"/>
                <w:szCs w:val="15"/>
                <w:highlight w:val="none"/>
                <w:lang w:val="en-US" w:eastAsia="zh-CN"/>
              </w:rPr>
              <w:t>信访矛盾减少</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15"/>
                <w:szCs w:val="15"/>
                <w:highlight w:val="none"/>
                <w:lang w:val="en-US" w:eastAsia="zh-CN"/>
              </w:rPr>
            </w:pPr>
            <w:r>
              <w:rPr>
                <w:rFonts w:hint="default" w:ascii="Arial" w:hAnsi="Calibri" w:eastAsia="宋体" w:cs="Times New Roman"/>
                <w:color w:val="000000"/>
                <w:sz w:val="15"/>
                <w:szCs w:val="15"/>
                <w:highlight w:val="none"/>
                <w:lang w:val="en-US" w:eastAsia="zh-CN"/>
              </w:rPr>
              <w:t>积极化解多起陈年信访积案，稳控多名重点信访对象，非法上访率为0</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益指标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节能降耗</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人均用水用电同比下降</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同比水费上升38.8%，电费上升23.52%</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0</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hAnsi="Calibri" w:eastAsia="宋体" w:cs="Times New Roman"/>
                <w:color w:val="000000"/>
                <w:sz w:val="20"/>
              </w:rPr>
            </w:pPr>
            <w:r>
              <w:rPr>
                <w:rFonts w:hint="eastAsia" w:ascii="Arial" w:hAnsi="Calibri" w:eastAsia="宋体" w:cs="Times New Roman"/>
                <w:color w:val="000000"/>
                <w:sz w:val="20"/>
              </w:rPr>
              <w:t>人均用电</w:t>
            </w:r>
            <w:r>
              <w:rPr>
                <w:rFonts w:hint="eastAsia" w:ascii="Arial" w:hAnsi="Calibri" w:eastAsia="宋体" w:cs="Times New Roman"/>
                <w:color w:val="000000"/>
                <w:sz w:val="20"/>
                <w:lang w:eastAsia="zh-CN"/>
              </w:rPr>
              <w:t>用水</w:t>
            </w:r>
            <w:r>
              <w:rPr>
                <w:rFonts w:hint="eastAsia" w:ascii="Arial" w:hAnsi="Calibri" w:eastAsia="宋体" w:cs="Times New Roman"/>
                <w:color w:val="000000"/>
                <w:sz w:val="20"/>
              </w:rPr>
              <w:t>同比上升，厉行节约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环境质量提升</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持续上升</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持续上升</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居民素质提升</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持续上升</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eastAsia="zh-CN"/>
              </w:rPr>
              <w:t>持续上升</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改善生态环境</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持续改善</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持续改善</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hAnsi="Calibri" w:eastAsia="宋体" w:cs="Times New Roman"/>
                <w:color w:val="000000"/>
                <w:sz w:val="20"/>
                <w:lang w:val="en-US" w:eastAsia="zh-CN"/>
              </w:rPr>
            </w:pPr>
            <w:r>
              <w:rPr>
                <w:rFonts w:hint="eastAsia" w:ascii="Arial" w:hAnsi="Calibri" w:eastAsia="宋体" w:cs="Times New Roman"/>
                <w:color w:val="000000"/>
                <w:sz w:val="20"/>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hAnsi="Calibri" w:eastAsia="宋体" w:cs="Times New Roman"/>
                <w:color w:val="00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响指标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kern w:val="2"/>
                <w:sz w:val="15"/>
                <w:szCs w:val="15"/>
                <w:lang w:val="en-US" w:eastAsia="zh-CN" w:bidi="ar-SA"/>
              </w:rPr>
            </w:pPr>
            <w:r>
              <w:rPr>
                <w:rFonts w:hint="eastAsia" w:ascii="Arial" w:hAnsi="Calibri" w:eastAsia="宋体" w:cs="Times New Roman"/>
                <w:color w:val="000000"/>
                <w:kern w:val="2"/>
                <w:sz w:val="15"/>
                <w:szCs w:val="15"/>
                <w:lang w:val="en-US" w:eastAsia="zh-CN" w:bidi="ar-SA"/>
              </w:rPr>
              <w:t>社会保障能力不断加强</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Calibri" w:eastAsia="宋体" w:cs="Times New Roman"/>
                <w:color w:val="000000"/>
                <w:kern w:val="2"/>
                <w:sz w:val="15"/>
                <w:szCs w:val="15"/>
                <w:lang w:val="en-US" w:eastAsia="zh-CN" w:bidi="ar-SA"/>
              </w:rPr>
            </w:pPr>
            <w:r>
              <w:rPr>
                <w:rFonts w:hint="eastAsia" w:ascii="Arial" w:hAnsi="Calibri" w:eastAsia="宋体" w:cs="Times New Roman"/>
                <w:color w:val="000000"/>
                <w:kern w:val="2"/>
                <w:sz w:val="15"/>
                <w:szCs w:val="15"/>
                <w:lang w:val="en-US" w:eastAsia="zh-CN" w:bidi="ar-SA"/>
              </w:rPr>
              <w:t>坚持应保尽保原则，努力扩大社保覆盖面</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辖区居民社保覆盖达到100%</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18"/>
                <w:szCs w:val="18"/>
              </w:rPr>
            </w:pPr>
          </w:p>
        </w:tc>
        <w:tc>
          <w:tcPr>
            <w:tcW w:w="1020"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推动“湘易办”注册</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做好</w:t>
            </w:r>
            <w:r>
              <w:rPr>
                <w:rFonts w:hint="eastAsia" w:ascii="Arial" w:hAnsi="Calibri" w:eastAsia="宋体" w:cs="Times New Roman"/>
                <w:color w:val="000000"/>
                <w:sz w:val="15"/>
                <w:szCs w:val="15"/>
                <w:lang w:val="en-US" w:eastAsia="zh-CN"/>
              </w:rPr>
              <w:t>“湘易办”推广工作，为居民办事提供便捷通道</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推广下载量达全区前列</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4"/>
                <w:sz w:val="18"/>
                <w:szCs w:val="18"/>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9"/>
                <w:sz w:val="18"/>
                <w:szCs w:val="18"/>
              </w:rPr>
            </w:pPr>
          </w:p>
        </w:tc>
        <w:tc>
          <w:tcPr>
            <w:tcW w:w="102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2"/>
                <w:sz w:val="18"/>
                <w:szCs w:val="18"/>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sz w:val="18"/>
                <w:szCs w:val="18"/>
              </w:rPr>
            </w:pPr>
            <w:r>
              <w:rPr>
                <w:rFonts w:ascii="宋体" w:hAnsi="宋体" w:eastAsia="宋体" w:cs="宋体"/>
                <w:color w:val="000000"/>
                <w:spacing w:val="3"/>
                <w:sz w:val="18"/>
                <w:szCs w:val="18"/>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z w:val="18"/>
                <w:szCs w:val="18"/>
              </w:rPr>
            </w:pPr>
            <w:r>
              <w:rPr>
                <w:rFonts w:ascii="宋体" w:hAnsi="宋体" w:eastAsia="宋体" w:cs="宋体"/>
                <w:color w:val="000000"/>
                <w:sz w:val="18"/>
                <w:szCs w:val="18"/>
              </w:rPr>
              <w:t>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群众满意度</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default" w:ascii="Arial" w:hAnsi="Calibri" w:eastAsia="宋体" w:cs="Times New Roman"/>
                <w:color w:val="000000"/>
                <w:sz w:val="15"/>
                <w:szCs w:val="15"/>
                <w:lang w:val="en-US" w:eastAsia="zh-CN"/>
              </w:rPr>
              <w:t>≧98%</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97</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10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9</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pacing w:val="9"/>
                <w:sz w:val="18"/>
                <w:szCs w:val="18"/>
                <w:lang w:eastAsia="zh-CN"/>
              </w:rPr>
            </w:pPr>
            <w:r>
              <w:rPr>
                <w:rFonts w:hint="eastAsia" w:ascii="宋体" w:hAnsi="宋体" w:eastAsia="宋体" w:cs="宋体"/>
                <w:color w:val="000000"/>
                <w:spacing w:val="9"/>
                <w:sz w:val="18"/>
                <w:szCs w:val="18"/>
                <w:lang w:eastAsia="zh-CN"/>
              </w:rPr>
              <w:t>成本指标</w:t>
            </w:r>
          </w:p>
        </w:tc>
        <w:tc>
          <w:tcPr>
            <w:tcW w:w="102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经济成本</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财政收入总量</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highlight w:val="none"/>
              </w:rPr>
              <w:t>≧2</w:t>
            </w:r>
            <w:r>
              <w:rPr>
                <w:rFonts w:hint="eastAsia" w:ascii="Arial" w:hAnsi="Calibri" w:eastAsia="宋体" w:cs="Times New Roman"/>
                <w:color w:val="000000"/>
                <w:sz w:val="15"/>
                <w:szCs w:val="15"/>
                <w:highlight w:val="none"/>
                <w:lang w:val="en-US" w:eastAsia="zh-CN"/>
              </w:rPr>
              <w:t>5</w:t>
            </w:r>
            <w:r>
              <w:rPr>
                <w:rFonts w:hint="eastAsia" w:ascii="Arial" w:hAnsi="Calibri" w:eastAsia="宋体" w:cs="Times New Roman"/>
                <w:color w:val="000000"/>
                <w:sz w:val="15"/>
                <w:szCs w:val="15"/>
                <w:highlight w:val="none"/>
              </w:rPr>
              <w:t>00万元</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2669.14万元</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4</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4</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9"/>
                <w:sz w:val="18"/>
                <w:szCs w:val="18"/>
              </w:rPr>
            </w:pPr>
          </w:p>
        </w:tc>
        <w:tc>
          <w:tcPr>
            <w:tcW w:w="102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社会成本</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对社会稳定问题造成的负面影响</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无</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无</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27" w:type="dxa"/>
            <w:vMerge w:val="continue"/>
            <w:tcBorders>
              <w:top w:val="nil"/>
              <w:bottom w:val="nil"/>
            </w:tcBorders>
            <w:noWrap w:val="0"/>
            <w:textDirection w:val="tbRlV"/>
            <w:vAlign w:val="top"/>
          </w:tcPr>
          <w:p>
            <w:pPr>
              <w:rPr>
                <w:rFonts w:ascii="Arial" w:hAnsi="Calibri" w:eastAsia="宋体" w:cs="Times New Roman"/>
                <w:color w:val="000000"/>
                <w:sz w:val="21"/>
              </w:rPr>
            </w:pPr>
          </w:p>
        </w:tc>
        <w:tc>
          <w:tcPr>
            <w:tcW w:w="945"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spacing w:val="9"/>
                <w:sz w:val="18"/>
                <w:szCs w:val="18"/>
              </w:rPr>
            </w:pPr>
          </w:p>
        </w:tc>
        <w:tc>
          <w:tcPr>
            <w:tcW w:w="102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生态成本</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eastAsia="zh-CN"/>
              </w:rPr>
            </w:pPr>
            <w:r>
              <w:rPr>
                <w:rFonts w:hint="eastAsia" w:ascii="Arial" w:hAnsi="Calibri" w:eastAsia="宋体" w:cs="Times New Roman"/>
                <w:color w:val="000000"/>
                <w:sz w:val="15"/>
                <w:szCs w:val="15"/>
                <w:lang w:eastAsia="zh-CN"/>
              </w:rPr>
              <w:t>对生态环境问题造成的负面影响</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无</w:t>
            </w:r>
          </w:p>
        </w:tc>
        <w:tc>
          <w:tcPr>
            <w:tcW w:w="145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hAnsi="Calibri" w:eastAsia="宋体" w:cs="Times New Roman"/>
                <w:color w:val="000000"/>
                <w:sz w:val="15"/>
                <w:szCs w:val="15"/>
                <w:lang w:val="en-US" w:eastAsia="zh-CN"/>
              </w:rPr>
            </w:pPr>
            <w:r>
              <w:rPr>
                <w:rFonts w:hint="eastAsia" w:ascii="Arial" w:hAnsi="Calibri" w:eastAsia="宋体" w:cs="Times New Roman"/>
                <w:color w:val="000000"/>
                <w:sz w:val="15"/>
                <w:szCs w:val="15"/>
                <w:lang w:val="en-US" w:eastAsia="zh-CN"/>
              </w:rPr>
              <w:t>无</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3</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ascii="Calibri" w:hAnsi="Calibri" w:eastAsia="宋体" w:cs="Times New Roman"/>
                <w:color w:val="000000"/>
              </w:rPr>
            </w:pPr>
            <w:r>
              <w:rPr>
                <w:rFonts w:ascii="Calibri" w:hAnsi="Calibri" w:eastAsia="宋体" w:cs="Times New Roman"/>
                <w:color w:val="000000"/>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7815" cy="158750"/>
                          </a:xfrm>
                          <a:prstGeom prst="rect">
                            <a:avLst/>
                          </a:prstGeom>
                          <a:noFill/>
                          <a:ln>
                            <a:noFill/>
                          </a:ln>
                        </pic:spPr>
                      </pic:pic>
                    </a:graphicData>
                  </a:graphic>
                </wp:inline>
              </w:drawing>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sz w:val="21"/>
                <w:szCs w:val="21"/>
              </w:rPr>
            </w:pPr>
            <w:r>
              <w:rPr>
                <w:rFonts w:ascii="宋体" w:hAnsi="宋体" w:eastAsia="宋体" w:cs="宋体"/>
                <w:color w:val="000000"/>
                <w:spacing w:val="-6"/>
                <w:sz w:val="21"/>
                <w:szCs w:val="21"/>
              </w:rPr>
              <w:t>100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hAnsi="Calibri" w:eastAsia="宋体" w:cs="Times New Roman"/>
                <w:color w:val="000000"/>
                <w:sz w:val="21"/>
                <w:lang w:val="en-US" w:eastAsia="zh-CN"/>
              </w:rPr>
            </w:pPr>
            <w:r>
              <w:rPr>
                <w:rFonts w:hint="eastAsia" w:ascii="Arial" w:hAnsi="Calibri" w:eastAsia="宋体" w:cs="Times New Roman"/>
                <w:color w:val="000000"/>
                <w:sz w:val="21"/>
                <w:lang w:val="en-US" w:eastAsia="zh-CN"/>
              </w:rPr>
              <w:t>97</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hAnsi="Calibri" w:eastAsia="宋体" w:cs="Times New Roman"/>
                <w:color w:val="000000"/>
                <w:sz w:val="21"/>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sectPr>
          <w:footerReference r:id="rId4" w:type="default"/>
          <w:pgSz w:w="11906" w:h="16838"/>
          <w:pgMar w:top="1134" w:right="1417" w:bottom="1134" w:left="1134" w:header="851" w:footer="992" w:gutter="0"/>
          <w:pgNumType w:fmt="decimal"/>
          <w:cols w:space="0" w:num="1"/>
          <w:rtlGutter w:val="0"/>
          <w:docGrid w:type="lines" w:linePitch="312" w:charSpace="0"/>
        </w:sectPr>
      </w:pPr>
      <w:r>
        <w:rPr>
          <w:rFonts w:ascii="仿宋" w:hAnsi="仿宋" w:eastAsia="仿宋" w:cs="仿宋"/>
          <w:color w:val="000000"/>
          <w:spacing w:val="-22"/>
          <w:sz w:val="22"/>
          <w:szCs w:val="22"/>
        </w:rPr>
        <w:t>填表人：</w:t>
      </w:r>
      <w:r>
        <w:rPr>
          <w:rFonts w:hint="eastAsia" w:ascii="仿宋" w:hAnsi="仿宋" w:eastAsia="仿宋" w:cs="仿宋"/>
          <w:color w:val="000000"/>
          <w:spacing w:val="-22"/>
          <w:sz w:val="22"/>
          <w:szCs w:val="22"/>
          <w:lang w:eastAsia="zh-CN"/>
        </w:rPr>
        <w:t>赵亚兰</w:t>
      </w:r>
      <w:r>
        <w:rPr>
          <w:rFonts w:ascii="仿宋" w:hAnsi="仿宋" w:eastAsia="仿宋" w:cs="仿宋"/>
          <w:color w:val="000000"/>
          <w:spacing w:val="9"/>
          <w:sz w:val="22"/>
          <w:szCs w:val="22"/>
        </w:rPr>
        <w:t xml:space="preserve">  </w:t>
      </w:r>
      <w:r>
        <w:rPr>
          <w:rFonts w:ascii="仿宋" w:hAnsi="仿宋" w:eastAsia="仿宋" w:cs="仿宋"/>
          <w:color w:val="000000"/>
          <w:spacing w:val="3"/>
          <w:sz w:val="22"/>
          <w:szCs w:val="22"/>
        </w:rPr>
        <w:t xml:space="preserve">  </w:t>
      </w:r>
      <w:r>
        <w:rPr>
          <w:rFonts w:ascii="仿宋" w:hAnsi="仿宋" w:eastAsia="仿宋" w:cs="仿宋"/>
          <w:color w:val="000000"/>
          <w:spacing w:val="-22"/>
          <w:sz w:val="22"/>
          <w:szCs w:val="22"/>
        </w:rPr>
        <w:t>联系电话：</w:t>
      </w:r>
      <w:r>
        <w:rPr>
          <w:rFonts w:hint="eastAsia" w:ascii="仿宋" w:hAnsi="仿宋" w:eastAsia="仿宋" w:cs="仿宋"/>
          <w:color w:val="000000"/>
          <w:spacing w:val="2"/>
          <w:sz w:val="22"/>
          <w:szCs w:val="22"/>
          <w:lang w:val="en-US" w:eastAsia="zh-CN"/>
        </w:rPr>
        <w:t xml:space="preserve">13873085583   </w:t>
      </w:r>
      <w:r>
        <w:rPr>
          <w:rFonts w:ascii="仿宋" w:hAnsi="仿宋" w:eastAsia="仿宋" w:cs="仿宋"/>
          <w:color w:val="000000"/>
          <w:spacing w:val="2"/>
          <w:sz w:val="22"/>
          <w:szCs w:val="22"/>
        </w:rPr>
        <w:t xml:space="preserve"> </w:t>
      </w:r>
      <w:r>
        <w:rPr>
          <w:rFonts w:ascii="仿宋" w:hAnsi="仿宋" w:eastAsia="仿宋" w:cs="仿宋"/>
          <w:color w:val="000000"/>
          <w:spacing w:val="-22"/>
          <w:position w:val="-1"/>
          <w:sz w:val="22"/>
          <w:szCs w:val="22"/>
        </w:rPr>
        <w:t>单位负责人签字：</w:t>
      </w:r>
      <w:r>
        <w:rPr>
          <w:rFonts w:hint="eastAsia" w:ascii="仿宋" w:hAnsi="仿宋" w:eastAsia="仿宋" w:cs="仿宋"/>
          <w:color w:val="000000"/>
          <w:spacing w:val="-22"/>
          <w:position w:val="-1"/>
          <w:sz w:val="22"/>
          <w:szCs w:val="22"/>
          <w:lang w:val="en-US" w:eastAsia="zh-CN"/>
        </w:rPr>
        <w:t xml:space="preserve">            </w:t>
      </w:r>
      <w:r>
        <w:rPr>
          <w:rFonts w:ascii="仿宋" w:hAnsi="仿宋" w:eastAsia="仿宋" w:cs="仿宋"/>
          <w:color w:val="000000"/>
          <w:spacing w:val="9"/>
          <w:sz w:val="22"/>
          <w:szCs w:val="22"/>
        </w:rPr>
        <w:t xml:space="preserve"> </w:t>
      </w:r>
      <w:r>
        <w:rPr>
          <w:rFonts w:hint="eastAsia" w:ascii="仿宋" w:hAnsi="仿宋" w:eastAsia="仿宋" w:cs="仿宋"/>
          <w:color w:val="000000"/>
          <w:spacing w:val="9"/>
          <w:sz w:val="22"/>
          <w:szCs w:val="22"/>
          <w:lang w:val="en-US" w:eastAsia="zh-CN"/>
        </w:rPr>
        <w:t xml:space="preserve">  </w:t>
      </w:r>
      <w:r>
        <w:rPr>
          <w:rFonts w:ascii="仿宋" w:hAnsi="仿宋" w:eastAsia="仿宋" w:cs="仿宋"/>
          <w:color w:val="000000"/>
          <w:spacing w:val="-22"/>
          <w:sz w:val="22"/>
          <w:szCs w:val="22"/>
        </w:rPr>
        <w:t>填报日期：</w:t>
      </w:r>
      <w:r>
        <w:rPr>
          <w:rFonts w:ascii="仿宋" w:hAnsi="仿宋" w:eastAsia="仿宋" w:cs="仿宋"/>
          <w:color w:val="000000"/>
          <w:spacing w:val="3"/>
          <w:sz w:val="22"/>
          <w:szCs w:val="22"/>
        </w:rPr>
        <w:t xml:space="preserve"> </w:t>
      </w:r>
      <w:r>
        <w:rPr>
          <w:rFonts w:hint="eastAsia" w:ascii="仿宋" w:hAnsi="仿宋" w:eastAsia="仿宋" w:cs="仿宋"/>
          <w:color w:val="000000"/>
          <w:spacing w:val="3"/>
          <w:sz w:val="22"/>
          <w:szCs w:val="22"/>
          <w:lang w:val="en-US" w:eastAsia="zh-CN"/>
        </w:rPr>
        <w:t>2024年5月</w:t>
      </w: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9"/>
              <w:rPr>
                <w:rFonts w:hint="eastAsia" w:ascii="宋体" w:hAnsi="宋体" w:eastAsia="宋体" w:cs="宋体"/>
              </w:rPr>
            </w:pP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9"/>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522" w:type="dxa"/>
            <w:gridSpan w:val="4"/>
            <w:noWrap w:val="0"/>
            <w:vAlign w:val="top"/>
          </w:tcPr>
          <w:p>
            <w:pPr>
              <w:pStyle w:val="9"/>
              <w:rPr>
                <w:rFonts w:hint="eastAsia" w:ascii="宋体" w:hAnsi="宋体" w:eastAsia="宋体" w:cs="宋体"/>
              </w:rPr>
            </w:pPr>
          </w:p>
        </w:tc>
        <w:tc>
          <w:tcPr>
            <w:tcW w:w="4249" w:type="dxa"/>
            <w:gridSpan w:val="4"/>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9"/>
              <w:spacing w:line="366" w:lineRule="auto"/>
              <w:ind w:left="0" w:leftChars="0" w:firstLine="0" w:firstLineChars="0"/>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tcBorders>
            <w:noWrap w:val="0"/>
            <w:vAlign w:val="top"/>
          </w:tcPr>
          <w:p>
            <w:pPr>
              <w:pStyle w:val="9"/>
              <w:rPr>
                <w:rFonts w:hint="eastAsia" w:ascii="宋体" w:hAnsi="宋体" w:eastAsia="宋体" w:cs="宋体"/>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tcBorders>
            <w:noWrap w:val="0"/>
            <w:vAlign w:val="top"/>
          </w:tcPr>
          <w:p>
            <w:pPr>
              <w:pStyle w:val="9"/>
              <w:rPr>
                <w:rFonts w:hint="eastAsia" w:ascii="宋体" w:hAnsi="宋体" w:eastAsia="宋体" w:cs="宋体"/>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top"/>
          </w:tcPr>
          <w:p>
            <w:pPr>
              <w:pStyle w:val="9"/>
              <w:spacing w:line="224" w:lineRule="exact"/>
              <w:rPr>
                <w:rFonts w:hint="eastAsia" w:ascii="宋体" w:hAnsi="宋体" w:eastAsia="宋体" w:cs="宋体"/>
                <w:sz w:val="19"/>
              </w:rPr>
            </w:pPr>
          </w:p>
        </w:tc>
        <w:tc>
          <w:tcPr>
            <w:tcW w:w="1244" w:type="dxa"/>
            <w:noWrap w:val="0"/>
            <w:vAlign w:val="top"/>
          </w:tcPr>
          <w:p>
            <w:pPr>
              <w:pStyle w:val="9"/>
              <w:spacing w:line="224" w:lineRule="exact"/>
              <w:rPr>
                <w:rFonts w:hint="eastAsia" w:ascii="宋体" w:hAnsi="宋体" w:eastAsia="宋体" w:cs="宋体"/>
                <w:sz w:val="19"/>
              </w:rPr>
            </w:pPr>
          </w:p>
        </w:tc>
        <w:tc>
          <w:tcPr>
            <w:tcW w:w="1281" w:type="dxa"/>
            <w:noWrap w:val="0"/>
            <w:vAlign w:val="top"/>
          </w:tcPr>
          <w:p>
            <w:pPr>
              <w:pStyle w:val="9"/>
              <w:spacing w:line="224" w:lineRule="exact"/>
              <w:rPr>
                <w:rFonts w:hint="eastAsia" w:ascii="宋体" w:hAnsi="宋体" w:eastAsia="宋体" w:cs="宋体"/>
                <w:sz w:val="19"/>
              </w:rPr>
            </w:pPr>
          </w:p>
        </w:tc>
        <w:tc>
          <w:tcPr>
            <w:tcW w:w="673" w:type="dxa"/>
            <w:noWrap w:val="0"/>
            <w:vAlign w:val="top"/>
          </w:tcPr>
          <w:p>
            <w:pPr>
              <w:pStyle w:val="9"/>
              <w:spacing w:line="224" w:lineRule="exact"/>
              <w:rPr>
                <w:rFonts w:hint="eastAsia" w:ascii="宋体" w:hAnsi="宋体" w:eastAsia="宋体" w:cs="宋体"/>
                <w:sz w:val="19"/>
              </w:rPr>
            </w:pPr>
          </w:p>
        </w:tc>
        <w:tc>
          <w:tcPr>
            <w:tcW w:w="873" w:type="dxa"/>
            <w:noWrap w:val="0"/>
            <w:vAlign w:val="top"/>
          </w:tcPr>
          <w:p>
            <w:pPr>
              <w:pStyle w:val="9"/>
              <w:spacing w:line="224" w:lineRule="exact"/>
              <w:rPr>
                <w:rFonts w:hint="eastAsia" w:ascii="宋体" w:hAnsi="宋体" w:eastAsia="宋体" w:cs="宋体"/>
                <w:sz w:val="19"/>
              </w:rPr>
            </w:pPr>
          </w:p>
        </w:tc>
        <w:tc>
          <w:tcPr>
            <w:tcW w:w="1422" w:type="dxa"/>
            <w:noWrap w:val="0"/>
            <w:vAlign w:val="top"/>
          </w:tcPr>
          <w:p>
            <w:pPr>
              <w:pStyle w:val="9"/>
              <w:spacing w:line="224"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tcBorders>
            <w:noWrap w:val="0"/>
            <w:vAlign w:val="top"/>
          </w:tcPr>
          <w:p>
            <w:pPr>
              <w:pStyle w:val="9"/>
              <w:rPr>
                <w:rFonts w:hint="eastAsia" w:ascii="宋体" w:hAnsi="宋体" w:eastAsia="宋体" w:cs="宋体"/>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restart"/>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pPr>
              <w:pStyle w:val="9"/>
              <w:rPr>
                <w:rFonts w:hint="eastAsia" w:ascii="宋体" w:hAnsi="宋体" w:eastAsia="宋体" w:cs="宋体"/>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tcBorders>
              <w:bottom w:val="nil"/>
              <w:right w:val="single" w:color="auto" w:sz="4" w:space="0"/>
            </w:tcBorders>
            <w:noWrap w:val="0"/>
            <w:vAlign w:val="top"/>
          </w:tcPr>
          <w:p>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bl>
    <w:p>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lang w:eastAsia="zh-CN"/>
        </w:rPr>
        <w:t>单</w:t>
      </w:r>
      <w:r>
        <w:rPr>
          <w:rFonts w:hint="eastAsia" w:ascii="宋体" w:hAnsi="宋体" w:eastAsia="宋体" w:cs="宋体"/>
          <w:color w:val="000000"/>
          <w:spacing w:val="0"/>
          <w:position w:val="0"/>
          <w:sz w:val="23"/>
          <w:szCs w:val="23"/>
        </w:rPr>
        <w:t>位负责人签字：</w:t>
      </w:r>
      <w:bookmarkStart w:id="0" w:name="_GoBack"/>
      <w:bookmarkEnd w:id="0"/>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2023年度岳阳市岳阳楼区金鹗山街道办事处</w:t>
      </w:r>
      <w:r>
        <w:rPr>
          <w:rFonts w:hint="eastAsia" w:ascii="方正小标宋简体" w:hAnsi="方正小标宋简体" w:eastAsia="方正小标宋简体" w:cs="方正小标宋简体"/>
          <w:b w:val="0"/>
          <w:bCs w:val="0"/>
          <w:color w:val="000000"/>
          <w:spacing w:val="2"/>
          <w:sz w:val="42"/>
          <w:szCs w:val="42"/>
          <w:lang w:val="en-US" w:eastAsia="zh-CN"/>
        </w:rPr>
        <w:t xml:space="preserve">       </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rFonts w:hint="eastAsia"/>
          <w:spacing w:val="-75"/>
          <w:u w:val="single" w:color="auto"/>
          <w:lang w:val="en-US" w:eastAsia="zh-CN"/>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20</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3"/>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pacing w:val="6"/>
          <w:sz w:val="40"/>
          <w:szCs w:val="40"/>
        </w:rPr>
        <w:t>202</w:t>
      </w:r>
      <w:r>
        <w:rPr>
          <w:rFonts w:hint="eastAsia" w:ascii="方正小标宋简体" w:hAnsi="方正小标宋简体" w:eastAsia="方正小标宋简体" w:cs="方正小标宋简体"/>
          <w:spacing w:val="6"/>
          <w:sz w:val="40"/>
          <w:szCs w:val="40"/>
          <w:lang w:val="en-US" w:eastAsia="zh-CN"/>
        </w:rPr>
        <w:t>3</w:t>
      </w:r>
      <w:r>
        <w:rPr>
          <w:rFonts w:hint="eastAsia" w:ascii="方正小标宋简体" w:hAnsi="方正小标宋简体" w:eastAsia="方正小标宋简体" w:cs="方正小标宋简体"/>
          <w:spacing w:val="6"/>
          <w:sz w:val="40"/>
          <w:szCs w:val="40"/>
        </w:rPr>
        <w:t>年度</w:t>
      </w:r>
      <w:r>
        <w:rPr>
          <w:rFonts w:hint="eastAsia" w:ascii="方正小标宋简体" w:hAnsi="方正小标宋简体" w:eastAsia="方正小标宋简体" w:cs="方正小标宋简体"/>
          <w:spacing w:val="6"/>
          <w:sz w:val="40"/>
          <w:szCs w:val="40"/>
          <w:lang w:eastAsia="zh-CN"/>
        </w:rPr>
        <w:t>岳阳市岳阳楼区金鹗山街道办事处</w:t>
      </w:r>
      <w:r>
        <w:rPr>
          <w:rFonts w:hint="eastAsia" w:ascii="方正小标宋简体" w:hAnsi="方正小标宋简体" w:eastAsia="方正小标宋简体" w:cs="方正小标宋简体"/>
          <w:spacing w:val="6"/>
          <w:sz w:val="40"/>
          <w:szCs w:val="40"/>
          <w:lang w:val="en-US" w:eastAsia="zh-CN"/>
        </w:rPr>
        <w:t xml:space="preserve">  </w:t>
      </w:r>
      <w:r>
        <w:rPr>
          <w:rFonts w:hint="eastAsia" w:ascii="方正小标宋简体" w:hAnsi="方正小标宋简体" w:eastAsia="方正小标宋简体" w:cs="方正小标宋简体"/>
          <w:spacing w:val="6"/>
          <w:sz w:val="40"/>
          <w:szCs w:val="40"/>
          <w:lang w:eastAsia="zh-CN"/>
        </w:rPr>
        <w:t>单位</w:t>
      </w:r>
      <w:r>
        <w:rPr>
          <w:rFonts w:hint="eastAsia" w:ascii="方正小标宋简体" w:hAnsi="方正小标宋简体" w:eastAsia="方正小标宋简体" w:cs="方正小标宋简体"/>
          <w:spacing w:val="6"/>
          <w:sz w:val="40"/>
          <w:szCs w:val="40"/>
        </w:rPr>
        <w:t>整体支出</w:t>
      </w:r>
      <w:r>
        <w:rPr>
          <w:rFonts w:hint="eastAsia" w:ascii="方正小标宋简体" w:hAnsi="方正小标宋简体" w:eastAsia="方正小标宋简体" w:cs="方正小标宋简体"/>
          <w:spacing w:val="7"/>
          <w:sz w:val="40"/>
          <w:szCs w:val="40"/>
        </w:rPr>
        <w:t>绩效自评报告</w:t>
      </w:r>
    </w:p>
    <w:p>
      <w:pPr>
        <w:spacing w:line="283" w:lineRule="auto"/>
        <w:rPr>
          <w:rFonts w:ascii="Arial"/>
          <w:sz w:val="21"/>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单位基本情况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（一）基本概况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岳阳楼区金鹗山街道办事处成立于1984年，现人员编制62人，实有在编62人。另外，其财政所3人不属于办事处在编人员，离退人员23人，共计85人。根据编办核定，我办事处机构设置共设有6个内设股室（党政办公室、党建办公室、经济发展办公室、社会事务办公室、应急管理办公室、综合信访办公室），4个事业站所（社会事业综合服务中心、产业项目综合服务中心、公共服务和网格化中心、退役军人服务站），综合行政执法大队、财政所、司法所、环境卫生服务中心。</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（二）职能职责</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在区委、区政府的领导下，贯彻执行党路线、方针、政策和国家的各项法律、法规；负责街道辖区内的地区性、群众性、公益性、社会性工作。</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（1）负责精神文明建设工作，积极组织以提高市民质素为目的的活动，树立文明新风。</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（2）按照职责范围，负责街道辖区内的城市建设和管理、</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"https://www.baidu.com/s?wd=%E5%B8%82%E5%AE%B9%E7%8E%AF%E5%A2%83%E5%8D%AB%E7%94%9F&amp;tn=SE_PcZhidaonwhc_ngpagmjz&amp;rsv_dl=gh_pc_zhidao"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市容环境卫生</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"https://www.baidu.com/s?wd=%E5%9B%AD%E6%9E%97%E7%BB%BF%E5%8C%96&amp;tn=SE_PcZhidaonwhc_ngpagmjz&amp;rsv_dl=gh_pc_zhidao"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园林绿化</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、环境保护、市政、房地产等监督、管理、服务工作。</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（3）负责街道辖区内的维护稳定及</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"https://www.baidu.com/s?wd=%E7%A4%BE%E4%BC%9A%E6%B2%BB%E5%AE%89%E7%BB%BC%E5%90%88%E6%B2%BB%E7%90%86&amp;tn=SE_PcZhidaonwhc_ngpagmjz&amp;rsv_dl=gh_pc_zhidao"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社会治安综合治理</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工作，依照有关规定做好出租屋和外来暂住人员的管理工作；负责民事调解，法律服务工作，维护居民的合法权益。</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（4）负责</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"https://www.baidu.com/s?wd=%E7%A4%BE%E5%8C%BA%E5%BB%BA%E8%AE%BE&amp;tn=SE_PcZhidaonwhc_ngpagmjz&amp;rsv_dl=gh_pc_zhidao"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社区建设</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和管理，积极开展社区服务工作，大力兴办社区福利事业，发动和组织社区成员开展各类社区公益活动；负责拥军优属、</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"https://www.baidu.com/s?wd=%E4%BC%98%E6%8A%9A%E5%AE%89%E7%BD%AE&amp;tn=SE_PcZhidaonwhc_ngpagmjz&amp;rsv_dl=gh_pc_zhidao"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优抚安置</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rPr>
        <w:fldChar w:fldCharType="begin"/>
      </w:r>
      <w:r>
        <w:rPr>
          <w:rFonts w:hint="eastAsia" w:ascii="Times New Roman" w:hAnsi="Times New Roman" w:eastAsia="仿宋_GB2312" w:cs="仿宋_GB2312"/>
          <w:kern w:val="0"/>
          <w:sz w:val="32"/>
          <w:szCs w:val="32"/>
        </w:rPr>
        <w:instrText xml:space="preserve"> HYPERLINK "https://www.baidu.com/s?wd=%E7%A4%BE%E4%BC%9A%E6%95%91%E6%B5%8E&amp;tn=SE_PcZhidaonwhc_ngpagmjz&amp;rsv_dl=gh_pc_zhidao" \t "https://zhidao.baidu.com/question/_blank" </w:instrText>
      </w:r>
      <w:r>
        <w:rPr>
          <w:rFonts w:hint="eastAsia" w:ascii="Times New Roman" w:hAnsi="Times New Roman" w:eastAsia="仿宋_GB2312" w:cs="仿宋_GB2312"/>
          <w:kern w:val="0"/>
          <w:sz w:val="32"/>
          <w:szCs w:val="32"/>
        </w:rPr>
        <w:fldChar w:fldCharType="separate"/>
      </w:r>
      <w:r>
        <w:rPr>
          <w:rFonts w:hint="eastAsia" w:ascii="Times New Roman" w:hAnsi="Times New Roman" w:eastAsia="仿宋_GB2312" w:cs="仿宋_GB2312"/>
          <w:kern w:val="0"/>
          <w:sz w:val="32"/>
          <w:szCs w:val="32"/>
        </w:rPr>
        <w:t>社会救济</w:t>
      </w:r>
      <w:r>
        <w:rPr>
          <w:rFonts w:hint="eastAsia" w:ascii="Times New Roman" w:hAnsi="Times New Roman" w:eastAsia="仿宋_GB2312" w:cs="仿宋_GB2312"/>
          <w:kern w:val="0"/>
          <w:sz w:val="32"/>
          <w:szCs w:val="32"/>
        </w:rPr>
        <w:fldChar w:fldCharType="end"/>
      </w:r>
      <w:r>
        <w:rPr>
          <w:rFonts w:hint="eastAsia" w:ascii="Times New Roman" w:hAnsi="Times New Roman" w:eastAsia="仿宋_GB2312" w:cs="仿宋_GB2312"/>
          <w:kern w:val="0"/>
          <w:sz w:val="32"/>
          <w:szCs w:val="32"/>
        </w:rPr>
        <w:t>、社会福利、社区文化、科普、体育、教育等工作。</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（5）发展街道经济，管理街道自有国有资产和集体资产，为街道经济组织提供人才、科技、信息和各种服务，以经济、法律和必要的行政手段推动街道经济发展和维护市场经济秩序。</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（6）负责计划生育、劳动就业、安全生产管理、控建拆违、民兵、兵役等工作。</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（7）指导和帮助社区搞好组织建设和制度建设，发挥社区的群众自治组织作用。</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（8）配合有关部门做好防汛、防风、防火、防震、防灾和抢险工作。</w:t>
      </w:r>
    </w:p>
    <w:p>
      <w:pPr>
        <w:widowControl/>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（9）向区人民政府反映居民群众的意见和要求，办理人民群众来信来访事项。</w:t>
      </w:r>
    </w:p>
    <w:p>
      <w:pPr>
        <w:widowControl/>
        <w:spacing w:line="60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（10）承办区委、区政府和上级部门交办的其他事项。</w:t>
      </w:r>
    </w:p>
    <w:p>
      <w:pPr>
        <w:widowControl/>
        <w:spacing w:line="600" w:lineRule="exact"/>
        <w:ind w:firstLine="643" w:firstLineChars="200"/>
        <w:rPr>
          <w:rFonts w:hint="eastAsia" w:ascii="Times New Roman" w:hAnsi="Times New Roman" w:eastAsia="仿宋_GB2312" w:cs="仿宋_GB2312"/>
          <w:b/>
          <w:bCs/>
          <w:kern w:val="0"/>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二、一般公共预算支出情况</w:t>
      </w:r>
    </w:p>
    <w:p>
      <w:pPr>
        <w:widowControl/>
        <w:spacing w:line="600" w:lineRule="exact"/>
        <w:ind w:firstLine="640" w:firstLineChars="200"/>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本单位2023年一般公共预算整体支出2669.14元。按收入性质分，其中：一般公共预算收入1858.32万元，其他资金收入810.82万元。按支出性质分，其中：基本支出1852.37万元，项目支出816.77万元。</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(一)基本支出情况</w:t>
      </w:r>
    </w:p>
    <w:p>
      <w:pPr>
        <w:widowControl/>
        <w:spacing w:line="600" w:lineRule="exact"/>
        <w:ind w:firstLine="562" w:firstLineChars="200"/>
        <w:rPr>
          <w:rFonts w:hint="eastAsia" w:ascii="Times New Roman" w:hAnsi="Times New Roman" w:eastAsia="仿宋_GB2312" w:cs="仿宋_GB2312"/>
          <w:kern w:val="0"/>
          <w:sz w:val="32"/>
          <w:szCs w:val="32"/>
          <w:lang w:val="zh-CN" w:eastAsia="zh-CN"/>
        </w:rPr>
      </w:pPr>
      <w:r>
        <w:rPr>
          <w:rFonts w:hint="eastAsia" w:ascii="宋体" w:hAnsi="宋体" w:eastAsia="宋体" w:cs="宋体"/>
          <w:b/>
          <w:bCs/>
          <w:sz w:val="28"/>
          <w:szCs w:val="28"/>
          <w:lang w:val="en-US" w:eastAsia="zh-CN"/>
        </w:rPr>
        <w:t>1、</w:t>
      </w:r>
      <w:r>
        <w:rPr>
          <w:rFonts w:hint="eastAsia" w:ascii="楷体_GB2312" w:hAnsi="楷体_GB2312" w:eastAsia="楷体_GB2312" w:cs="楷体_GB2312"/>
          <w:b/>
          <w:bCs/>
          <w:color w:val="000000"/>
          <w:spacing w:val="0"/>
          <w:position w:val="0"/>
          <w:sz w:val="32"/>
          <w:szCs w:val="32"/>
          <w:lang w:val="en-US" w:eastAsia="zh-CN"/>
        </w:rPr>
        <w:t xml:space="preserve">预算配置情况评价分析 </w:t>
      </w:r>
      <w:r>
        <w:rPr>
          <w:rFonts w:ascii="宋体" w:hAnsi="宋体" w:eastAsia="宋体" w:cs="宋体"/>
          <w:b/>
          <w:bCs/>
          <w:sz w:val="28"/>
          <w:szCs w:val="28"/>
        </w:rPr>
        <w:t xml:space="preserve"> </w:t>
      </w:r>
      <w:r>
        <w:rPr>
          <w:rFonts w:hint="eastAsia" w:ascii="Times New Roman" w:hAnsi="Times New Roman" w:eastAsia="仿宋_GB2312" w:cs="仿宋_GB2312"/>
          <w:kern w:val="0"/>
          <w:sz w:val="32"/>
          <w:szCs w:val="32"/>
          <w:lang w:val="en-US" w:eastAsia="zh-CN"/>
        </w:rPr>
        <w:t>根据岳阳楼区编制部门文件规定岳阳楼区金鹗山街道办事处人员编制62人，2023年决算报表反映实际在职人员62人，财政供养人员控制率为100%。</w:t>
      </w:r>
    </w:p>
    <w:p>
      <w:pPr>
        <w:ind w:firstLine="636" w:firstLineChars="198"/>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b/>
          <w:bCs/>
          <w:kern w:val="0"/>
          <w:sz w:val="32"/>
          <w:szCs w:val="32"/>
          <w:lang w:val="en-US" w:eastAsia="zh-CN"/>
        </w:rPr>
        <w:t>2、</w:t>
      </w:r>
      <w:r>
        <w:rPr>
          <w:rFonts w:hint="eastAsia" w:ascii="楷体_GB2312" w:hAnsi="楷体_GB2312" w:eastAsia="楷体_GB2312" w:cs="楷体_GB2312"/>
          <w:b/>
          <w:bCs/>
          <w:color w:val="000000"/>
          <w:spacing w:val="0"/>
          <w:position w:val="0"/>
          <w:sz w:val="32"/>
          <w:szCs w:val="32"/>
          <w:lang w:val="en-US" w:eastAsia="zh-CN"/>
        </w:rPr>
        <w:t xml:space="preserve">整体支出情况分析  </w:t>
      </w:r>
      <w:r>
        <w:rPr>
          <w:rFonts w:hint="eastAsia" w:ascii="Times New Roman" w:hAnsi="Times New Roman" w:eastAsia="仿宋_GB2312" w:cs="仿宋_GB2312"/>
          <w:kern w:val="0"/>
          <w:sz w:val="32"/>
          <w:szCs w:val="32"/>
          <w:lang w:val="en-US" w:eastAsia="zh-CN"/>
        </w:rPr>
        <w:t>2023年度基本支出1852.37万元，其中：工资福利支出815.12万元，占基本支出的44.00%。主要包括基本工资、津贴补贴、</w:t>
      </w:r>
      <w:r>
        <w:rPr>
          <w:rFonts w:hint="eastAsia" w:ascii="Times New Roman" w:hAnsi="Times New Roman" w:eastAsia="仿宋_GB2312" w:cs="仿宋_GB2312"/>
          <w:kern w:val="0"/>
          <w:sz w:val="32"/>
          <w:szCs w:val="32"/>
          <w:lang w:val="zh-CN" w:eastAsia="zh-CN"/>
        </w:rPr>
        <w:t>奖金、绩效工资、机关事业单位基本养老保险缴费、职工基本医疗保险缴费、公务员医疗补助缴费、其他社会保障缴费、住房公积金、其他工资福利支出。</w:t>
      </w:r>
      <w:r>
        <w:rPr>
          <w:rFonts w:hint="eastAsia" w:ascii="Times New Roman" w:hAnsi="Times New Roman" w:eastAsia="仿宋_GB2312" w:cs="仿宋_GB2312"/>
          <w:kern w:val="0"/>
          <w:sz w:val="32"/>
          <w:szCs w:val="32"/>
          <w:lang w:val="en-US" w:eastAsia="zh-CN"/>
        </w:rPr>
        <w:t>商品和服务支出963.57万元，占基本支出的52.02%。主要包括办公费、印刷费、水费、电费、邮电费、差旅费、维修（护）费、会议费、培训费、公务接待费、劳务费、工会经费、其他交通费用、其他商品和服务支出。对个人和家庭的补助73.68万元，占基本支出的3.98%。主要包括</w:t>
      </w:r>
      <w:r>
        <w:rPr>
          <w:rFonts w:hint="eastAsia" w:ascii="Times New Roman" w:hAnsi="Times New Roman" w:eastAsia="仿宋_GB2312" w:cs="仿宋_GB2312"/>
          <w:kern w:val="0"/>
          <w:sz w:val="32"/>
          <w:szCs w:val="32"/>
          <w:lang w:val="zh-CN" w:eastAsia="zh-CN"/>
        </w:rPr>
        <w:t>抚恤金、生活补助、医疗费补助、奖励金、其他对个人和家庭的补助</w:t>
      </w:r>
      <w:r>
        <w:rPr>
          <w:rFonts w:hint="eastAsia" w:ascii="Times New Roman" w:hAnsi="Times New Roman"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（二）项目支出情况</w:t>
      </w:r>
    </w:p>
    <w:p>
      <w:pPr>
        <w:tabs>
          <w:tab w:val="left" w:pos="426"/>
          <w:tab w:val="center" w:pos="4153"/>
        </w:tabs>
        <w:spacing w:line="600" w:lineRule="exact"/>
        <w:ind w:firstLine="843" w:firstLineChars="300"/>
        <w:rPr>
          <w:rFonts w:hint="eastAsia" w:ascii="Times New Roman" w:hAnsi="Times New Roman" w:eastAsia="仿宋_GB2312" w:cs="仿宋_GB2312"/>
          <w:kern w:val="0"/>
          <w:sz w:val="32"/>
          <w:szCs w:val="32"/>
          <w:lang w:val="en-US" w:eastAsia="zh-CN"/>
        </w:rPr>
      </w:pPr>
      <w:r>
        <w:rPr>
          <w:rFonts w:hint="eastAsia" w:ascii="宋体" w:hAnsi="宋体" w:eastAsia="宋体" w:cs="宋体"/>
          <w:b/>
          <w:bCs/>
          <w:sz w:val="28"/>
          <w:szCs w:val="28"/>
          <w:shd w:val="clear" w:color="auto" w:fill="FFFFFF"/>
          <w:lang w:val="en-US" w:eastAsia="zh-CN"/>
        </w:rPr>
        <w:t>1、</w:t>
      </w:r>
      <w:r>
        <w:rPr>
          <w:rFonts w:hint="eastAsia" w:ascii="楷体_GB2312" w:hAnsi="楷体_GB2312" w:eastAsia="楷体_GB2312" w:cs="楷体_GB2312"/>
          <w:b/>
          <w:bCs/>
          <w:color w:val="000000"/>
          <w:spacing w:val="0"/>
          <w:position w:val="0"/>
          <w:sz w:val="32"/>
          <w:szCs w:val="32"/>
          <w:lang w:val="en-US" w:eastAsia="zh-CN"/>
        </w:rPr>
        <w:t>项目资金拨入情况分析</w:t>
      </w:r>
      <w:r>
        <w:rPr>
          <w:rFonts w:hint="eastAsia" w:ascii="宋体" w:hAnsi="宋体" w:eastAsia="宋体" w:cs="宋体"/>
          <w:b/>
          <w:bCs/>
          <w:sz w:val="28"/>
          <w:szCs w:val="28"/>
          <w:shd w:val="clear" w:color="auto" w:fill="FFFFFF"/>
          <w:lang w:val="en-US" w:eastAsia="zh-CN"/>
        </w:rPr>
        <w:t xml:space="preserve">  </w:t>
      </w:r>
      <w:r>
        <w:rPr>
          <w:rFonts w:hint="eastAsia" w:ascii="Times New Roman" w:hAnsi="Times New Roman" w:eastAsia="仿宋_GB2312" w:cs="仿宋_GB2312"/>
          <w:kern w:val="0"/>
          <w:sz w:val="32"/>
          <w:szCs w:val="32"/>
          <w:lang w:val="en-US" w:eastAsia="zh-CN"/>
        </w:rPr>
        <w:t>2023年岳阳楼区金鹗山街道办事处项目资金到位率100％。</w:t>
      </w:r>
    </w:p>
    <w:p>
      <w:pPr>
        <w:widowControl w:val="0"/>
        <w:spacing w:before="120" w:after="200" w:line="276" w:lineRule="auto"/>
        <w:ind w:firstLine="964" w:firstLineChars="300"/>
        <w:jc w:val="both"/>
        <w:rPr>
          <w:rFonts w:hint="default" w:ascii="Times New Roman" w:hAnsi="Times New Roman" w:eastAsia="仿宋_GB2312" w:cs="仿宋_GB2312"/>
          <w:kern w:val="0"/>
          <w:sz w:val="32"/>
          <w:szCs w:val="32"/>
          <w:lang w:val="en-US" w:eastAsia="zh-CN" w:bidi="ar-SA"/>
        </w:rPr>
      </w:pPr>
      <w:r>
        <w:rPr>
          <w:rFonts w:hint="eastAsia" w:ascii="楷体_GB2312" w:hAnsi="楷体_GB2312" w:eastAsia="楷体_GB2312" w:cs="楷体_GB2312"/>
          <w:b/>
          <w:bCs/>
          <w:color w:val="000000"/>
          <w:spacing w:val="0"/>
          <w:kern w:val="2"/>
          <w:position w:val="0"/>
          <w:sz w:val="32"/>
          <w:szCs w:val="32"/>
          <w:lang w:val="en-US" w:eastAsia="zh-CN" w:bidi="ar-SA"/>
        </w:rPr>
        <w:t xml:space="preserve">2、项目资金使用情况分析  </w:t>
      </w:r>
      <w:r>
        <w:rPr>
          <w:rFonts w:hint="eastAsia" w:ascii="Times New Roman" w:hAnsi="Times New Roman" w:eastAsia="仿宋_GB2312" w:cs="仿宋_GB2312"/>
          <w:kern w:val="0"/>
          <w:sz w:val="32"/>
          <w:szCs w:val="32"/>
          <w:lang w:val="en-US" w:eastAsia="zh-CN" w:bidi="ar-SA"/>
        </w:rPr>
        <w:t>2023年度项目支出816.77万元，其中超30万元的项目支出共计676.22万元，占总项目支出82.79%。环卫工人工资及社保经费493.46万元，用于2023年环卫环卫工人发放工资及社会保险费缴纳；退役军人春节慰问款40.94万元，用于困难退役军人2023年春节慰问；特殊困难退役军人财政补贴（就业援助人员）33.84万元，用于发放2023年特殊困难退役军人（就业援助人员）财政补贴及社会保险缴纳；其他应急专项资金70.38万元，用于自建房整治及鉴定费用等；疫情防控经费37.6万元，用于街道及社区新冠疫情防控采购防疫物资、防疫宣传资料印刷费用，以及消杀、清扫等劳务费。</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三、政府性基金预算支出情况</w:t>
      </w:r>
    </w:p>
    <w:p>
      <w:pPr>
        <w:widowControl w:val="0"/>
        <w:numPr>
          <w:ilvl w:val="0"/>
          <w:numId w:val="0"/>
        </w:numPr>
        <w:spacing w:before="120" w:after="200" w:line="276" w:lineRule="auto"/>
        <w:ind w:leftChars="200"/>
        <w:jc w:val="both"/>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 2023年度本单位无政府性基金预算支出。</w:t>
      </w:r>
    </w:p>
    <w:p>
      <w:pPr>
        <w:widowControl w:val="0"/>
        <w:numPr>
          <w:ilvl w:val="0"/>
          <w:numId w:val="0"/>
        </w:numPr>
        <w:spacing w:before="120" w:after="200" w:line="276" w:lineRule="auto"/>
        <w:ind w:leftChars="200" w:firstLine="321" w:firstLineChars="100"/>
        <w:jc w:val="both"/>
        <w:rPr>
          <w:rFonts w:hint="eastAsia" w:ascii="黑体" w:hAnsi="黑体" w:eastAsia="黑体" w:cs="黑体"/>
          <w:b/>
          <w:bCs/>
          <w:color w:val="000000"/>
          <w:spacing w:val="0"/>
          <w:kern w:val="2"/>
          <w:position w:val="0"/>
          <w:sz w:val="32"/>
          <w:szCs w:val="32"/>
          <w:lang w:val="en-US" w:eastAsia="zh-CN" w:bidi="ar-SA"/>
        </w:rPr>
      </w:pPr>
      <w:r>
        <w:rPr>
          <w:rFonts w:hint="eastAsia" w:ascii="黑体" w:hAnsi="黑体" w:eastAsia="黑体" w:cs="黑体"/>
          <w:b/>
          <w:bCs/>
          <w:color w:val="000000"/>
          <w:spacing w:val="0"/>
          <w:kern w:val="2"/>
          <w:position w:val="0"/>
          <w:sz w:val="32"/>
          <w:szCs w:val="32"/>
          <w:lang w:val="en-US" w:eastAsia="zh-CN" w:bidi="ar-SA"/>
        </w:rPr>
        <w:t>四、国有资本经营预算支出情况</w:t>
      </w:r>
    </w:p>
    <w:p>
      <w:pPr>
        <w:numPr>
          <w:ilvl w:val="0"/>
          <w:numId w:val="0"/>
        </w:numPr>
        <w:ind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2023年度本单位无国有资本经营预算支出。</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eastAsia" w:ascii="黑体" w:hAnsi="黑体" w:eastAsia="黑体" w:cs="黑体"/>
          <w:b/>
          <w:bCs/>
          <w:color w:val="000000"/>
          <w:spacing w:val="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default" w:ascii="Times New Roman" w:hAnsi="Times New Roman" w:eastAsia="仿宋_GB2312" w:cs="仿宋_GB2312"/>
          <w:b/>
          <w:bCs/>
          <w:kern w:val="0"/>
          <w:sz w:val="32"/>
          <w:szCs w:val="32"/>
          <w:lang w:val="en-US" w:eastAsia="zh-CN" w:bidi="ar-SA"/>
        </w:rPr>
      </w:pPr>
      <w:r>
        <w:rPr>
          <w:rFonts w:hint="eastAsia" w:ascii="黑体" w:hAnsi="黑体" w:eastAsia="黑体" w:cs="黑体"/>
          <w:b/>
          <w:bCs/>
          <w:color w:val="000000"/>
          <w:spacing w:val="0"/>
          <w:position w:val="0"/>
          <w:sz w:val="32"/>
          <w:szCs w:val="32"/>
          <w:lang w:val="en-US" w:eastAsia="zh-CN"/>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2023年度本单位无社会保险基金预算支出。</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黑体" w:hAnsi="黑体" w:eastAsia="黑体" w:cs="黑体"/>
          <w:b/>
          <w:bCs/>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六、部门整体支出绩效情况</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（一）年度工作履职目标及履职情况</w:t>
      </w:r>
    </w:p>
    <w:p>
      <w:pPr>
        <w:widowControl w:val="0"/>
        <w:spacing w:before="120" w:after="200" w:line="276" w:lineRule="auto"/>
        <w:ind w:firstLine="640" w:firstLineChars="200"/>
        <w:jc w:val="both"/>
        <w:rPr>
          <w:rFonts w:hint="eastAsia" w:ascii="Times New Roman" w:hAnsi="Times New Roman" w:eastAsia="仿宋_GB2312" w:cs="仿宋_GB2312"/>
          <w:kern w:val="0"/>
          <w:sz w:val="32"/>
          <w:szCs w:val="32"/>
          <w:lang w:val="en-US" w:eastAsia="zh-CN" w:bidi="ar-SA"/>
        </w:rPr>
      </w:pPr>
      <w:r>
        <w:rPr>
          <w:rFonts w:hint="default" w:ascii="Times New Roman" w:hAnsi="Times New Roman" w:eastAsia="仿宋_GB2312" w:cs="仿宋_GB2312"/>
          <w:kern w:val="0"/>
          <w:sz w:val="32"/>
          <w:szCs w:val="32"/>
          <w:lang w:val="en-US" w:eastAsia="zh-CN" w:bidi="ar-SA"/>
        </w:rPr>
        <w:t>今年以来，在区委、区政府的坚强领导和正确指导下，</w:t>
      </w:r>
      <w:r>
        <w:rPr>
          <w:rFonts w:hint="eastAsia" w:ascii="Times New Roman" w:hAnsi="Times New Roman" w:eastAsia="仿宋_GB2312" w:cs="仿宋_GB2312"/>
          <w:kern w:val="0"/>
          <w:sz w:val="32"/>
          <w:szCs w:val="32"/>
          <w:lang w:val="en-US" w:eastAsia="zh-CN" w:bidi="ar-SA"/>
        </w:rPr>
        <w:t>金鹗山街道紧紧围绕高质量发展总要求，紧盯打好发展“六仗”总目标，高扬奋进“十律”，经济发展稳中向好，社会大局和谐稳定，先后荣获岳阳市2022年度违法建设治理工作“优胜基层单位”、2022届岳阳市文明单位、2022年度全市信访工作示范乡镇（街道）、岳阳市“十佳”新时代文明实践所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960" w:firstLineChars="3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一、坚定不移强党建、提作风，基层治理提质增效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1.党建引领聚伟力。</w:t>
      </w:r>
      <w:r>
        <w:rPr>
          <w:rFonts w:hint="eastAsia" w:ascii="Times New Roman" w:hAnsi="Times New Roman" w:eastAsia="仿宋_GB2312" w:cs="仿宋_GB2312"/>
          <w:kern w:val="0"/>
          <w:sz w:val="32"/>
          <w:szCs w:val="32"/>
          <w:lang w:val="en-US" w:eastAsia="zh-CN" w:bidi="ar-SA"/>
        </w:rPr>
        <w:t>深入学习贯彻党的二十大精神，扎实开展学习习近平新时代中国特色社会主义思想主题教育，组织中心组学习12次，开展“理想金鹗 学在身边”青年大课堂4次，进一步凝聚思想共识。大兴调查研究，书记带队，深入社区挖掘问题，形成《关于城市内涝和低洼渍水防范和整治的调研报告》《关于加强城市“微安全”建设》等调研报告，切实转化“学”“研”成效。加强支部建设，完善居民自治，扎实推进居民代表常态化服务群众工作，共推选居民代表2149人；充分发挥党员先锋模范作用，万家坡社区网格员通过张贴公告、走访入户等方式寻找到恒立改制老企业生活区流失党员71名，8月份成立恒立家园小区党支部，全面推进党建引领小区治理的共建共享共治。目前各社区共建成小区党支部 95个，吸纳党员 784 名，完成小区党支部建设全覆盖。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2.队伍建设展活力。</w:t>
      </w:r>
      <w:r>
        <w:rPr>
          <w:rFonts w:hint="eastAsia" w:ascii="Times New Roman" w:hAnsi="Times New Roman" w:eastAsia="仿宋_GB2312" w:cs="仿宋_GB2312"/>
          <w:kern w:val="0"/>
          <w:sz w:val="32"/>
          <w:szCs w:val="32"/>
          <w:lang w:val="en-US" w:eastAsia="zh-CN" w:bidi="ar-SA"/>
        </w:rPr>
        <w:t>强化阵地建设，打造新时代文明实践所，为干部职工提供活动基地。丰富团队活动，发挥工会桥梁纽带作用，组织女职工户外拓展运动、“群英断是非”演讲比赛、五四青年节“燃五四薪火，谱青春华章”主题活动等。培育干部队伍。鼓励敢为有为的干部积极参加比选，1名社区书记解决事业编制，2名干部通过“五方面人员”择优选拔进街道（乡）领导班子考试，街道上下干事创业氛围更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3.作风提升凝合力。</w:t>
      </w:r>
      <w:r>
        <w:rPr>
          <w:rFonts w:hint="eastAsia" w:ascii="Times New Roman" w:hAnsi="Times New Roman" w:eastAsia="仿宋_GB2312" w:cs="仿宋_GB2312"/>
          <w:kern w:val="0"/>
          <w:sz w:val="32"/>
          <w:szCs w:val="32"/>
          <w:lang w:val="en-US" w:eastAsia="zh-CN" w:bidi="ar-SA"/>
        </w:rPr>
        <w:t>始终把作风纪律摆在突出位置，广泛开展廉政教育，举办金鹗干部廉政读书会3次，开展警示教育3次，谈心谈话80人次。开展巡察整改“回头看”，推进11个社区“举一反三”整改问题22项，着力打造万家坡、螺丝港巡察整改样板社区。强化作风纪律整顿，不定期开展作风督查14次，全面做好问题线索处置工作，纪律更严、作风更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二、全力以赴推项目、引资金，经济运行平稳向好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1.抓项目暖民心。</w:t>
      </w:r>
      <w:r>
        <w:rPr>
          <w:rFonts w:hint="eastAsia" w:ascii="Times New Roman" w:hAnsi="Times New Roman" w:eastAsia="仿宋_GB2312" w:cs="仿宋_GB2312"/>
          <w:kern w:val="0"/>
          <w:sz w:val="32"/>
          <w:szCs w:val="32"/>
          <w:lang w:val="en-US" w:eastAsia="zh-CN" w:bidi="ar-SA"/>
        </w:rPr>
        <w:t>全力推动市中院审判庭建设项目，采取“白+黑、5+2”的工作模式，完成了前期入户摸底调查、面积测绘、房产主体评估、部分住户分户评估和签约等工作。截止至10月30日，已完成入户评估28户，签约8户。扎实做好老旧小区改造，全力推进41个小区，共4535户，259栋旧房改造。征求居民多样化需求，解决太子庙北片区消防通道等问题，全面提升小区的安全性、宜居性和通透性，全线打通片区“微循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2.抓招商引税源。</w:t>
      </w:r>
      <w:r>
        <w:rPr>
          <w:rFonts w:hint="eastAsia" w:ascii="Times New Roman" w:hAnsi="Times New Roman" w:eastAsia="仿宋_GB2312" w:cs="仿宋_GB2312"/>
          <w:kern w:val="0"/>
          <w:sz w:val="32"/>
          <w:szCs w:val="32"/>
          <w:lang w:val="en-US" w:eastAsia="zh-CN" w:bidi="ar-SA"/>
        </w:rPr>
        <w:t>实行“一把手”招商机制，班子成员带头招商，主动对接、优质服务重点税源企业、项目，协调解决项目建设中的困难；扎实推进“湘商回归”工作，充分挖掘寓外乡友资源，为有来区投资意向者提供周到服务、政策咨询、部门对接；搭建商友平台，成立金鹗山街道商会，助推辖区内的非公企业健康发展，抱团发展。2023年（1-9月份）完成固定资产投资126384万元，任务完成度52.7%，同比去年增幅199.4%。排全区第五。规上企业18家，营收0.89亿，增长35.6%。核实企业4家，营收0.63亿，增长36.2%。截至9月底，36家重点税源企业纳税金额 10533 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3.抓楼宇提品质。</w:t>
      </w:r>
      <w:r>
        <w:rPr>
          <w:rFonts w:hint="eastAsia" w:ascii="Times New Roman" w:hAnsi="Times New Roman" w:eastAsia="仿宋_GB2312" w:cs="仿宋_GB2312"/>
          <w:kern w:val="0"/>
          <w:sz w:val="32"/>
          <w:szCs w:val="32"/>
          <w:lang w:val="en-US" w:eastAsia="zh-CN" w:bidi="ar-SA"/>
        </w:rPr>
        <w:t>街道紧抓数字经济发展窗口期，依托区位优势与辖区资源，大力推动楼宇经济与数字经济融合发展。实地走访富川CEO、和顺大厦、星都汇等商业楼宇，通过多方协商、召开会议，稳妥有力解决星都汇物业公司与步步高公司之间的商业纠纷。街道辖有重点楼宇9栋，目前共入驻企业23家，纳税规模 4261 万元。提前谋划，选定普查“两员”，认真做好第五次全国经济普查工作。截至10月17日，完成法人单位新增2095家，完成个体户培育8363家。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三、持之以恒补短板、优服务，城市品质不断提升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1.优化人居环境。</w:t>
      </w:r>
      <w:r>
        <w:rPr>
          <w:rFonts w:hint="eastAsia" w:ascii="Times New Roman" w:hAnsi="Times New Roman" w:eastAsia="仿宋_GB2312" w:cs="仿宋_GB2312"/>
          <w:kern w:val="0"/>
          <w:sz w:val="32"/>
          <w:szCs w:val="32"/>
          <w:lang w:val="en-US" w:eastAsia="zh-CN" w:bidi="ar-SA"/>
        </w:rPr>
        <w:t>持续开展城市“六治”工作，全员行动，全力以赴打好深化全国文明卫生城市建设“攻坚战”。领导干部下沉一线，全面落实打桩定位工作责任，紧盯卫生死角和盲区，深入背街小巷、居民楼道、主次干道等展开“地毯式”清扫，组织环卫大扫除440余次，清理陈年垃圾 2830余吨。注重疏堵结合，张贴便民广告宣传栏150余块，为居民群众张贴小广告提供便利，加大人力投入，清除城市牛皮癣4500余处。做好示范打造，成功推进第一批标准化建设示范小区、街巷、街区和农贸市场，市容环境更加干净整洁、井然有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2.助推文明建设。</w:t>
      </w:r>
      <w:r>
        <w:rPr>
          <w:rFonts w:hint="eastAsia" w:ascii="Times New Roman" w:hAnsi="Times New Roman" w:eastAsia="仿宋_GB2312" w:cs="仿宋_GB2312"/>
          <w:kern w:val="0"/>
          <w:sz w:val="32"/>
          <w:szCs w:val="32"/>
          <w:lang w:val="en-US" w:eastAsia="zh-CN" w:bidi="ar-SA"/>
        </w:rPr>
        <w:t>坚持“城市是人民的城市，人民城市为人民”，不断提升城市治理、服务水平。广泛实施“群英断是非”工作法，截至目前，共开展群英断是非71次，上报案例67例，被新闻媒体报道案例19例。5月23日，街道成功接待全国省级法治报大型融媒体集中采访活动，推介南津港社区“让危墙变新墙”、万家坡社区“拆除违建废弃配电房”经验、做法，解锁基层社会治理的“幸福密码”。顺利迎接中央深化全国文明城市建设“回头看”工作，通过6个测评点检阅、金鹗山社区入户测评。积极推进“文明养宠”“文明晾晒”“文明殡葬”等活动，城市文明指数稳步提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3.办好民生实事。</w:t>
      </w:r>
      <w:r>
        <w:rPr>
          <w:rFonts w:hint="eastAsia" w:ascii="Times New Roman" w:hAnsi="Times New Roman" w:eastAsia="仿宋_GB2312" w:cs="仿宋_GB2312"/>
          <w:kern w:val="0"/>
          <w:sz w:val="32"/>
          <w:szCs w:val="32"/>
          <w:lang w:val="en-US" w:eastAsia="zh-CN" w:bidi="ar-SA"/>
        </w:rPr>
        <w:t>牢固树立“民生无小事”理念，聚焦群众所需，扎实开展社会救助、医疗救助等工作，2023度新增低保60户87人，提标16人，共计41263元；发放临时救助35人，共计43500元。牢固树立“抓保障就是保民生”理念，全力推动2024年度城乡居民医疗保险征缴工作，截至10月30日，累计参保人员13275名，完成比例47.17%。牢固树立“解民需就是暖民心”的理念，了解群众需求，成立工作专班，切实澄清底数，深入推进逸馨花园保障房项目办理不动产登记证工作，截至9月19日，已完成或正在办理548户，尚有未办证280户，完成度66%。</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4.深化社区治理。</w:t>
      </w:r>
      <w:r>
        <w:rPr>
          <w:rFonts w:hint="eastAsia" w:ascii="Times New Roman" w:hAnsi="Times New Roman" w:eastAsia="仿宋_GB2312" w:cs="仿宋_GB2312"/>
          <w:kern w:val="0"/>
          <w:sz w:val="32"/>
          <w:szCs w:val="32"/>
          <w:lang w:val="en-US" w:eastAsia="zh-CN" w:bidi="ar-SA"/>
        </w:rPr>
        <w:t>进一步擦亮“党建+网格化微治理”名片，网格员“一日双巡”，开展上门走访服务22651次，77个网格共更新数据36902条。全力推动“湘易办”APP注册，总推广下载量达37755人次，完成注册15525人次，完成率走在全区前列。积极推进社区建设，鹗西路社区成功申报社区办公用房建设，目前正在筹资中；良万社区成功创建市级“同心社区”；发挥政协委员服务界别群众桥梁纽带作用，在万家坡社区成功创建“岳阳市示范性委员工作室”，万家坡社区被评为2022年度“市级最美志愿服务社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四、坚持不懈压责任、筑防线，社会大局平安稳定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1.禁违拆违推进有力。</w:t>
      </w:r>
      <w:r>
        <w:rPr>
          <w:rFonts w:hint="eastAsia" w:ascii="Times New Roman" w:hAnsi="Times New Roman" w:eastAsia="仿宋_GB2312" w:cs="仿宋_GB2312"/>
          <w:kern w:val="0"/>
          <w:sz w:val="32"/>
          <w:szCs w:val="32"/>
          <w:lang w:val="en-US" w:eastAsia="zh-CN" w:bidi="ar-SA"/>
        </w:rPr>
        <w:t>严格控制增量，增强技防手段，构筑禁违“天眼”，利用无人机在辖区内实施常态化监控，对重点地域实施随机监控，做到防控无死角。截至目前共拆除新增违法建设15处，面积545平方米。坚决减少存量，制定存量违法建设分类分批拆除计划，强力推进“三年拆除计划”，共拆除存量违法建设72处，面积6518平方米，于8月份圆满完成2023年度拆存任务。强力开展房屋楼顶“扫雷”行动，共拆除违法建设108处，面积10106平方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2.安全生产紧抓不松。</w:t>
      </w:r>
      <w:r>
        <w:rPr>
          <w:rFonts w:hint="eastAsia" w:ascii="Times New Roman" w:hAnsi="Times New Roman" w:eastAsia="仿宋_GB2312" w:cs="仿宋_GB2312"/>
          <w:kern w:val="0"/>
          <w:sz w:val="32"/>
          <w:szCs w:val="32"/>
          <w:lang w:val="en-US" w:eastAsia="zh-CN" w:bidi="ar-SA"/>
        </w:rPr>
        <w:t>牢固树立安全生产底线，定期摸排辖区内安全隐患，开展安全检查300余次，录入执法系统检查180余条。强化自建房安全隐患摸排，共摸排自建房1729栋，其中改扩建810栋，用作经营246栋，存在安全隐患房屋共31栋，整改完成20栋。建立防汛物资储存点12个，开展消防安全、防震减灾等3次，进一步提升应急处突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3.综治维稳持续深入。</w:t>
      </w:r>
      <w:r>
        <w:rPr>
          <w:rFonts w:hint="eastAsia" w:ascii="Times New Roman" w:hAnsi="Times New Roman" w:eastAsia="仿宋_GB2312" w:cs="仿宋_GB2312"/>
          <w:kern w:val="0"/>
          <w:sz w:val="32"/>
          <w:szCs w:val="32"/>
          <w:lang w:val="en-US" w:eastAsia="zh-CN" w:bidi="ar-SA"/>
        </w:rPr>
        <w:t>广泛开展平安金鹗宣传，在面上形成出门可见、视觉覆盖的浓厚氛围。定期开展扫楼行动，4月份对财富管理公司、养老服务等重点领域开展大规模涉非涉稳风险专项排查，10月份取缔万家坡社区一传销窝点。 强力推动利剑护蕾专项行动，责令清退金龙玉凤KTV两名童工，关停处理铁臂熊酒店，上报处置见景酒店未成年人未登记入住等情况。严格落实维稳工作责任制，打造和谐稳定社会环境。截至十月，共接待受理网信平台来访98次，均已成功办结；接待来访群众43批次，化解一批信访矛盾。特别是成功化解恒大南湖半岛业主与业委会的矛盾纠纷；有力推动恒大南湖半岛产权调换房屋被查封冻结信访问题，目前，楼区法院将涉及到29户产权调换房屋的有关执行案件已移送至望城区人民法院。</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(二）部门履职效益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经济效益：坚持稳增长、促提升，做强街域经济。2023年以来，街道在区委区政府的领导下，扎实做好稳经济、促发展、防风险、保安全等各项工作，各项经济指标均在全区排名前列，始终围绕中心大局、发挥区位特点、坚持统筹推进，以建设更高标准的宜居街道为目标开展各项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1、税收完成情况：2023年全年共计完成税收入库数10533万元；规上企业18家，营收0.89亿，增长35.6%。</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老旧小区改造建设项目：全年统筹推进41个小区，共4535户，259栋旧房改造。全力推动市中院审判庭建设项目，采取“白+黑、5+2”的工作模式，完成了前期入户摸底调查、面积测绘、房产主体评估、部分住户分户评估和签约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3、固定资产投资情况：街道完成固定资产投资126384万元，任务完成度52.7%，同比去年增幅199.4%。排全区第五。</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4、单位固定资产情况：截止2023年12月31日本单位固定资产总额843.12万元，累计固定资产折旧279.02万元，固定资产净值564.10万元。其中土地、房屋及构筑物原值618.64万元；通用设备原值110.95万元；专用设备原值0.71万元；家具、用具、装具及动植物112.82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5、“三公”经费支出情况：2023年度“三公”经费支出决算0万元，其中公务接待费支出决算0万元；因公出国（境）费支出决算0万元；公务用车购置费及运行维护费支出决算0万元。</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_GB2312" w:hAnsi="仿宋_GB2312" w:eastAsia="仿宋_GB2312" w:cs="仿宋_GB2312"/>
          <w:b/>
          <w:bCs/>
          <w:color w:val="000000"/>
          <w:spacing w:val="0"/>
          <w:position w:val="0"/>
          <w:sz w:val="32"/>
          <w:szCs w:val="32"/>
          <w:lang w:val="en-US" w:eastAsia="zh-CN"/>
        </w:rPr>
      </w:pPr>
      <w:r>
        <w:rPr>
          <w:rFonts w:hint="eastAsia" w:ascii="仿宋_GB2312" w:hAnsi="仿宋_GB2312" w:eastAsia="仿宋_GB2312" w:cs="仿宋_GB2312"/>
          <w:b/>
          <w:bCs/>
          <w:color w:val="000000"/>
          <w:spacing w:val="0"/>
          <w:position w:val="0"/>
          <w:sz w:val="32"/>
          <w:szCs w:val="32"/>
          <w:lang w:val="en-US" w:eastAsia="zh-CN"/>
        </w:rPr>
        <w:t>（三）部门整体支出管理情况分析</w:t>
      </w:r>
      <w:r>
        <w:rPr>
          <w:rFonts w:hint="eastAsia" w:ascii="仿宋_GB2312" w:hAnsi="仿宋_GB2312" w:eastAsia="仿宋_GB2312" w:cs="仿宋_GB2312"/>
          <w:b/>
          <w:bCs/>
          <w:color w:val="000000"/>
          <w:spacing w:val="0"/>
          <w:position w:val="0"/>
          <w:sz w:val="32"/>
          <w:szCs w:val="32"/>
          <w:lang w:val="en-US" w:eastAsia="zh-CN"/>
        </w:rPr>
        <w:tab/>
      </w:r>
    </w:p>
    <w:p>
      <w:pPr>
        <w:ind w:firstLine="643"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1.严格预算支出管理，以收定支编制整体预算。</w:t>
      </w:r>
      <w:r>
        <w:rPr>
          <w:rFonts w:hint="eastAsia" w:ascii="Times New Roman" w:hAnsi="Times New Roman" w:eastAsia="仿宋_GB2312" w:cs="仿宋_GB2312"/>
          <w:kern w:val="0"/>
          <w:sz w:val="32"/>
          <w:szCs w:val="32"/>
          <w:lang w:val="en-US" w:eastAsia="zh-CN" w:bidi="ar-SA"/>
        </w:rPr>
        <w:t>人员经费按照配置定额，逐人核定编制，公用经费分大类编制，按定额编制；根据“总量控制、计划管理”的要求从严控制行政经费，压缩公务费开支，资产的配置严格政府采购，按照项目资金的规定使用财政资金，保障部门整体支出的规范化、制度化。</w:t>
      </w:r>
    </w:p>
    <w:p>
      <w:pPr>
        <w:ind w:firstLine="643"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2.严格财务管理。</w:t>
      </w:r>
      <w:r>
        <w:rPr>
          <w:rFonts w:hint="eastAsia" w:ascii="Times New Roman" w:hAnsi="Times New Roman" w:eastAsia="仿宋_GB2312" w:cs="仿宋_GB2312"/>
          <w:kern w:val="0"/>
          <w:sz w:val="32"/>
          <w:szCs w:val="32"/>
          <w:lang w:val="en-US" w:eastAsia="zh-CN" w:bidi="ar-SA"/>
        </w:rPr>
        <w:t>按照国家相关法律法规，制定了机关财务收支、预算管理、资产管理、单位政府采购管理、内部控制等制度，并严格按照制度管理和执行，防范风险，保证财政资金的安全和高效运行。</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七、存在的问题及原因分析</w:t>
      </w:r>
    </w:p>
    <w:p>
      <w:pPr>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本单位在2023年预算绩效管理工作取得了一定的效果，但同时也还存在一些不足。</w:t>
      </w:r>
    </w:p>
    <w:p>
      <w:pPr>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1、单位预算绩效参与度不高，宣传力度不大。主要是因为街道宣传力度不大，个别站所的对预算绩效的认识不够，导致业务知识掌握不全面无法参与绩效管理。</w:t>
      </w:r>
    </w:p>
    <w:p>
      <w:pPr>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2、项目预算绩效管理还有待进一步完善。某些项目因为工作重心的转变，未及时调整绩效目标内容及评价体系，因此导致绩效管理实际操作有难度，工作未落实到位。</w:t>
      </w:r>
    </w:p>
    <w:p>
      <w:pPr>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单位自全面实施预算绩效管理以来，财政预算中的效率和效益还未受到足够重视，对财政资金的使用绩效疏于管理的情况仍然存在。主要原因是单位观念未转变，还未从被动的“要我评价”转到主动的“我要评价”上来，阻碍了预算绩效管理在单位内部的管理。</w:t>
      </w:r>
    </w:p>
    <w:p>
      <w:pPr>
        <w:ind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4、绩效管理责任意识不够，各部门不能清楚财政资金支出所有取得的社会和经济效益，存在“重分配、轻管理；重支出、轻绩效”的思想。单位未将绩效评价考核各站所绩效目标实际完成情况和取得的成效，与各站所年度预算安排挂钩，导致其职能和目标未得到进一步明确。</w:t>
      </w:r>
    </w:p>
    <w:p>
      <w:pPr>
        <w:ind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5、财政资金未最大限度发挥效益，没有达到效益最大化。单位仅对财政资金使用情况进行监控，以监督检查为主，未整合财政资金，优化支出结构。导致无法推动财政资金合理配置，高效使用。  </w:t>
      </w:r>
    </w:p>
    <w:p>
      <w:pPr>
        <w:ind w:firstLine="640" w:firstLineChars="200"/>
        <w:rPr>
          <w:rFonts w:hint="eastAsia" w:ascii="Times New Roman" w:hAnsi="Times New Roman"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八、下一步改进措施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宋体" w:cs="Times New Roman"/>
          <w:kern w:val="0"/>
          <w:sz w:val="24"/>
          <w:szCs w:val="24"/>
          <w:lang w:val="en-US" w:eastAsia="zh-CN" w:bidi="ar"/>
        </w:rPr>
        <w:t xml:space="preserve">   </w:t>
      </w:r>
      <w:r>
        <w:rPr>
          <w:rFonts w:hint="eastAsia" w:ascii="Times New Roman" w:hAnsi="Times New Roman" w:eastAsia="仿宋_GB2312" w:cs="仿宋_GB2312"/>
          <w:kern w:val="0"/>
          <w:sz w:val="32"/>
          <w:szCs w:val="32"/>
          <w:lang w:val="en-US" w:eastAsia="zh-CN" w:bidi="ar-SA"/>
        </w:rPr>
        <w:t xml:space="preserve"> 1.加大宣传力度，强化部门预算绩效管理意识。采取集中学习、培训等方式，加大对各站所预算绩效管理的培训力度，提高预算绩效管理的重要性认识，加强业务知识学习，让预算绩效管理渗透到各项资金中，发挥资金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2.在项目实施过程中，需不断改进和细化绩效目标内容及指标体系，根据工作重心作出相应调整，切实推动绩效目标任务的顺利完成。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640" w:firstLineChars="20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初步树立绩效理念，通过开展绩效评价，我街道全体工作人员必须转变观念，开始重视支出绩效问题，由重资金争取，重过程管理，向重支出责任，重产出和结果转变。形成以提高资金使用绩效为目标、以结果为导向的管理理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4、强化责任意识，通过设定明确可衡量的绩效目标，各部门更清楚地了解财政资金支出所要取得的社会和经济效益，其职能和目标得到进一步明确；通过绩效评价，考核各站所绩效目标实际完成情况和取得的成效，并与年度预算安排挂钩，用财要问效，无效要问责，在一定程度上强化了单位整体和部门的财经纪律约束意识和责任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5、提高财政资金的使用效益，各站所的工作规划和年度工作计划有机结合起来，并进行运行监控，有利于整合财政资金，优化支出结构，减少支出的随意性和盲目性，最大限度地将有限资源配置到效益最佳的部门并发挥最大效益。</w:t>
      </w:r>
    </w:p>
    <w:p>
      <w:pPr>
        <w:widowControl w:val="0"/>
        <w:numPr>
          <w:ilvl w:val="0"/>
          <w:numId w:val="0"/>
        </w:numPr>
        <w:spacing w:before="120" w:after="200" w:line="276" w:lineRule="auto"/>
        <w:jc w:val="both"/>
        <w:rPr>
          <w:rFonts w:hint="default" w:ascii="Arial" w:hAnsi="Arial" w:eastAsia="宋体" w:cs="Times New Roman"/>
          <w:kern w:val="2"/>
          <w:sz w:val="24"/>
          <w:szCs w:val="21"/>
          <w:lang w:val="en-US" w:eastAsia="zh-CN" w:bidi="ar-SA"/>
        </w:rPr>
      </w:pPr>
      <w:r>
        <w:rPr>
          <w:rFonts w:hint="eastAsia" w:ascii="Arial" w:hAnsi="Arial" w:eastAsia="宋体" w:cs="Times New Roman"/>
          <w:kern w:val="2"/>
          <w:sz w:val="24"/>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bCs/>
          <w:color w:val="000000"/>
          <w:spacing w:val="0"/>
          <w:position w:val="0"/>
          <w:sz w:val="32"/>
          <w:szCs w:val="32"/>
          <w:lang w:val="en-US" w:eastAsia="zh-CN"/>
        </w:rPr>
      </w:pPr>
      <w:r>
        <w:rPr>
          <w:rFonts w:hint="eastAsia" w:ascii="黑体" w:hAnsi="黑体" w:eastAsia="黑体" w:cs="黑体"/>
          <w:b/>
          <w:bCs/>
          <w:color w:val="000000"/>
          <w:spacing w:val="0"/>
          <w:position w:val="0"/>
          <w:sz w:val="32"/>
          <w:szCs w:val="32"/>
          <w:lang w:val="en-US" w:eastAsia="zh-CN"/>
        </w:rPr>
        <w:t>九、部门整体支出绩效自评结果拟应用和公开情况</w:t>
      </w:r>
    </w:p>
    <w:p>
      <w:pPr>
        <w:ind w:firstLine="640" w:firstLineChars="200"/>
        <w:jc w:val="left"/>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我单位高度重视此项绩效自评工作，积极落实主体责任，切实加强了组织领导，按照绩效评价相关制度规定，明确了具体责任人，认真开展自评，并撰写了绩效评价报告，确保绩效自评工作顺利实施，并将按照要求进行信息公开，对存在的问题积极整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6、社会保险基金预算支出情况表</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0"/>
          <w:szCs w:val="40"/>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Calibri" w:eastAsia="宋体" w:cs="Times New Roman"/>
        <w:sz w:val="2"/>
      </w:rPr>
    </w:pPr>
    <w:r>
      <w:rPr>
        <w:rFonts w:ascii="Calibri" w:hAnsi="Calibri" w:eastAsia="宋体" w:cs="Times New Roman"/>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7</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7</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2D867"/>
    <w:multiLevelType w:val="singleLevel"/>
    <w:tmpl w:val="98A2D8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2UxOWQxNDk5NzljNzNiMTk5YjkyODk2YzcxNTgifQ=="/>
  </w:docVars>
  <w:rsids>
    <w:rsidRoot w:val="76284CE1"/>
    <w:rsid w:val="000A3765"/>
    <w:rsid w:val="001D7282"/>
    <w:rsid w:val="00337586"/>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6221C"/>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95BF7"/>
    <w:rsid w:val="037B1E0D"/>
    <w:rsid w:val="037E0A06"/>
    <w:rsid w:val="037F229C"/>
    <w:rsid w:val="03911277"/>
    <w:rsid w:val="039A540B"/>
    <w:rsid w:val="03A348BD"/>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C336A"/>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7FE491D"/>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C43BE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25AA8"/>
    <w:rsid w:val="0B943886"/>
    <w:rsid w:val="0B9C3CD1"/>
    <w:rsid w:val="0BAA6B12"/>
    <w:rsid w:val="0BAD3E30"/>
    <w:rsid w:val="0BB324D8"/>
    <w:rsid w:val="0BB672C7"/>
    <w:rsid w:val="0BC07BBF"/>
    <w:rsid w:val="0BC429EF"/>
    <w:rsid w:val="0BCE65D1"/>
    <w:rsid w:val="0BD25918"/>
    <w:rsid w:val="0BD2745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436DA2"/>
    <w:rsid w:val="0C55038F"/>
    <w:rsid w:val="0C6B7DF9"/>
    <w:rsid w:val="0C6E2A56"/>
    <w:rsid w:val="0C7A708D"/>
    <w:rsid w:val="0C8E7AF0"/>
    <w:rsid w:val="0C9D6ABD"/>
    <w:rsid w:val="0CA954B5"/>
    <w:rsid w:val="0CC37237"/>
    <w:rsid w:val="0CCA7495"/>
    <w:rsid w:val="0CD16BA2"/>
    <w:rsid w:val="0CDE4E30"/>
    <w:rsid w:val="0CEC1B65"/>
    <w:rsid w:val="0CEE7B51"/>
    <w:rsid w:val="0CF0652B"/>
    <w:rsid w:val="0CFF7397"/>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4C59DC"/>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47B5C"/>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00EA9"/>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CA037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08A0"/>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550B58"/>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917E41"/>
    <w:rsid w:val="1EB95D76"/>
    <w:rsid w:val="1EC02D79"/>
    <w:rsid w:val="1EC54236"/>
    <w:rsid w:val="1ED464CA"/>
    <w:rsid w:val="1EDA5DF7"/>
    <w:rsid w:val="1EDB3703"/>
    <w:rsid w:val="1EED4A44"/>
    <w:rsid w:val="1EF21DDF"/>
    <w:rsid w:val="1EF57ED7"/>
    <w:rsid w:val="1EFA39EA"/>
    <w:rsid w:val="1F00206F"/>
    <w:rsid w:val="1F0177DA"/>
    <w:rsid w:val="1F031993"/>
    <w:rsid w:val="1F0E0B1A"/>
    <w:rsid w:val="1F10474A"/>
    <w:rsid w:val="1F18467A"/>
    <w:rsid w:val="1F232A42"/>
    <w:rsid w:val="1F2645A8"/>
    <w:rsid w:val="1F2A3ED5"/>
    <w:rsid w:val="1F3E6318"/>
    <w:rsid w:val="1F4B71B8"/>
    <w:rsid w:val="1F4C39A9"/>
    <w:rsid w:val="1F5665AD"/>
    <w:rsid w:val="1F587E94"/>
    <w:rsid w:val="1F62533A"/>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44015"/>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AF12BF"/>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70487"/>
    <w:rsid w:val="22CB0895"/>
    <w:rsid w:val="23033650"/>
    <w:rsid w:val="2310498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3FF584D"/>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2EC3"/>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A0416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DC3CF6"/>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E43832"/>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526700"/>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16592"/>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1669C7"/>
    <w:rsid w:val="34203CE1"/>
    <w:rsid w:val="342425FD"/>
    <w:rsid w:val="34262E92"/>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13DAE"/>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C079F6"/>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954F8A"/>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0FD6"/>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16D0D"/>
    <w:rsid w:val="416A21FA"/>
    <w:rsid w:val="416B09D7"/>
    <w:rsid w:val="416F6A98"/>
    <w:rsid w:val="417D1E08"/>
    <w:rsid w:val="417D5552"/>
    <w:rsid w:val="41874A4B"/>
    <w:rsid w:val="4188208C"/>
    <w:rsid w:val="418B5DBD"/>
    <w:rsid w:val="41951050"/>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AE04C0"/>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2A67"/>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44C02"/>
    <w:rsid w:val="497B341F"/>
    <w:rsid w:val="498F4DFA"/>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6E0A3F"/>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ED50EC"/>
    <w:rsid w:val="4BF90797"/>
    <w:rsid w:val="4BFF725A"/>
    <w:rsid w:val="4C045F2F"/>
    <w:rsid w:val="4C0A534C"/>
    <w:rsid w:val="4C0F01F9"/>
    <w:rsid w:val="4C12544B"/>
    <w:rsid w:val="4C270B31"/>
    <w:rsid w:val="4C2A719A"/>
    <w:rsid w:val="4C3202E6"/>
    <w:rsid w:val="4C3C6AE9"/>
    <w:rsid w:val="4C4023DB"/>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EE855D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82BD0"/>
    <w:rsid w:val="4FBF34BA"/>
    <w:rsid w:val="4FC633C3"/>
    <w:rsid w:val="4FCA2B98"/>
    <w:rsid w:val="4FCB218A"/>
    <w:rsid w:val="4FCE7BAE"/>
    <w:rsid w:val="4FDD7B67"/>
    <w:rsid w:val="4FDF25A5"/>
    <w:rsid w:val="4FE42FCB"/>
    <w:rsid w:val="4FFB4FE1"/>
    <w:rsid w:val="500344EA"/>
    <w:rsid w:val="500B7B4C"/>
    <w:rsid w:val="502C2CA4"/>
    <w:rsid w:val="50355FCF"/>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9E3B74"/>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3A1AEF"/>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7222D"/>
    <w:rsid w:val="525852F2"/>
    <w:rsid w:val="525D267C"/>
    <w:rsid w:val="526921DD"/>
    <w:rsid w:val="52703653"/>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9A4AC7"/>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654C60"/>
    <w:rsid w:val="557B1A25"/>
    <w:rsid w:val="55862A42"/>
    <w:rsid w:val="55990578"/>
    <w:rsid w:val="55A56891"/>
    <w:rsid w:val="55AC66CB"/>
    <w:rsid w:val="55B71F92"/>
    <w:rsid w:val="55C33131"/>
    <w:rsid w:val="55CD41AB"/>
    <w:rsid w:val="55CD7903"/>
    <w:rsid w:val="55DA564E"/>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A16F3"/>
    <w:rsid w:val="57CE5E8C"/>
    <w:rsid w:val="57D214D2"/>
    <w:rsid w:val="57DA1A42"/>
    <w:rsid w:val="57DD425E"/>
    <w:rsid w:val="57EE4784"/>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1B64"/>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51AD3"/>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7641C6"/>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D42A9"/>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146EE"/>
    <w:rsid w:val="64020FD8"/>
    <w:rsid w:val="640B49C1"/>
    <w:rsid w:val="64107D36"/>
    <w:rsid w:val="64156CD8"/>
    <w:rsid w:val="643917C9"/>
    <w:rsid w:val="64413D22"/>
    <w:rsid w:val="64470699"/>
    <w:rsid w:val="644B2C62"/>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AC7860"/>
    <w:rsid w:val="67B07AFB"/>
    <w:rsid w:val="67B26E00"/>
    <w:rsid w:val="67BA3B34"/>
    <w:rsid w:val="67C47F84"/>
    <w:rsid w:val="67CC2C5F"/>
    <w:rsid w:val="67D13DD3"/>
    <w:rsid w:val="67D14CFB"/>
    <w:rsid w:val="67D347A1"/>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0F629A"/>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C18C9"/>
    <w:rsid w:val="6DDA4BA3"/>
    <w:rsid w:val="6E037AD7"/>
    <w:rsid w:val="6E056523"/>
    <w:rsid w:val="6E074EC9"/>
    <w:rsid w:val="6E0F5F0C"/>
    <w:rsid w:val="6E160E52"/>
    <w:rsid w:val="6E2E569B"/>
    <w:rsid w:val="6E4064F1"/>
    <w:rsid w:val="6E494CC8"/>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EC25DB"/>
    <w:rsid w:val="6EF708C6"/>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BD596D"/>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A1E90"/>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33A82"/>
    <w:rsid w:val="72341FD3"/>
    <w:rsid w:val="72364FB6"/>
    <w:rsid w:val="723B04C8"/>
    <w:rsid w:val="724266AF"/>
    <w:rsid w:val="724E6817"/>
    <w:rsid w:val="7250725C"/>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52461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A42F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36D4C"/>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A83501"/>
    <w:rsid w:val="7CB43A8E"/>
    <w:rsid w:val="7CC106AB"/>
    <w:rsid w:val="7CC3033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40DD0"/>
    <w:rsid w:val="7EBB0DC0"/>
    <w:rsid w:val="7EC42E15"/>
    <w:rsid w:val="7EC50C54"/>
    <w:rsid w:val="7ED11A3C"/>
    <w:rsid w:val="7ED91C72"/>
    <w:rsid w:val="7EEB5BB3"/>
    <w:rsid w:val="7EF05AD7"/>
    <w:rsid w:val="7EFA2ADA"/>
    <w:rsid w:val="7EFA36CB"/>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10380</Words>
  <Characters>11335</Characters>
  <Lines>0</Lines>
  <Paragraphs>0</Paragraphs>
  <TotalTime>27</TotalTime>
  <ScaleCrop>false</ScaleCrop>
  <LinksUpToDate>false</LinksUpToDate>
  <CharactersWithSpaces>11745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旋舞</cp:lastModifiedBy>
  <cp:lastPrinted>2024-05-10T02:46:00Z</cp:lastPrinted>
  <dcterms:modified xsi:type="dcterms:W3CDTF">2024-06-17T02:49:17Z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