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板桥福邸小区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12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 xml:space="preserve"> 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板桥福邸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岳阳楼区花板桥社区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岳阳和顺达物业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廖泽峰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13575038414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胡艳娥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胡艳娥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13786021589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电梯维修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12048.48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72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94349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玖万肆仟叁佰肆拾玖元整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94349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玖万肆仟叁佰肆拾玖元整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91594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玖万壹仟伍佰玖拾肆元整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板桥福邸小区业委会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45482FB7"/>
    <w:rsid w:val="4A341883"/>
    <w:rsid w:val="5E9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2024-02-21T09:04:57Z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E60F1289CD3047369D99A12FDBF4AAFD_13</vt:lpwstr>
  </property>
</Properties>
</file>