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bookmarkStart w:id="0" w:name="_GoBack"/>
      <w:r>
        <w:rPr>
          <w:rFonts w:hint="eastAsia" w:ascii="黑体" w:hAnsi="黑体" w:eastAsia="黑体"/>
          <w:sz w:val="60"/>
          <w:szCs w:val="60"/>
          <w:lang w:val="en-US" w:eastAsia="zh-CN"/>
        </w:rPr>
        <w:t>上东一城小区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bookmarkEnd w:id="0"/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11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23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上东一城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岳阳楼区冷水铺路8号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岳阳恒盛物业管理有限公司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陈扬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18073006886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万元求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万元求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17773098001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大厅吊顶及楼道翻新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51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5716.93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39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4283.41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137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28770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上东一城业委会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30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24E63CAF"/>
    <w:rsid w:val="31C5245C"/>
    <w:rsid w:val="45482FB7"/>
    <w:rsid w:val="4A341883"/>
    <w:rsid w:val="68B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7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2024-02-22T02:46:31Z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D6D27D17789B45E09BA4FB0E6938567B_13</vt:lpwstr>
  </property>
</Properties>
</file>