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default" w:ascii="Times New Roman" w:hAnsi="Times New Roman" w:eastAsia="仿宋" w:cs="Times New Roman"/>
          <w:b/>
          <w:bCs/>
          <w:sz w:val="44"/>
          <w:szCs w:val="44"/>
        </w:rPr>
      </w:pPr>
    </w:p>
    <w:p>
      <w:pPr>
        <w:spacing w:line="480" w:lineRule="auto"/>
        <w:jc w:val="center"/>
        <w:rPr>
          <w:rFonts w:hint="default" w:ascii="Times New Roman" w:hAnsi="Times New Roman" w:eastAsia="仿宋" w:cs="Times New Roman"/>
          <w:b/>
          <w:bCs/>
          <w:sz w:val="44"/>
          <w:szCs w:val="44"/>
        </w:rPr>
      </w:pPr>
    </w:p>
    <w:p>
      <w:pPr>
        <w:spacing w:line="480" w:lineRule="auto"/>
        <w:jc w:val="center"/>
        <w:rPr>
          <w:rFonts w:hint="default" w:ascii="Times New Roman" w:hAnsi="Times New Roman" w:eastAsia="仿宋" w:cs="Times New Roman"/>
          <w:b/>
          <w:bCs/>
          <w:sz w:val="44"/>
          <w:szCs w:val="44"/>
        </w:rPr>
      </w:pPr>
    </w:p>
    <w:p>
      <w:pPr>
        <w:spacing w:line="480" w:lineRule="auto"/>
        <w:jc w:val="center"/>
        <w:rPr>
          <w:rFonts w:hint="default" w:ascii="Times New Roman" w:hAnsi="Times New Roman" w:eastAsia="仿宋" w:cs="Times New Roman"/>
          <w:b/>
          <w:bCs/>
          <w:sz w:val="44"/>
          <w:szCs w:val="44"/>
        </w:rPr>
      </w:pPr>
    </w:p>
    <w:p>
      <w:pPr>
        <w:spacing w:line="600" w:lineRule="exact"/>
        <w:ind w:firstLine="0" w:firstLineChars="0"/>
        <w:jc w:val="center"/>
        <w:rPr>
          <w:rFonts w:hint="default" w:ascii="Times New Roman" w:hAnsi="Times New Roman" w:eastAsia="方正小标宋_GBK" w:cs="Times New Roman"/>
          <w:sz w:val="36"/>
          <w:szCs w:val="36"/>
          <w:lang w:val="en-US" w:eastAsia="zh-CN"/>
        </w:rPr>
      </w:pPr>
      <w:bookmarkStart w:id="0" w:name="_Toc5248"/>
      <w:bookmarkStart w:id="1" w:name="_Toc4979"/>
      <w:r>
        <w:rPr>
          <w:rFonts w:hint="eastAsia" w:ascii="Times New Roman" w:hAnsi="Times New Roman" w:eastAsia="方正小标宋_GBK" w:cs="Times New Roman"/>
          <w:sz w:val="36"/>
          <w:szCs w:val="36"/>
          <w:lang w:val="en-US" w:eastAsia="zh-CN"/>
        </w:rPr>
        <w:t xml:space="preserve"> </w:t>
      </w:r>
      <w:r>
        <w:rPr>
          <w:rFonts w:hint="default" w:ascii="Times New Roman" w:hAnsi="Times New Roman" w:eastAsia="方正小标宋_GBK" w:cs="Times New Roman"/>
          <w:sz w:val="36"/>
          <w:szCs w:val="36"/>
          <w:lang w:val="en-US" w:eastAsia="zh-CN"/>
        </w:rPr>
        <w:t>岳阳楼区2022年城乡居民基本养老保险基金</w:t>
      </w:r>
      <w:bookmarkEnd w:id="0"/>
      <w:bookmarkEnd w:id="1"/>
    </w:p>
    <w:p>
      <w:pPr>
        <w:spacing w:line="600" w:lineRule="exact"/>
        <w:ind w:firstLine="0" w:firstLineChars="0"/>
        <w:jc w:val="center"/>
        <w:rPr>
          <w:rFonts w:hint="default" w:ascii="Times New Roman" w:hAnsi="Times New Roman" w:eastAsia="方正小标宋_GBK" w:cs="Times New Roman"/>
          <w:sz w:val="36"/>
          <w:szCs w:val="36"/>
          <w:lang w:val="en-US" w:eastAsia="zh-CN"/>
        </w:rPr>
      </w:pPr>
      <w:bookmarkStart w:id="2" w:name="_Toc32002"/>
      <w:bookmarkStart w:id="3" w:name="_Toc5704"/>
      <w:r>
        <w:rPr>
          <w:rFonts w:hint="eastAsia" w:ascii="Times New Roman" w:hAnsi="Times New Roman" w:eastAsia="方正小标宋_GBK" w:cs="Times New Roman"/>
          <w:sz w:val="36"/>
          <w:szCs w:val="36"/>
          <w:lang w:val="en-US" w:eastAsia="zh-CN"/>
        </w:rPr>
        <w:t xml:space="preserve">  </w:t>
      </w:r>
      <w:r>
        <w:rPr>
          <w:rFonts w:hint="default" w:ascii="Times New Roman" w:hAnsi="Times New Roman" w:eastAsia="方正小标宋_GBK" w:cs="Times New Roman"/>
          <w:sz w:val="36"/>
          <w:szCs w:val="36"/>
          <w:lang w:val="en-US" w:eastAsia="zh-CN"/>
        </w:rPr>
        <w:t>绩效评价报告</w:t>
      </w:r>
      <w:bookmarkEnd w:id="2"/>
      <w:bookmarkEnd w:id="3"/>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outlineLvl w:val="0"/>
        <w:rPr>
          <w:rFonts w:hint="default" w:ascii="Times New Roman" w:hAnsi="Times New Roman" w:eastAsia="仿宋" w:cs="Times New Roman"/>
          <w:b/>
          <w:bCs/>
          <w:color w:val="auto"/>
          <w:sz w:val="36"/>
          <w:szCs w:val="36"/>
          <w:lang w:val="en-US" w:eastAsia="zh-CN"/>
        </w:rPr>
      </w:pPr>
      <w:r>
        <w:rPr>
          <w:rFonts w:hint="default" w:ascii="Times New Roman" w:hAnsi="Times New Roman" w:eastAsia="仿宋" w:cs="Times New Roman"/>
          <w:b/>
          <w:bCs/>
          <w:color w:val="auto"/>
          <w:sz w:val="36"/>
          <w:szCs w:val="36"/>
          <w:lang w:val="en-US" w:eastAsia="zh-CN"/>
        </w:rPr>
        <w:t>委托单位：岳阳楼区财政局</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outlineLvl w:val="0"/>
        <w:rPr>
          <w:rFonts w:hint="default" w:ascii="Times New Roman" w:hAnsi="Times New Roman" w:eastAsia="仿宋" w:cs="Times New Roman"/>
          <w:b/>
          <w:bCs/>
          <w:color w:val="auto"/>
          <w:sz w:val="36"/>
          <w:szCs w:val="36"/>
          <w:lang w:val="en-US" w:eastAsia="zh-CN"/>
        </w:rPr>
      </w:pPr>
      <w:r>
        <w:rPr>
          <w:rFonts w:hint="default" w:ascii="Times New Roman" w:hAnsi="Times New Roman" w:eastAsia="仿宋" w:cs="Times New Roman"/>
          <w:b/>
          <w:bCs/>
          <w:color w:val="auto"/>
          <w:sz w:val="36"/>
          <w:szCs w:val="36"/>
          <w:lang w:val="en-US" w:eastAsia="zh-CN"/>
        </w:rPr>
        <w:t>被评单位：岳阳楼区人力资源和社会保障局</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outlineLvl w:val="0"/>
        <w:rPr>
          <w:rFonts w:hint="default" w:ascii="Times New Roman" w:hAnsi="Times New Roman" w:eastAsia="仿宋" w:cs="Times New Roman"/>
          <w:b w:val="0"/>
          <w:bCs w:val="0"/>
          <w:sz w:val="36"/>
          <w:szCs w:val="36"/>
        </w:rPr>
      </w:pPr>
      <w:r>
        <w:rPr>
          <w:rFonts w:hint="default" w:ascii="Times New Roman" w:hAnsi="Times New Roman" w:eastAsia="仿宋" w:cs="Times New Roman"/>
          <w:b/>
          <w:bCs/>
          <w:color w:val="auto"/>
          <w:sz w:val="36"/>
          <w:szCs w:val="36"/>
          <w:lang w:val="en-US" w:eastAsia="zh-CN"/>
        </w:rPr>
        <w:t>评价单位：中政智信（北京）经济咨询有限公司</w:t>
      </w:r>
    </w:p>
    <w:p>
      <w:pPr>
        <w:spacing w:line="360" w:lineRule="auto"/>
        <w:ind w:left="630" w:leftChars="300"/>
        <w:rPr>
          <w:rFonts w:hint="default" w:ascii="Times New Roman" w:hAnsi="Times New Roman" w:eastAsia="仿宋" w:cs="Times New Roman"/>
          <w:b/>
          <w:bCs/>
          <w:sz w:val="36"/>
          <w:szCs w:val="36"/>
        </w:rPr>
      </w:pPr>
    </w:p>
    <w:p>
      <w:pPr>
        <w:spacing w:line="360" w:lineRule="auto"/>
        <w:ind w:left="630" w:leftChars="300"/>
        <w:rPr>
          <w:rFonts w:hint="default" w:ascii="Times New Roman" w:hAnsi="Times New Roman" w:eastAsia="仿宋" w:cs="Times New Roman"/>
          <w:b/>
          <w:bCs/>
          <w:sz w:val="36"/>
          <w:szCs w:val="36"/>
        </w:rPr>
      </w:pPr>
    </w:p>
    <w:p>
      <w:pPr>
        <w:spacing w:line="360" w:lineRule="auto"/>
        <w:ind w:left="630" w:leftChars="300"/>
        <w:jc w:val="center"/>
        <w:rPr>
          <w:rFonts w:hint="default" w:ascii="Times New Roman" w:hAnsi="Times New Roman" w:eastAsia="仿宋" w:cs="Times New Roman"/>
          <w:b w:val="0"/>
          <w:bCs w:val="0"/>
          <w:sz w:val="36"/>
          <w:szCs w:val="36"/>
        </w:rPr>
      </w:pPr>
      <w:r>
        <w:rPr>
          <w:rFonts w:hint="default" w:ascii="Times New Roman" w:hAnsi="Times New Roman" w:eastAsia="仿宋" w:cs="Times New Roman"/>
          <w:b w:val="0"/>
          <w:bCs w:val="0"/>
          <w:sz w:val="32"/>
          <w:szCs w:val="32"/>
        </w:rPr>
        <w:t>2023年</w:t>
      </w:r>
      <w:r>
        <w:rPr>
          <w:rFonts w:hint="default" w:ascii="Times New Roman" w:hAnsi="Times New Roman" w:eastAsia="仿宋" w:cs="Times New Roman"/>
          <w:b w:val="0"/>
          <w:bCs w:val="0"/>
          <w:sz w:val="32"/>
          <w:szCs w:val="32"/>
          <w:lang w:val="en-US" w:eastAsia="zh-CN"/>
        </w:rPr>
        <w:t>10</w:t>
      </w:r>
      <w:r>
        <w:rPr>
          <w:rFonts w:hint="default" w:ascii="Times New Roman" w:hAnsi="Times New Roman" w:eastAsia="仿宋" w:cs="Times New Roman"/>
          <w:b w:val="0"/>
          <w:bCs w:val="0"/>
          <w:sz w:val="32"/>
          <w:szCs w:val="32"/>
        </w:rPr>
        <w:t>月</w:t>
      </w:r>
    </w:p>
    <w:p>
      <w:pPr>
        <w:jc w:val="center"/>
        <w:rPr>
          <w:rFonts w:hint="default" w:ascii="Times New Roman" w:hAnsi="Times New Roman" w:eastAsia="仿宋" w:cs="Times New Roman"/>
          <w:kern w:val="2"/>
          <w:sz w:val="21"/>
          <w:szCs w:val="24"/>
          <w:lang w:val="en-US" w:eastAsia="zh-CN" w:bidi="ar-SA"/>
        </w:rPr>
      </w:pPr>
    </w:p>
    <w:p>
      <w:pPr>
        <w:jc w:val="center"/>
        <w:rPr>
          <w:rFonts w:hint="default" w:ascii="Times New Roman" w:hAnsi="Times New Roman" w:eastAsia="仿宋" w:cs="Times New Roman"/>
          <w:kern w:val="2"/>
          <w:sz w:val="21"/>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4"/>
        <w:tblW w:w="9330" w:type="dxa"/>
        <w:jc w:val="center"/>
        <w:tblLayout w:type="fixed"/>
        <w:tblCellMar>
          <w:top w:w="0" w:type="dxa"/>
          <w:left w:w="108" w:type="dxa"/>
          <w:bottom w:w="0" w:type="dxa"/>
          <w:right w:w="108" w:type="dxa"/>
        </w:tblCellMar>
      </w:tblPr>
      <w:tblGrid>
        <w:gridCol w:w="1980"/>
        <w:gridCol w:w="2303"/>
        <w:gridCol w:w="1607"/>
        <w:gridCol w:w="1213"/>
        <w:gridCol w:w="1187"/>
        <w:gridCol w:w="1040"/>
      </w:tblGrid>
      <w:tr>
        <w:tblPrEx>
          <w:tblCellMar>
            <w:top w:w="0" w:type="dxa"/>
            <w:left w:w="108" w:type="dxa"/>
            <w:bottom w:w="0" w:type="dxa"/>
            <w:right w:w="108" w:type="dxa"/>
          </w:tblCellMar>
        </w:tblPrEx>
        <w:trPr>
          <w:trHeight w:val="48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outlineLvl w:val="0"/>
              <w:rPr>
                <w:rFonts w:hint="default" w:ascii="黑体" w:hAnsi="宋体" w:eastAsia="黑体" w:cs="黑体"/>
                <w:color w:val="auto"/>
                <w:sz w:val="36"/>
                <w:szCs w:val="36"/>
              </w:rPr>
            </w:pPr>
            <w:bookmarkStart w:id="4" w:name="_Toc28293"/>
            <w:bookmarkStart w:id="5" w:name="_Toc25286"/>
            <w:bookmarkStart w:id="6" w:name="_Toc17653"/>
            <w:bookmarkStart w:id="7" w:name="_Toc29551"/>
            <w:bookmarkStart w:id="8" w:name="_Toc11867"/>
            <w:bookmarkStart w:id="9" w:name="_Toc7874"/>
            <w:bookmarkStart w:id="10" w:name="_Toc9907"/>
            <w:r>
              <w:rPr>
                <w:rFonts w:hint="eastAsia" w:ascii="黑体" w:hAnsi="宋体" w:eastAsia="黑体" w:cs="黑体"/>
                <w:color w:val="auto"/>
                <w:kern w:val="0"/>
                <w:sz w:val="36"/>
                <w:szCs w:val="36"/>
              </w:rPr>
              <w:t>一、项目概况</w:t>
            </w:r>
            <w:bookmarkEnd w:id="4"/>
            <w:bookmarkEnd w:id="5"/>
            <w:bookmarkEnd w:id="6"/>
            <w:bookmarkEnd w:id="7"/>
            <w:bookmarkEnd w:id="8"/>
            <w:bookmarkEnd w:id="9"/>
            <w:bookmarkEnd w:id="10"/>
          </w:p>
        </w:tc>
      </w:tr>
      <w:tr>
        <w:tblPrEx>
          <w:tblCellMar>
            <w:top w:w="0" w:type="dxa"/>
            <w:left w:w="108" w:type="dxa"/>
            <w:bottom w:w="0" w:type="dxa"/>
            <w:right w:w="108" w:type="dxa"/>
          </w:tblCellMar>
        </w:tblPrEx>
        <w:trPr>
          <w:trHeight w:val="580" w:hRule="atLeast"/>
          <w:jc w:val="center"/>
        </w:trPr>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项目</w:t>
            </w:r>
            <w:r>
              <w:rPr>
                <w:rFonts w:hint="eastAsia" w:ascii="仿宋" w:hAnsi="仿宋" w:eastAsia="仿宋" w:cs="仿宋"/>
                <w:color w:val="auto"/>
                <w:kern w:val="0"/>
                <w:sz w:val="24"/>
                <w:szCs w:val="24"/>
              </w:rPr>
              <w:t>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业务</w:t>
            </w:r>
            <w:r>
              <w:rPr>
                <w:rFonts w:hint="eastAsia" w:ascii="仿宋" w:hAnsi="仿宋" w:eastAsia="仿宋" w:cs="仿宋"/>
                <w:color w:val="auto"/>
                <w:kern w:val="0"/>
                <w:sz w:val="24"/>
                <w:szCs w:val="24"/>
              </w:rPr>
              <w:t>负责人</w:t>
            </w:r>
          </w:p>
        </w:tc>
        <w:tc>
          <w:tcPr>
            <w:tcW w:w="3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default" w:ascii="Times New Roman" w:hAnsi="Times New Roman" w:eastAsia="宋体" w:cs="Times New Roman"/>
                <w:kern w:val="2"/>
                <w:sz w:val="21"/>
                <w:szCs w:val="24"/>
                <w:highlight w:val="none"/>
                <w:lang w:val="en-US" w:eastAsia="zh-CN" w:bidi="ar-SA"/>
              </w:rPr>
            </w:pPr>
            <w:r>
              <w:rPr>
                <w:rFonts w:hint="default" w:ascii="仿宋" w:hAnsi="仿宋" w:eastAsia="仿宋" w:cs="仿宋"/>
                <w:color w:val="auto"/>
                <w:sz w:val="24"/>
                <w:szCs w:val="24"/>
                <w:highlight w:val="none"/>
                <w:lang w:val="en-US" w:eastAsia="zh-CN"/>
              </w:rPr>
              <w:t>唐莉</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联系电话</w:t>
            </w:r>
          </w:p>
        </w:tc>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13617303355 </w:t>
            </w:r>
          </w:p>
        </w:tc>
      </w:tr>
      <w:tr>
        <w:tblPrEx>
          <w:tblCellMar>
            <w:top w:w="0" w:type="dxa"/>
            <w:left w:w="108" w:type="dxa"/>
            <w:bottom w:w="0" w:type="dxa"/>
            <w:right w:w="108" w:type="dxa"/>
          </w:tblCellMar>
        </w:tblPrEx>
        <w:trPr>
          <w:trHeight w:val="6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单位地址</w:t>
            </w:r>
          </w:p>
        </w:tc>
        <w:tc>
          <w:tcPr>
            <w:tcW w:w="3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center"/>
              <w:rPr>
                <w:rFonts w:hint="default" w:ascii="仿宋" w:hAnsi="仿宋" w:eastAsia="仿宋" w:cs="仿宋"/>
                <w:color w:val="auto"/>
                <w:sz w:val="24"/>
                <w:szCs w:val="24"/>
                <w:highlight w:val="yellow"/>
                <w:lang w:val="en-US" w:eastAsia="zh-CN"/>
              </w:rPr>
            </w:pPr>
            <w:r>
              <w:rPr>
                <w:rFonts w:hint="default" w:ascii="仿宋" w:hAnsi="仿宋" w:eastAsia="仿宋" w:cs="仿宋"/>
                <w:color w:val="auto"/>
                <w:sz w:val="24"/>
                <w:szCs w:val="24"/>
                <w:highlight w:val="none"/>
                <w:lang w:val="en-US" w:eastAsia="zh-CN"/>
              </w:rPr>
              <w:fldChar w:fldCharType="begin"/>
            </w:r>
            <w:r>
              <w:rPr>
                <w:rFonts w:hint="default" w:ascii="仿宋" w:hAnsi="仿宋" w:eastAsia="仿宋" w:cs="仿宋"/>
                <w:color w:val="auto"/>
                <w:sz w:val="24"/>
                <w:szCs w:val="24"/>
                <w:highlight w:val="none"/>
                <w:lang w:val="en-US" w:eastAsia="zh-CN"/>
              </w:rPr>
              <w:instrText xml:space="preserve"> HYPERLINK "https://cn.bing.com/maps?&amp;mepi=127~~Unknown~Address_Link&amp;ty=18&amp;q=%E5%B2%B3%E9%98%B3%E5%B8%82%E5%9F%8E%E5%B8%82%E7%BB%BF%E5%8C%96%E7%AE%A1%E7%90%86%E4%B8%AD%E5%BF%83&amp;ss=ypid.YN4067x5079307&amp;ppois=29.365581512451172_113.11030578613281_%E5%B2%B3%E9%98%B3%E5%B8%82%E5%9F%8E%E5%B8%82%E7%BB%BF%E5%8C%96%E7%AE%A1%E7%90%86%E4%B8%AD%E5%BF%83_YN4067x5079307~&amp;cp=nwtv3gtds85m&amp;v=2&amp;sV=1" \t "https://cn.bing.com/_blank" </w:instrText>
            </w:r>
            <w:r>
              <w:rPr>
                <w:rFonts w:hint="default" w:ascii="仿宋" w:hAnsi="仿宋" w:eastAsia="仿宋" w:cs="仿宋"/>
                <w:color w:val="auto"/>
                <w:sz w:val="24"/>
                <w:szCs w:val="24"/>
                <w:highlight w:val="none"/>
                <w:lang w:val="en-US" w:eastAsia="zh-CN"/>
              </w:rPr>
              <w:fldChar w:fldCharType="separate"/>
            </w:r>
            <w:r>
              <w:rPr>
                <w:rFonts w:hint="default" w:ascii="仿宋" w:hAnsi="仿宋" w:eastAsia="仿宋" w:cs="仿宋"/>
                <w:color w:val="auto"/>
                <w:sz w:val="24"/>
                <w:szCs w:val="24"/>
                <w:highlight w:val="none"/>
                <w:lang w:val="en-US" w:eastAsia="zh-CN"/>
              </w:rPr>
              <w:t>湖南省岳阳市</w:t>
            </w:r>
            <w:r>
              <w:rPr>
                <w:rFonts w:hint="eastAsia" w:ascii="仿宋" w:hAnsi="仿宋" w:eastAsia="仿宋" w:cs="仿宋"/>
                <w:color w:val="auto"/>
                <w:sz w:val="24"/>
                <w:szCs w:val="24"/>
                <w:highlight w:val="none"/>
                <w:lang w:val="en-US" w:eastAsia="zh-CN"/>
              </w:rPr>
              <w:t>岳阳</w:t>
            </w:r>
            <w:r>
              <w:rPr>
                <w:rFonts w:hint="default"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楼区邕园路15号</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邮政编码</w:t>
            </w:r>
          </w:p>
        </w:tc>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414000</w:t>
            </w:r>
          </w:p>
        </w:tc>
      </w:tr>
      <w:tr>
        <w:tblPrEx>
          <w:tblCellMar>
            <w:top w:w="0" w:type="dxa"/>
            <w:left w:w="108" w:type="dxa"/>
            <w:bottom w:w="0" w:type="dxa"/>
            <w:right w:w="108" w:type="dxa"/>
          </w:tblCellMar>
        </w:tblPrEx>
        <w:trPr>
          <w:trHeight w:val="108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项目类型</w:t>
            </w:r>
          </w:p>
        </w:tc>
        <w:tc>
          <w:tcPr>
            <w:tcW w:w="7350"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default" w:ascii="仿宋" w:hAnsi="仿宋" w:eastAsia="仿宋" w:cs="仿宋"/>
                <w:color w:val="auto"/>
                <w:kern w:val="0"/>
                <w:sz w:val="32"/>
                <w:szCs w:val="32"/>
              </w:rPr>
            </w:pPr>
            <w:r>
              <w:rPr>
                <w:rFonts w:hint="eastAsia" w:ascii="仿宋" w:hAnsi="仿宋" w:eastAsia="仿宋" w:cs="仿宋"/>
                <w:color w:val="auto"/>
                <w:kern w:val="0"/>
                <w:sz w:val="24"/>
                <w:szCs w:val="24"/>
              </w:rPr>
              <w:t>公益性和公共基础设施建设</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4"/>
                <w:szCs w:val="24"/>
              </w:rPr>
              <w:t xml:space="preserve"> 保护和改善生态环境</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32"/>
                <w:szCs w:val="32"/>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促进欠发达地区经济和社会发展</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科技进步和高新技术产业化</w:t>
            </w:r>
            <w:r>
              <w:rPr>
                <w:rFonts w:hint="eastAsia" w:ascii="仿宋" w:hAnsi="仿宋" w:eastAsia="仿宋" w:cs="仿宋"/>
                <w:color w:val="auto"/>
                <w:kern w:val="0"/>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其他</w:t>
            </w:r>
            <w:r>
              <w:rPr>
                <w:rFonts w:hint="eastAsia" w:ascii="仿宋" w:hAnsi="仿宋" w:eastAsia="仿宋" w:cs="仿宋"/>
                <w:color w:val="auto"/>
                <w:kern w:val="0"/>
                <w:sz w:val="24"/>
                <w:szCs w:val="24"/>
                <w:lang w:eastAsia="zh-CN"/>
              </w:rPr>
              <w:t>☑</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项目支出</w:t>
            </w:r>
          </w:p>
        </w:tc>
        <w:tc>
          <w:tcPr>
            <w:tcW w:w="73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lang w:val="en-US" w:eastAsia="zh-CN"/>
              </w:rPr>
              <w:t>养老保险基金</w:t>
            </w:r>
            <w:r>
              <w:rPr>
                <w:rFonts w:hint="default" w:ascii="仿宋" w:hAnsi="仿宋" w:eastAsia="仿宋" w:cs="仿宋"/>
                <w:color w:val="auto"/>
                <w:kern w:val="0"/>
                <w:sz w:val="24"/>
                <w:szCs w:val="24"/>
                <w:lang w:val="en-US" w:eastAsia="zh-CN"/>
              </w:rPr>
              <w:t>决算支出为2,349.17万元</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项目起止时间</w:t>
            </w:r>
          </w:p>
        </w:tc>
        <w:tc>
          <w:tcPr>
            <w:tcW w:w="73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202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月-2022年</w:t>
            </w:r>
            <w:r>
              <w:rPr>
                <w:rFonts w:hint="eastAsia" w:ascii="仿宋" w:hAnsi="仿宋" w:eastAsia="仿宋" w:cs="仿宋"/>
                <w:color w:val="auto"/>
                <w:kern w:val="0"/>
                <w:sz w:val="24"/>
                <w:szCs w:val="24"/>
                <w:lang w:val="en-US" w:eastAsia="zh-CN"/>
              </w:rPr>
              <w:t>12</w:t>
            </w:r>
            <w:r>
              <w:rPr>
                <w:rFonts w:hint="eastAsia" w:ascii="仿宋" w:hAnsi="仿宋" w:eastAsia="仿宋" w:cs="仿宋"/>
                <w:color w:val="auto"/>
                <w:kern w:val="0"/>
                <w:sz w:val="24"/>
                <w:szCs w:val="24"/>
              </w:rPr>
              <w:t>月</w:t>
            </w:r>
          </w:p>
        </w:tc>
      </w:tr>
      <w:tr>
        <w:tblPrEx>
          <w:tblCellMar>
            <w:top w:w="0" w:type="dxa"/>
            <w:left w:w="108" w:type="dxa"/>
            <w:bottom w:w="0" w:type="dxa"/>
            <w:right w:w="108" w:type="dxa"/>
          </w:tblCellMar>
        </w:tblPrEx>
        <w:trPr>
          <w:trHeight w:val="68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项目总投入</w:t>
            </w:r>
          </w:p>
        </w:tc>
        <w:tc>
          <w:tcPr>
            <w:tcW w:w="3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0"/>
                <w:sz w:val="24"/>
                <w:szCs w:val="24"/>
                <w:lang w:val="en-US" w:eastAsia="zh-CN"/>
              </w:rPr>
              <w:t>2,349.17</w:t>
            </w:r>
            <w:r>
              <w:rPr>
                <w:rFonts w:hint="default" w:ascii="仿宋" w:hAnsi="仿宋" w:eastAsia="仿宋" w:cs="仿宋"/>
                <w:color w:val="auto"/>
                <w:kern w:val="2"/>
                <w:sz w:val="24"/>
                <w:szCs w:val="24"/>
                <w:highlight w:val="none"/>
                <w:lang w:val="en-US" w:eastAsia="zh-CN" w:bidi="ar-SA"/>
              </w:rPr>
              <w:t>万元</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财政资金</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0"/>
                <w:sz w:val="24"/>
                <w:szCs w:val="24"/>
                <w:lang w:val="en-US" w:eastAsia="zh-CN"/>
              </w:rPr>
              <w:t>2,349.17</w:t>
            </w:r>
            <w:r>
              <w:rPr>
                <w:rFonts w:hint="default" w:ascii="仿宋" w:hAnsi="仿宋" w:eastAsia="仿宋" w:cs="仿宋"/>
                <w:color w:val="auto"/>
                <w:kern w:val="2"/>
                <w:sz w:val="24"/>
                <w:szCs w:val="24"/>
                <w:highlight w:val="none"/>
                <w:lang w:val="en-US" w:eastAsia="zh-CN" w:bidi="ar-SA"/>
              </w:rPr>
              <w:t>万元</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二、综合评价结论</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评价机构</w:t>
            </w:r>
          </w:p>
        </w:tc>
        <w:tc>
          <w:tcPr>
            <w:tcW w:w="73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绩效评价综合得分</w:t>
            </w:r>
          </w:p>
        </w:tc>
        <w:tc>
          <w:tcPr>
            <w:tcW w:w="73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80</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绩效绩次级别评定</w:t>
            </w:r>
          </w:p>
        </w:tc>
        <w:tc>
          <w:tcPr>
            <w:tcW w:w="73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良好</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三、评价人员及机构</w:t>
            </w:r>
          </w:p>
        </w:tc>
      </w:tr>
      <w:tr>
        <w:tblPrEx>
          <w:tblCellMar>
            <w:top w:w="0" w:type="dxa"/>
            <w:left w:w="108" w:type="dxa"/>
            <w:bottom w:w="0" w:type="dxa"/>
            <w:right w:w="108" w:type="dxa"/>
          </w:tblCellMar>
        </w:tblPrEx>
        <w:trPr>
          <w:trHeight w:val="400" w:hRule="atLeast"/>
          <w:jc w:val="center"/>
        </w:trPr>
        <w:tc>
          <w:tcPr>
            <w:tcW w:w="1980"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姓名</w:t>
            </w:r>
          </w:p>
        </w:tc>
        <w:tc>
          <w:tcPr>
            <w:tcW w:w="2303" w:type="dxa"/>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专业</w:t>
            </w:r>
          </w:p>
        </w:tc>
        <w:tc>
          <w:tcPr>
            <w:tcW w:w="1607"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职称</w:t>
            </w:r>
          </w:p>
        </w:tc>
        <w:tc>
          <w:tcPr>
            <w:tcW w:w="24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w:t>
            </w:r>
          </w:p>
        </w:tc>
        <w:tc>
          <w:tcPr>
            <w:tcW w:w="1040" w:type="dxa"/>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签字</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肖平</w:t>
            </w:r>
          </w:p>
        </w:tc>
        <w:tc>
          <w:tcPr>
            <w:tcW w:w="230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工商管理</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注册咨询工程师</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0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凌莉</w:t>
            </w:r>
          </w:p>
        </w:tc>
        <w:tc>
          <w:tcPr>
            <w:tcW w:w="230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会计</w:t>
            </w:r>
            <w:r>
              <w:rPr>
                <w:rFonts w:hint="eastAsia" w:ascii="仿宋" w:hAnsi="仿宋" w:eastAsia="仿宋" w:cs="仿宋"/>
                <w:color w:val="auto"/>
                <w:kern w:val="0"/>
                <w:sz w:val="24"/>
                <w:szCs w:val="24"/>
                <w:highlight w:val="none"/>
                <w:lang w:val="en-US" w:eastAsia="zh-CN"/>
              </w:rPr>
              <w:t>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咨询经理</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0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邓荣强</w:t>
            </w:r>
          </w:p>
        </w:tc>
        <w:tc>
          <w:tcPr>
            <w:tcW w:w="230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咨询经理</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c>
          <w:tcPr>
            <w:tcW w:w="10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1980"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汤慧兰</w:t>
            </w:r>
          </w:p>
        </w:tc>
        <w:tc>
          <w:tcPr>
            <w:tcW w:w="2303"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分析顾问</w:t>
            </w:r>
          </w:p>
        </w:tc>
        <w:tc>
          <w:tcPr>
            <w:tcW w:w="2400"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中政智信（北京）经济咨询有限公司</w:t>
            </w:r>
          </w:p>
        </w:tc>
        <w:tc>
          <w:tcPr>
            <w:tcW w:w="1040"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1980"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康莉</w:t>
            </w:r>
          </w:p>
        </w:tc>
        <w:tc>
          <w:tcPr>
            <w:tcW w:w="2303"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会计学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分析助理</w:t>
            </w:r>
          </w:p>
        </w:tc>
        <w:tc>
          <w:tcPr>
            <w:tcW w:w="2400"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中政智信（北京）经济咨询有限公司</w:t>
            </w:r>
          </w:p>
        </w:tc>
        <w:tc>
          <w:tcPr>
            <w:tcW w:w="1040"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2303" w:type="dxa"/>
            <w:tcBorders>
              <w:top w:val="single" w:color="auto" w:sz="4" w:space="0"/>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1607" w:type="dxa"/>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2400" w:type="dxa"/>
            <w:gridSpan w:val="2"/>
            <w:tcBorders>
              <w:top w:val="single" w:color="auto" w:sz="4"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1040" w:type="dxa"/>
            <w:tcBorders>
              <w:top w:val="single" w:color="auto" w:sz="4" w:space="0"/>
              <w:left w:val="nil"/>
              <w:bottom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4283" w:type="dxa"/>
            <w:gridSpan w:val="2"/>
            <w:tcBorders>
              <w:top w:val="nil"/>
              <w:left w:val="single" w:color="auto" w:sz="4" w:space="0"/>
              <w:bottom w:val="nil"/>
              <w:right w:val="single" w:color="auto" w:sz="4" w:space="0"/>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r>
              <w:rPr>
                <w:rFonts w:hint="eastAsia" w:ascii="仿宋" w:hAnsi="仿宋" w:eastAsia="仿宋" w:cs="仿宋"/>
                <w:color w:val="auto"/>
                <w:kern w:val="0"/>
                <w:sz w:val="24"/>
                <w:szCs w:val="24"/>
              </w:rPr>
              <w:t>中介机构负责人（签字）：</w:t>
            </w:r>
          </w:p>
        </w:tc>
        <w:tc>
          <w:tcPr>
            <w:tcW w:w="4007" w:type="dxa"/>
            <w:gridSpan w:val="3"/>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评价组负责人（签字）：</w:t>
            </w:r>
          </w:p>
        </w:tc>
        <w:tc>
          <w:tcPr>
            <w:tcW w:w="104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303"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sz w:val="24"/>
                <w:szCs w:val="24"/>
              </w:rPr>
            </w:pP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18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sz w:val="24"/>
                <w:szCs w:val="24"/>
              </w:rPr>
            </w:pPr>
          </w:p>
        </w:tc>
        <w:tc>
          <w:tcPr>
            <w:tcW w:w="104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303"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18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04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303"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kern w:val="0"/>
                <w:sz w:val="24"/>
                <w:szCs w:val="24"/>
              </w:rPr>
            </w:pP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18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kern w:val="0"/>
                <w:sz w:val="24"/>
                <w:szCs w:val="24"/>
              </w:rPr>
            </w:pPr>
          </w:p>
        </w:tc>
        <w:tc>
          <w:tcPr>
            <w:tcW w:w="104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325" w:hRule="atLeast"/>
          <w:jc w:val="center"/>
        </w:trPr>
        <w:tc>
          <w:tcPr>
            <w:tcW w:w="4283" w:type="dxa"/>
            <w:gridSpan w:val="2"/>
            <w:tcBorders>
              <w:top w:val="nil"/>
              <w:left w:val="single" w:color="auto" w:sz="4" w:space="0"/>
              <w:bottom w:val="single" w:color="auto" w:sz="4" w:space="0"/>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c>
          <w:tcPr>
            <w:tcW w:w="1607" w:type="dxa"/>
            <w:tcBorders>
              <w:top w:val="nil"/>
              <w:left w:val="single" w:color="auto" w:sz="4" w:space="0"/>
              <w:bottom w:val="single" w:color="auto" w:sz="4" w:space="0"/>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bookmarkStart w:id="106" w:name="_GoBack"/>
            <w:bookmarkEnd w:id="106"/>
          </w:p>
        </w:tc>
        <w:tc>
          <w:tcPr>
            <w:tcW w:w="1213" w:type="dxa"/>
            <w:tcBorders>
              <w:top w:val="nil"/>
              <w:left w:val="nil"/>
              <w:bottom w:val="single" w:color="auto" w:sz="4" w:space="0"/>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227" w:type="dxa"/>
            <w:gridSpan w:val="2"/>
            <w:tcBorders>
              <w:top w:val="nil"/>
              <w:left w:val="nil"/>
              <w:bottom w:val="single" w:color="auto" w:sz="4" w:space="0"/>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r>
    </w:tbl>
    <w:p>
      <w:pPr>
        <w:jc w:val="both"/>
        <w:rPr>
          <w:rFonts w:hint="default" w:ascii="Times New Roman" w:hAnsi="Times New Roman" w:eastAsia="仿宋" w:cs="Times New Roman"/>
          <w:kern w:val="2"/>
          <w:sz w:val="21"/>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bCs/>
          <w:spacing w:val="-7"/>
          <w:kern w:val="2"/>
          <w:sz w:val="21"/>
          <w:szCs w:val="32"/>
          <w:lang w:val="en-US" w:eastAsia="zh-CN" w:bidi="ar-SA"/>
        </w:rPr>
      </w:pPr>
      <w:bookmarkStart w:id="11" w:name="_Toc2791"/>
      <w:r>
        <w:rPr>
          <w:rFonts w:hint="eastAsia" w:ascii="宋体" w:hAnsi="宋体" w:eastAsia="宋体" w:cs="Times New Roman"/>
          <w:b/>
          <w:bCs/>
          <w:sz w:val="32"/>
          <w:szCs w:val="40"/>
          <w:lang w:val="en-US" w:eastAsia="zh-CN"/>
        </w:rPr>
        <w:t xml:space="preserve">  </w:t>
      </w:r>
      <w:r>
        <w:rPr>
          <w:rFonts w:hint="eastAsia" w:ascii="宋体" w:hAnsi="宋体" w:eastAsia="宋体" w:cs="Times New Roman"/>
          <w:b/>
          <w:bCs/>
          <w:sz w:val="32"/>
          <w:szCs w:val="40"/>
        </w:rPr>
        <w:t>目</w:t>
      </w:r>
      <w:r>
        <w:rPr>
          <w:rFonts w:hint="eastAsia" w:ascii="宋体" w:hAnsi="宋体" w:eastAsia="宋体" w:cs="Times New Roman"/>
          <w:b/>
          <w:bCs/>
          <w:sz w:val="32"/>
          <w:szCs w:val="40"/>
          <w:lang w:val="en-US" w:eastAsia="zh-CN"/>
        </w:rPr>
        <w:t xml:space="preserve">  </w:t>
      </w:r>
      <w:r>
        <w:rPr>
          <w:rFonts w:hint="eastAsia" w:ascii="宋体" w:hAnsi="宋体" w:eastAsia="宋体" w:cs="Times New Roman"/>
          <w:b/>
          <w:bCs/>
          <w:sz w:val="32"/>
          <w:szCs w:val="40"/>
        </w:rPr>
        <w:t>录</w:t>
      </w:r>
      <w:r>
        <w:rPr>
          <w:rFonts w:hint="default" w:ascii="Times New Roman" w:hAnsi="Times New Roman" w:eastAsia="仿宋" w:cs="Times New Roman"/>
          <w:b/>
          <w:bCs/>
          <w:spacing w:val="-7"/>
          <w:sz w:val="32"/>
          <w:szCs w:val="32"/>
        </w:rPr>
        <w:fldChar w:fldCharType="begin"/>
      </w:r>
      <w:r>
        <w:rPr>
          <w:rFonts w:hint="default" w:ascii="Times New Roman" w:hAnsi="Times New Roman" w:eastAsia="仿宋" w:cs="Times New Roman"/>
          <w:b/>
          <w:bCs/>
          <w:spacing w:val="-7"/>
          <w:sz w:val="32"/>
          <w:szCs w:val="32"/>
        </w:rPr>
        <w:instrText xml:space="preserve">TOC \o "1-3" \h \u </w:instrText>
      </w:r>
      <w:r>
        <w:rPr>
          <w:rFonts w:hint="default" w:ascii="Times New Roman" w:hAnsi="Times New Roman" w:eastAsia="仿宋" w:cs="Times New Roman"/>
          <w:b/>
          <w:bCs/>
          <w:spacing w:val="-7"/>
          <w:sz w:val="32"/>
          <w:szCs w:val="32"/>
        </w:rPr>
        <w:fldChar w:fldCharType="separate"/>
      </w:r>
    </w:p>
    <w:p>
      <w:pPr>
        <w:pStyle w:val="11"/>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_Toc24066 </w:instrText>
      </w:r>
      <w:r>
        <w:rPr>
          <w:rFonts w:hint="default" w:ascii="Times New Roman" w:hAnsi="Times New Roman" w:eastAsia="仿宋" w:cs="Times New Roman"/>
          <w:bCs/>
          <w:spacing w:val="-7"/>
          <w:szCs w:val="32"/>
        </w:rPr>
        <w:fldChar w:fldCharType="separate"/>
      </w:r>
      <w:r>
        <w:rPr>
          <w:rFonts w:hint="eastAsia" w:ascii="黑体" w:hAnsi="黑体" w:eastAsia="黑体" w:cs="黑体"/>
          <w:szCs w:val="32"/>
        </w:rPr>
        <w:t xml:space="preserve">一、 </w:t>
      </w:r>
      <w:r>
        <w:rPr>
          <w:rFonts w:hint="eastAsia" w:ascii="黑体" w:hAnsi="黑体" w:eastAsia="黑体" w:cs="黑体"/>
          <w:szCs w:val="32"/>
          <w:lang w:val="en-US" w:eastAsia="zh-CN"/>
        </w:rPr>
        <w:t>项目</w:t>
      </w:r>
      <w:r>
        <w:rPr>
          <w:rFonts w:hint="eastAsia" w:ascii="黑体" w:hAnsi="黑体" w:eastAsia="黑体" w:cs="黑体"/>
          <w:szCs w:val="32"/>
        </w:rPr>
        <w:t>概况</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_Toc24066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_Toc21911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lang w:val="en-US" w:eastAsia="zh-CN"/>
        </w:rPr>
        <w:t>（一） 项目基本情况</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_Toc21911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_Toc8139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lang w:val="en-US" w:eastAsia="zh-CN"/>
        </w:rPr>
        <w:t>（二） 具体经办单位</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_Toc8139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3</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_Toc22280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lang w:val="en-US" w:eastAsia="zh-CN"/>
        </w:rPr>
        <w:t>（三） 基金绩效目标</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_Toc22280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3</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1"/>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_Toc13750 </w:instrText>
      </w:r>
      <w:r>
        <w:rPr>
          <w:rFonts w:hint="default" w:ascii="Times New Roman" w:hAnsi="Times New Roman" w:eastAsia="仿宋" w:cs="Times New Roman"/>
          <w:bCs/>
          <w:spacing w:val="-7"/>
          <w:szCs w:val="32"/>
        </w:rPr>
        <w:fldChar w:fldCharType="separate"/>
      </w:r>
      <w:r>
        <w:rPr>
          <w:rFonts w:hint="eastAsia" w:ascii="黑体" w:hAnsi="黑体" w:eastAsia="黑体" w:cs="黑体"/>
          <w:szCs w:val="32"/>
          <w:lang w:val="en-US" w:eastAsia="zh-CN"/>
        </w:rPr>
        <w:t xml:space="preserve">二、 </w:t>
      </w:r>
      <w:r>
        <w:rPr>
          <w:rFonts w:hint="default" w:ascii="黑体" w:hAnsi="黑体" w:eastAsia="黑体" w:cs="黑体"/>
          <w:szCs w:val="32"/>
          <w:lang w:val="en-US" w:eastAsia="zh-CN"/>
        </w:rPr>
        <w:t>预算收支结余情况</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_Toc13750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_Toc31404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rPr>
        <w:t xml:space="preserve">（一） </w:t>
      </w:r>
      <w:r>
        <w:rPr>
          <w:rFonts w:hint="eastAsia" w:ascii="楷体" w:hAnsi="楷体" w:eastAsia="楷体" w:cs="楷体"/>
          <w:bCs w:val="0"/>
          <w:lang w:val="en-US" w:eastAsia="zh-CN"/>
        </w:rPr>
        <w:t>预算收支</w:t>
      </w:r>
      <w:r>
        <w:rPr>
          <w:rFonts w:hint="eastAsia" w:ascii="楷体" w:hAnsi="楷体" w:eastAsia="楷体" w:cs="楷体"/>
          <w:bCs w:val="0"/>
        </w:rPr>
        <w:t>总体情况</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_Toc31404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4</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_Toc32318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lang w:val="en-US" w:eastAsia="zh-CN"/>
        </w:rPr>
        <w:t xml:space="preserve">（二） </w:t>
      </w:r>
      <w:r>
        <w:rPr>
          <w:rFonts w:hint="default" w:ascii="楷体" w:hAnsi="楷体" w:eastAsia="楷体" w:cs="楷体"/>
          <w:bCs w:val="0"/>
          <w:lang w:val="en-US" w:eastAsia="zh-CN"/>
        </w:rPr>
        <w:t>预算收支分项分析</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_Toc32318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6</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_Toc23514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rPr>
        <w:t>1.</w:t>
      </w:r>
      <w:r>
        <w:rPr>
          <w:rFonts w:hint="default" w:ascii="Times New Roman" w:hAnsi="Times New Roman" w:eastAsia="仿宋" w:cs="Times New Roman"/>
          <w:lang w:val="en-US" w:eastAsia="zh-CN"/>
        </w:rPr>
        <w:t>个人缴费分析</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_Toc23514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6</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_Toc11005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rPr>
        <w:t>2.</w:t>
      </w:r>
      <w:r>
        <w:rPr>
          <w:rFonts w:hint="default" w:ascii="Times New Roman" w:hAnsi="Times New Roman" w:eastAsia="仿宋" w:cs="Times New Roman"/>
          <w:lang w:val="en-US" w:eastAsia="zh-CN"/>
        </w:rPr>
        <w:t>特殊补贴影响</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_Toc11005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6</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1"/>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_Toc25315 </w:instrText>
      </w:r>
      <w:r>
        <w:rPr>
          <w:rFonts w:hint="default" w:ascii="Times New Roman" w:hAnsi="Times New Roman" w:eastAsia="仿宋" w:cs="Times New Roman"/>
          <w:bCs/>
          <w:spacing w:val="-7"/>
          <w:szCs w:val="32"/>
        </w:rPr>
        <w:fldChar w:fldCharType="separate"/>
      </w:r>
      <w:r>
        <w:rPr>
          <w:rFonts w:hint="eastAsia" w:ascii="黑体" w:hAnsi="黑体" w:eastAsia="黑体" w:cs="黑体"/>
          <w:szCs w:val="32"/>
        </w:rPr>
        <w:t>三、 绩效评价工作情况</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_Toc25315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_Toc29618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lang w:val="en-US" w:eastAsia="zh-CN"/>
        </w:rPr>
        <w:t xml:space="preserve">（一） </w:t>
      </w:r>
      <w:r>
        <w:rPr>
          <w:rFonts w:hint="default" w:ascii="楷体" w:hAnsi="楷体" w:eastAsia="楷体" w:cs="楷体"/>
          <w:bCs w:val="0"/>
          <w:lang w:val="en-US" w:eastAsia="zh-CN"/>
        </w:rPr>
        <w:t>评价方法、指标体系和评分定级</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_Toc29618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7</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_Toc24177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rPr>
        <w:t>1.评价方法</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_Toc24177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7</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_Toc12965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rPr>
        <w:t>2.指标体系</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_Toc12965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7</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_Toc29924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rPr>
        <w:t>3.评分定级</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_Toc29924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7</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_Toc15619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lang w:val="en-US" w:eastAsia="zh-CN"/>
        </w:rPr>
        <w:t xml:space="preserve">（二） </w:t>
      </w:r>
      <w:r>
        <w:rPr>
          <w:rFonts w:hint="default" w:ascii="楷体" w:hAnsi="楷体" w:eastAsia="楷体" w:cs="楷体"/>
          <w:bCs w:val="0"/>
          <w:lang w:val="en-US" w:eastAsia="zh-CN"/>
        </w:rPr>
        <w:t>绩效评价过程</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_Toc15619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8</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_Toc5570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rPr>
        <w:t>1.成立评价组织</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_Toc5570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8</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_Toc7966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rPr>
        <w:t>2.召开项目启动会</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_Toc7966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8</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_Toc4976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rPr>
        <w:t>3.非现场评价</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_Toc4976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8</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_Toc25532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highlight w:val="none"/>
        </w:rPr>
        <w:t>4.现场调研</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_Toc25532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8</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_Toc4034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highlight w:val="none"/>
        </w:rPr>
        <w:t>5.内部专家研讨</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_Toc4034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9</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_Toc1756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highlight w:val="none"/>
        </w:rPr>
        <w:t>6.形成评价结论</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_Toc1756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9</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_Toc31289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highlight w:val="none"/>
        </w:rPr>
        <w:t>7.撰写评价报告</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_Toc31289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10</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1"/>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_Toc30613 </w:instrText>
      </w:r>
      <w:r>
        <w:rPr>
          <w:rFonts w:hint="default" w:ascii="Times New Roman" w:hAnsi="Times New Roman" w:eastAsia="仿宋" w:cs="Times New Roman"/>
          <w:bCs/>
          <w:spacing w:val="-7"/>
          <w:szCs w:val="32"/>
        </w:rPr>
        <w:fldChar w:fldCharType="separate"/>
      </w:r>
      <w:r>
        <w:rPr>
          <w:rFonts w:hint="eastAsia" w:ascii="黑体" w:hAnsi="黑体" w:eastAsia="黑体" w:cs="黑体"/>
          <w:szCs w:val="32"/>
        </w:rPr>
        <w:t>四、 预算支出主要绩效及评价结论</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_Toc30613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仿宋" w:cs="Times New Roman"/>
          <w:bCs/>
          <w:spacing w:val="-7"/>
          <w:szCs w:val="32"/>
        </w:rPr>
        <w:fldChar w:fldCharType="end"/>
      </w:r>
    </w:p>
    <w:p>
      <w:pPr>
        <w:pStyle w:val="11"/>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_Toc5335 </w:instrText>
      </w:r>
      <w:r>
        <w:rPr>
          <w:rFonts w:hint="default" w:ascii="Times New Roman" w:hAnsi="Times New Roman" w:eastAsia="仿宋" w:cs="Times New Roman"/>
          <w:bCs/>
          <w:spacing w:val="-7"/>
          <w:szCs w:val="32"/>
        </w:rPr>
        <w:fldChar w:fldCharType="separate"/>
      </w:r>
      <w:r>
        <w:rPr>
          <w:rFonts w:hint="eastAsia" w:ascii="黑体" w:hAnsi="黑体" w:eastAsia="黑体" w:cs="黑体"/>
          <w:szCs w:val="32"/>
        </w:rPr>
        <w:t xml:space="preserve">五、 </w:t>
      </w:r>
      <w:r>
        <w:rPr>
          <w:rFonts w:hint="default" w:ascii="黑体" w:hAnsi="黑体" w:eastAsia="黑体" w:cs="黑体"/>
          <w:szCs w:val="32"/>
        </w:rPr>
        <w:t>绩效评价指标分析</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_Toc5335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_Toc27133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lang w:val="en-US" w:eastAsia="zh-CN"/>
        </w:rPr>
        <w:t>（一） 决策指标分析</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_Toc27133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11</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_Toc23799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lang w:val="en-US" w:eastAsia="zh-CN"/>
        </w:rPr>
        <w:t xml:space="preserve">（二） </w:t>
      </w:r>
      <w:r>
        <w:rPr>
          <w:rFonts w:hint="default" w:ascii="楷体" w:hAnsi="楷体" w:eastAsia="楷体" w:cs="楷体"/>
          <w:bCs w:val="0"/>
          <w:lang w:val="en-US" w:eastAsia="zh-CN"/>
        </w:rPr>
        <w:t>过程指标分析</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_Toc23799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11</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_Toc314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lang w:val="en-US" w:eastAsia="zh-CN"/>
        </w:rPr>
        <w:t xml:space="preserve">（三） </w:t>
      </w:r>
      <w:r>
        <w:rPr>
          <w:rFonts w:hint="default" w:ascii="楷体" w:hAnsi="楷体" w:eastAsia="楷体" w:cs="楷体"/>
          <w:bCs w:val="0"/>
          <w:lang w:val="en-US" w:eastAsia="zh-CN"/>
        </w:rPr>
        <w:t>产出指标分析</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_Toc314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13</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_Toc24461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lang w:val="en-US" w:eastAsia="zh-CN"/>
        </w:rPr>
        <w:t xml:space="preserve">（四） </w:t>
      </w:r>
      <w:r>
        <w:rPr>
          <w:rFonts w:hint="default" w:ascii="楷体" w:hAnsi="楷体" w:eastAsia="楷体" w:cs="楷体"/>
          <w:bCs w:val="0"/>
          <w:lang w:val="en-US" w:eastAsia="zh-CN"/>
        </w:rPr>
        <w:t>效益指标分析</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_Toc24461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13</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1"/>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_Toc23340 </w:instrText>
      </w:r>
      <w:r>
        <w:rPr>
          <w:rFonts w:hint="default" w:ascii="Times New Roman" w:hAnsi="Times New Roman" w:eastAsia="仿宋" w:cs="Times New Roman"/>
          <w:bCs/>
          <w:spacing w:val="-7"/>
          <w:szCs w:val="32"/>
        </w:rPr>
        <w:fldChar w:fldCharType="separate"/>
      </w:r>
      <w:r>
        <w:rPr>
          <w:rFonts w:hint="eastAsia" w:ascii="黑体" w:hAnsi="黑体" w:eastAsia="黑体" w:cs="黑体"/>
          <w:szCs w:val="32"/>
          <w:lang w:val="en-US" w:eastAsia="zh-CN"/>
        </w:rPr>
        <w:t>六、 主要经验与做法</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_Toc23340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eastAsia="仿宋" w:cs="Times New Roman"/>
          <w:bCs/>
          <w:spacing w:val="-7"/>
          <w:szCs w:val="32"/>
        </w:rPr>
        <w:fldChar w:fldCharType="end"/>
      </w:r>
    </w:p>
    <w:p>
      <w:pPr>
        <w:pStyle w:val="11"/>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_Toc31928 </w:instrText>
      </w:r>
      <w:r>
        <w:rPr>
          <w:rFonts w:hint="default" w:ascii="Times New Roman" w:hAnsi="Times New Roman" w:eastAsia="仿宋" w:cs="Times New Roman"/>
          <w:bCs/>
          <w:spacing w:val="-7"/>
          <w:szCs w:val="32"/>
        </w:rPr>
        <w:fldChar w:fldCharType="separate"/>
      </w:r>
      <w:r>
        <w:rPr>
          <w:rFonts w:hint="eastAsia" w:ascii="黑体" w:hAnsi="黑体" w:eastAsia="黑体" w:cs="黑体"/>
          <w:szCs w:val="32"/>
          <w:lang w:val="en-US" w:eastAsia="zh-CN"/>
        </w:rPr>
        <w:t xml:space="preserve">七、 </w:t>
      </w:r>
      <w:r>
        <w:rPr>
          <w:rFonts w:hint="default" w:ascii="黑体" w:hAnsi="黑体" w:eastAsia="黑体" w:cs="黑体"/>
          <w:szCs w:val="32"/>
          <w:lang w:val="en-US" w:eastAsia="zh-CN"/>
        </w:rPr>
        <w:t>存在的问题及原因分析</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_Toc31928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_Toc4686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lang w:val="en-US" w:eastAsia="zh-CN"/>
        </w:rPr>
        <w:t>（一） 预算绩效管理问题</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_Toc4686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15</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_Toc31883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lang w:val="en-US" w:eastAsia="zh-CN"/>
        </w:rPr>
        <w:t>1.</w:t>
      </w:r>
      <w:r>
        <w:rPr>
          <w:rFonts w:hint="default" w:ascii="Times New Roman" w:hAnsi="Times New Roman" w:eastAsia="仿宋" w:cs="Times New Roman"/>
        </w:rPr>
        <w:t>绩效目标</w:t>
      </w:r>
      <w:r>
        <w:rPr>
          <w:rFonts w:hint="eastAsia" w:ascii="Times New Roman" w:hAnsi="Times New Roman" w:eastAsia="仿宋" w:cs="Times New Roman"/>
          <w:lang w:val="en-US" w:eastAsia="zh-CN"/>
        </w:rPr>
        <w:t>认识不深入</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_Toc31883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15</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_Toc12229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lang w:val="en-US" w:eastAsia="zh-CN"/>
        </w:rPr>
        <w:t>2.预算编制准确性</w:t>
      </w:r>
      <w:r>
        <w:rPr>
          <w:rFonts w:hint="eastAsia" w:ascii="Times New Roman" w:hAnsi="Times New Roman" w:eastAsia="仿宋" w:cs="Times New Roman"/>
          <w:lang w:val="en-US" w:eastAsia="zh-CN"/>
        </w:rPr>
        <w:t>较低</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_Toc12229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16</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_Toc10103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lang w:val="en-US" w:eastAsia="zh-CN"/>
        </w:rPr>
        <w:t>（二） 基金业务</w:t>
      </w:r>
      <w:r>
        <w:rPr>
          <w:rFonts w:hint="default" w:ascii="楷体" w:hAnsi="楷体" w:eastAsia="楷体" w:cs="楷体"/>
          <w:bCs w:val="0"/>
          <w:lang w:val="en-US" w:eastAsia="zh-CN"/>
        </w:rPr>
        <w:t>管理问题</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_Toc10103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16</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_Toc5808 </w:instrText>
      </w:r>
      <w:r>
        <w:rPr>
          <w:rFonts w:hint="default" w:ascii="Times New Roman" w:hAnsi="Times New Roman" w:eastAsia="仿宋" w:cs="Times New Roman"/>
          <w:bCs/>
          <w:spacing w:val="-7"/>
          <w:szCs w:val="32"/>
        </w:rPr>
        <w:fldChar w:fldCharType="separate"/>
      </w:r>
      <w:r>
        <w:rPr>
          <w:rFonts w:hint="eastAsia" w:ascii="Times New Roman" w:hAnsi="Times New Roman" w:eastAsia="仿宋" w:cs="Times New Roman"/>
          <w:lang w:val="en-US" w:eastAsia="zh-CN"/>
        </w:rPr>
        <w:t>1.个人账户继承领取资格欠合规</w:t>
      </w:r>
      <w:r>
        <w:tab/>
      </w:r>
      <w:r>
        <w:fldChar w:fldCharType="begin"/>
      </w:r>
      <w:r>
        <w:instrText xml:space="preserve"> PAGEREF _Toc5808 \h </w:instrText>
      </w:r>
      <w:r>
        <w:fldChar w:fldCharType="separate"/>
      </w:r>
      <w:r>
        <w:rPr>
          <w:rFonts w:hint="default" w:ascii="Times New Roman" w:hAnsi="Times New Roman" w:cs="Times New Roman" w:eastAsiaTheme="minorEastAsia"/>
          <w:kern w:val="2"/>
          <w:sz w:val="21"/>
          <w:szCs w:val="24"/>
          <w:lang w:val="en-US" w:eastAsia="zh-CN" w:bidi="ar-SA"/>
        </w:rPr>
        <w:t>16</w:t>
      </w:r>
      <w: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_Toc26309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lang w:val="en-US" w:eastAsia="zh-CN"/>
        </w:rPr>
        <w:t>2.</w:t>
      </w:r>
      <w:r>
        <w:rPr>
          <w:rFonts w:hint="eastAsia" w:ascii="Times New Roman" w:hAnsi="Times New Roman" w:eastAsia="仿宋" w:cs="Times New Roman"/>
          <w:lang w:val="en-US" w:eastAsia="zh-CN"/>
        </w:rPr>
        <w:t>未实施业财数据融合运行分析</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_Toc26309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16</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_Toc31545 </w:instrText>
      </w:r>
      <w:r>
        <w:rPr>
          <w:rFonts w:hint="default" w:ascii="Times New Roman" w:hAnsi="Times New Roman" w:eastAsia="仿宋" w:cs="Times New Roman"/>
          <w:bCs/>
          <w:spacing w:val="-7"/>
          <w:szCs w:val="32"/>
        </w:rPr>
        <w:fldChar w:fldCharType="separate"/>
      </w:r>
      <w:r>
        <w:rPr>
          <w:rFonts w:hint="default" w:ascii="楷体" w:hAnsi="楷体" w:eastAsia="楷体" w:cs="楷体"/>
          <w:bCs w:val="0"/>
          <w:lang w:val="en-US" w:eastAsia="zh-CN"/>
        </w:rPr>
        <w:t>（三）</w:t>
      </w:r>
      <w:r>
        <w:rPr>
          <w:rFonts w:hint="eastAsia" w:ascii="楷体" w:hAnsi="楷体" w:eastAsia="楷体" w:cs="楷体"/>
          <w:bCs w:val="0"/>
          <w:lang w:val="en-US" w:eastAsia="zh-CN"/>
        </w:rPr>
        <w:t xml:space="preserve"> 基金风险管理问题</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_Toc31545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17</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_Toc22001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lang w:val="en-US" w:eastAsia="zh-CN"/>
        </w:rPr>
        <w:t>1.</w:t>
      </w:r>
      <w:r>
        <w:rPr>
          <w:rFonts w:hint="eastAsia" w:ascii="Times New Roman" w:hAnsi="Times New Roman" w:eastAsia="仿宋" w:cs="Times New Roman"/>
          <w:lang w:val="en-US" w:eastAsia="zh-CN"/>
        </w:rPr>
        <w:t>事前风险意识不强</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_Toc22001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17</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8"/>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_Toc19197 </w:instrText>
      </w:r>
      <w:r>
        <w:rPr>
          <w:rFonts w:hint="default" w:ascii="Times New Roman" w:hAnsi="Times New Roman" w:eastAsia="仿宋" w:cs="Times New Roman"/>
          <w:bCs/>
          <w:spacing w:val="-7"/>
          <w:szCs w:val="32"/>
        </w:rPr>
        <w:fldChar w:fldCharType="separate"/>
      </w:r>
      <w:r>
        <w:rPr>
          <w:rFonts w:hint="default" w:ascii="Times New Roman" w:hAnsi="Times New Roman" w:eastAsia="仿宋" w:cs="Times New Roman"/>
          <w:lang w:val="en-US" w:eastAsia="zh-CN"/>
        </w:rPr>
        <w:t>2.</w:t>
      </w:r>
      <w:r>
        <w:rPr>
          <w:rFonts w:hint="eastAsia" w:ascii="Times New Roman" w:hAnsi="Times New Roman" w:eastAsia="仿宋" w:cs="Times New Roman"/>
          <w:lang w:val="en-US" w:eastAsia="zh-CN"/>
        </w:rPr>
        <w:t>全面稽核工作不勤</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_Toc19197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17</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1"/>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_Toc13299 </w:instrText>
      </w:r>
      <w:r>
        <w:rPr>
          <w:rFonts w:hint="default" w:ascii="Times New Roman" w:hAnsi="Times New Roman" w:eastAsia="仿宋" w:cs="Times New Roman"/>
          <w:bCs/>
          <w:spacing w:val="-7"/>
          <w:szCs w:val="32"/>
        </w:rPr>
        <w:fldChar w:fldCharType="separate"/>
      </w:r>
      <w:r>
        <w:rPr>
          <w:rFonts w:hint="eastAsia" w:ascii="黑体" w:hAnsi="黑体" w:eastAsia="黑体" w:cs="黑体"/>
          <w:szCs w:val="32"/>
          <w:lang w:val="en-US" w:eastAsia="zh-CN"/>
        </w:rPr>
        <w:t xml:space="preserve">八、 </w:t>
      </w:r>
      <w:r>
        <w:rPr>
          <w:rFonts w:hint="default" w:ascii="黑体" w:hAnsi="黑体" w:eastAsia="黑体" w:cs="黑体"/>
          <w:szCs w:val="32"/>
          <w:lang w:val="en-US" w:eastAsia="zh-CN"/>
        </w:rPr>
        <w:t>有关建议</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_Toc13299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_Toc22965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lang w:val="en-US" w:eastAsia="zh-CN"/>
        </w:rPr>
        <w:t>（一） 加大培训力度，丰富培训形式</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_Toc22965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18</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_Toc23476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lang w:val="en-US" w:eastAsia="zh-CN"/>
        </w:rPr>
        <w:t>（二） 加大合规审查，实施数据决策</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_Toc23476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18</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pStyle w:val="12"/>
        <w:tabs>
          <w:tab w:val="right" w:leader="dot" w:pos="8306"/>
        </w:tabs>
      </w:pPr>
      <w:r>
        <w:rPr>
          <w:rFonts w:hint="default" w:ascii="Times New Roman" w:hAnsi="Times New Roman" w:eastAsia="仿宋" w:cs="Times New Roman"/>
          <w:bCs/>
          <w:spacing w:val="-7"/>
          <w:szCs w:val="32"/>
        </w:rPr>
        <w:fldChar w:fldCharType="begin"/>
      </w:r>
      <w:r>
        <w:rPr>
          <w:rFonts w:hint="default" w:ascii="Times New Roman" w:hAnsi="Times New Roman" w:eastAsia="仿宋" w:cs="Times New Roman"/>
          <w:bCs/>
          <w:spacing w:val="-7"/>
          <w:szCs w:val="32"/>
        </w:rPr>
        <w:instrText xml:space="preserve"> HYPERLINK \l _Toc31830 </w:instrText>
      </w:r>
      <w:r>
        <w:rPr>
          <w:rFonts w:hint="default" w:ascii="Times New Roman" w:hAnsi="Times New Roman" w:eastAsia="仿宋" w:cs="Times New Roman"/>
          <w:bCs/>
          <w:spacing w:val="-7"/>
          <w:szCs w:val="32"/>
        </w:rPr>
        <w:fldChar w:fldCharType="separate"/>
      </w:r>
      <w:r>
        <w:rPr>
          <w:rFonts w:hint="eastAsia" w:ascii="楷体" w:hAnsi="楷体" w:eastAsia="楷体" w:cs="楷体"/>
          <w:bCs w:val="0"/>
          <w:lang w:val="en-US" w:eastAsia="zh-CN"/>
        </w:rPr>
        <w:t>（三） 提升风险意识，加力稽核力度</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_Toc31830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19</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eastAsia="仿宋" w:cs="Times New Roman"/>
          <w:bCs/>
          <w:spacing w:val="-7"/>
          <w:szCs w:val="32"/>
        </w:rPr>
        <w:fldChar w:fldCharType="end"/>
      </w:r>
    </w:p>
    <w:p>
      <w:pPr>
        <w:spacing w:before="0" w:beforeLines="0" w:after="0" w:afterLines="0" w:line="600" w:lineRule="exact"/>
        <w:ind w:left="0" w:leftChars="0" w:right="0" w:rightChars="0" w:firstLine="0" w:firstLineChars="0"/>
        <w:jc w:val="center"/>
        <w:outlineLvl w:val="9"/>
        <w:rPr>
          <w:rFonts w:hint="default" w:ascii="Times New Roman" w:hAnsi="Times New Roman" w:eastAsia="仿宋" w:cs="Times New Roman"/>
          <w:b/>
          <w:bCs/>
          <w:spacing w:val="-7"/>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default" w:ascii="Times New Roman" w:hAnsi="Times New Roman" w:eastAsia="仿宋" w:cs="Times New Roman"/>
          <w:bCs/>
          <w:spacing w:val="-7"/>
          <w:szCs w:val="32"/>
        </w:rPr>
        <w:fldChar w:fldCharType="end"/>
      </w:r>
    </w:p>
    <w:p>
      <w:pPr>
        <w:spacing w:line="600" w:lineRule="exact"/>
        <w:jc w:val="center"/>
        <w:outlineLvl w:val="9"/>
        <w:rPr>
          <w:rFonts w:hint="eastAsia" w:ascii="黑体" w:hAnsi="黑体" w:eastAsia="黑体" w:cs="黑体"/>
          <w:b/>
          <w:bCs/>
          <w:spacing w:val="-7"/>
          <w:sz w:val="32"/>
          <w:szCs w:val="32"/>
          <w:lang w:val="en-US" w:eastAsia="zh-CN"/>
        </w:rPr>
      </w:pPr>
      <w:bookmarkStart w:id="12" w:name="_Toc934"/>
      <w:r>
        <w:rPr>
          <w:rFonts w:hint="eastAsia" w:ascii="黑体" w:hAnsi="黑体" w:eastAsia="黑体" w:cs="黑体"/>
          <w:b/>
          <w:bCs/>
          <w:spacing w:val="-7"/>
          <w:sz w:val="32"/>
          <w:szCs w:val="32"/>
        </w:rPr>
        <w:t>岳阳楼区</w:t>
      </w:r>
      <w:bookmarkEnd w:id="11"/>
      <w:r>
        <w:rPr>
          <w:rFonts w:hint="eastAsia" w:ascii="黑体" w:hAnsi="黑体" w:eastAsia="黑体" w:cs="黑体"/>
          <w:b/>
          <w:bCs/>
          <w:spacing w:val="-7"/>
          <w:sz w:val="32"/>
          <w:szCs w:val="32"/>
          <w:lang w:val="en-US" w:eastAsia="zh-CN"/>
        </w:rPr>
        <w:t>城乡居民基本养老保险基金</w:t>
      </w:r>
      <w:bookmarkEnd w:id="12"/>
    </w:p>
    <w:p>
      <w:pPr>
        <w:spacing w:line="600" w:lineRule="exact"/>
        <w:jc w:val="center"/>
        <w:outlineLvl w:val="9"/>
        <w:rPr>
          <w:rFonts w:hint="eastAsia" w:ascii="黑体" w:hAnsi="黑体" w:eastAsia="黑体" w:cs="黑体"/>
          <w:b/>
          <w:bCs/>
          <w:spacing w:val="-7"/>
          <w:sz w:val="32"/>
          <w:szCs w:val="32"/>
        </w:rPr>
      </w:pPr>
      <w:bookmarkStart w:id="13" w:name="_Toc18738"/>
      <w:bookmarkStart w:id="14" w:name="_Toc16659"/>
      <w:r>
        <w:rPr>
          <w:rFonts w:hint="eastAsia" w:ascii="黑体" w:hAnsi="黑体" w:eastAsia="黑体" w:cs="黑体"/>
          <w:b/>
          <w:bCs/>
          <w:spacing w:val="-7"/>
          <w:sz w:val="32"/>
          <w:szCs w:val="32"/>
        </w:rPr>
        <w:t>绩效评价报告</w:t>
      </w:r>
      <w:bookmarkEnd w:id="13"/>
      <w:bookmarkEnd w:id="14"/>
    </w:p>
    <w:p>
      <w:pPr>
        <w:rPr>
          <w:rFonts w:hint="default" w:ascii="Times New Roman" w:hAnsi="Times New Roman" w:eastAsia="仿宋" w:cs="Times New Roman"/>
        </w:rPr>
      </w:pPr>
    </w:p>
    <w:p>
      <w:pPr>
        <w:pStyle w:val="12"/>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根据《湖南省预算</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绩效评价管理办法》（湘财绩〔2020〕7号）</w:t>
      </w:r>
      <w:r>
        <w:rPr>
          <w:rFonts w:hint="default"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rPr>
        <w:t>岳阳楼区财政局关于开展 2022 年财政支出重点绩效评价工作的通知</w:t>
      </w:r>
      <w:r>
        <w:rPr>
          <w:rFonts w:hint="default" w:ascii="Times New Roman" w:hAnsi="Times New Roman" w:eastAsia="仿宋_GB2312" w:cs="Times New Roman"/>
          <w:sz w:val="32"/>
          <w:szCs w:val="32"/>
          <w:lang w:eastAsia="zh-CN"/>
        </w:rPr>
        <w:t>》（岳楼财绩〔2023〕4 号）</w:t>
      </w:r>
      <w:r>
        <w:rPr>
          <w:rFonts w:hint="default" w:ascii="Times New Roman" w:hAnsi="Times New Roman" w:eastAsia="仿宋_GB2312" w:cs="Times New Roman"/>
          <w:sz w:val="32"/>
          <w:szCs w:val="32"/>
          <w:lang w:val="en-US" w:eastAsia="zh-CN"/>
        </w:rPr>
        <w:t>有关规定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我公司于2023年8月9日接受岳阳楼区财政局委托，对2022年岳阳楼区城乡居民基本养老保险基金（以下简称“基金”）开展绩效评价，通过分析其</w:t>
      </w:r>
      <w:r>
        <w:rPr>
          <w:rFonts w:hint="default" w:ascii="Times New Roman" w:hAnsi="Times New Roman" w:eastAsia="仿宋_GB2312" w:cs="Times New Roman"/>
          <w:sz w:val="32"/>
          <w:szCs w:val="32"/>
        </w:rPr>
        <w:t>预算</w:t>
      </w:r>
      <w:r>
        <w:rPr>
          <w:rFonts w:hint="default" w:ascii="Times New Roman" w:hAnsi="Times New Roman" w:eastAsia="仿宋_GB2312" w:cs="Times New Roman"/>
          <w:sz w:val="32"/>
          <w:szCs w:val="32"/>
          <w:lang w:val="en-US" w:eastAsia="zh-CN"/>
        </w:rPr>
        <w:t>收支结余以及效益情况</w:t>
      </w:r>
      <w:r>
        <w:rPr>
          <w:rFonts w:hint="default" w:ascii="Times New Roman" w:hAnsi="Times New Roman" w:eastAsia="仿宋_GB2312" w:cs="Times New Roman"/>
          <w:sz w:val="32"/>
          <w:szCs w:val="32"/>
        </w:rPr>
        <w:t>，总结</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经验，发现管理问题，提出</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建议，促进</w:t>
      </w:r>
      <w:r>
        <w:rPr>
          <w:rFonts w:hint="default" w:ascii="Times New Roman" w:hAnsi="Times New Roman" w:eastAsia="仿宋_GB2312" w:cs="Times New Roman"/>
          <w:sz w:val="32"/>
          <w:szCs w:val="32"/>
          <w:lang w:val="en-US" w:eastAsia="zh-CN"/>
        </w:rPr>
        <w:t>岳阳楼区社会保险事业高质量发展</w:t>
      </w:r>
      <w:r>
        <w:rPr>
          <w:rFonts w:hint="default" w:ascii="Times New Roman" w:hAnsi="Times New Roman" w:eastAsia="仿宋_GB2312" w:cs="Times New Roman"/>
          <w:sz w:val="32"/>
          <w:szCs w:val="32"/>
        </w:rPr>
        <w:t>。</w:t>
      </w:r>
    </w:p>
    <w:p>
      <w:pPr>
        <w:pStyle w:val="2"/>
        <w:pageBreakBefore w:val="0"/>
        <w:widowControl w:val="0"/>
        <w:numPr>
          <w:ilvl w:val="0"/>
          <w:numId w:val="1"/>
        </w:numPr>
        <w:kinsoku/>
        <w:wordWrap/>
        <w:overflowPunct/>
        <w:topLinePunct w:val="0"/>
        <w:autoSpaceDE/>
        <w:autoSpaceDN/>
        <w:bidi w:val="0"/>
        <w:adjustRightInd/>
        <w:snapToGrid/>
        <w:spacing w:before="0" w:after="0" w:line="600" w:lineRule="exact"/>
        <w:ind w:left="0" w:firstLine="643" w:firstLineChars="200"/>
        <w:textAlignment w:val="auto"/>
        <w:rPr>
          <w:rFonts w:hint="eastAsia" w:ascii="黑体" w:hAnsi="黑体" w:eastAsia="黑体" w:cs="黑体"/>
          <w:sz w:val="32"/>
          <w:szCs w:val="32"/>
        </w:rPr>
      </w:pPr>
      <w:bookmarkStart w:id="15" w:name="_Toc24853"/>
      <w:bookmarkStart w:id="16" w:name="_Toc27618"/>
      <w:bookmarkStart w:id="17" w:name="_Toc24066"/>
      <w:r>
        <w:rPr>
          <w:rFonts w:hint="eastAsia" w:ascii="黑体" w:hAnsi="黑体" w:eastAsia="黑体" w:cs="黑体"/>
          <w:sz w:val="32"/>
          <w:szCs w:val="32"/>
          <w:lang w:val="en-US" w:eastAsia="zh-CN"/>
        </w:rPr>
        <w:t>项目</w:t>
      </w:r>
      <w:r>
        <w:rPr>
          <w:rFonts w:hint="eastAsia" w:ascii="黑体" w:hAnsi="黑体" w:eastAsia="黑体" w:cs="黑体"/>
          <w:sz w:val="32"/>
          <w:szCs w:val="32"/>
        </w:rPr>
        <w:t>概况</w:t>
      </w:r>
      <w:bookmarkEnd w:id="15"/>
      <w:bookmarkEnd w:id="16"/>
      <w:bookmarkEnd w:id="17"/>
    </w:p>
    <w:p>
      <w:pPr>
        <w:pStyle w:val="3"/>
        <w:pageBreakBefore w:val="0"/>
        <w:widowControl w:val="0"/>
        <w:numPr>
          <w:ilvl w:val="0"/>
          <w:numId w:val="2"/>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lang w:val="en-US" w:eastAsia="zh-CN"/>
        </w:rPr>
      </w:pPr>
      <w:bookmarkStart w:id="18" w:name="_Toc21911"/>
      <w:r>
        <w:rPr>
          <w:rFonts w:hint="eastAsia" w:ascii="楷体_GB2312" w:hAnsi="楷体_GB2312" w:eastAsia="楷体_GB2312" w:cs="楷体_GB2312"/>
          <w:b/>
          <w:bCs w:val="0"/>
          <w:lang w:val="en-US" w:eastAsia="zh-CN"/>
        </w:rPr>
        <w:t>项目基本情况</w:t>
      </w:r>
      <w:bookmarkEnd w:id="18"/>
    </w:p>
    <w:p>
      <w:pPr>
        <w:pageBreakBefore w:val="0"/>
        <w:widowControl w:val="0"/>
        <w:kinsoku/>
        <w:wordWrap/>
        <w:overflowPunct/>
        <w:topLinePunct w:val="0"/>
        <w:autoSpaceDE/>
        <w:autoSpaceDN/>
        <w:bidi w:val="0"/>
        <w:adjustRightInd/>
        <w:snapToGrid/>
        <w:spacing w:line="600" w:lineRule="exact"/>
        <w:ind w:firstLine="61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7"/>
          <w:sz w:val="32"/>
          <w:szCs w:val="32"/>
          <w:lang w:val="en-US" w:eastAsia="zh-CN"/>
        </w:rPr>
        <w:t>制度模式方面，目前现行的</w:t>
      </w:r>
      <w:r>
        <w:rPr>
          <w:rFonts w:hint="default" w:ascii="Times New Roman" w:hAnsi="Times New Roman" w:eastAsia="仿宋_GB2312" w:cs="Times New Roman"/>
          <w:spacing w:val="-7"/>
          <w:sz w:val="32"/>
          <w:szCs w:val="32"/>
        </w:rPr>
        <w:t>城乡居民基本养老保险</w:t>
      </w:r>
      <w:r>
        <w:rPr>
          <w:rFonts w:hint="default" w:ascii="Times New Roman" w:hAnsi="Times New Roman" w:eastAsia="仿宋_GB2312" w:cs="Times New Roman"/>
          <w:spacing w:val="-7"/>
          <w:sz w:val="32"/>
          <w:szCs w:val="32"/>
          <w:lang w:val="en-US" w:eastAsia="zh-CN"/>
        </w:rPr>
        <w:t>是新农保和城镇居民社保两项社保制度合并实施后的产物，主要目的是保障人民基本生活和调节社会收入分配。</w:t>
      </w:r>
      <w:r>
        <w:rPr>
          <w:rFonts w:hint="default" w:ascii="Times New Roman" w:hAnsi="Times New Roman" w:eastAsia="仿宋_GB2312" w:cs="Times New Roman"/>
          <w:sz w:val="32"/>
          <w:szCs w:val="32"/>
          <w:lang w:val="en-US" w:eastAsia="zh-CN"/>
        </w:rPr>
        <w:t>基金采取基础养老金和个人账户养老金相结合，鼓励长缴多得、多缴多得。</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参保人群方面，拥有湖南省户籍年满16周岁（不含在校学生）的非国家机关和事业单位工作人员及不属于职工基本养老保险制度覆盖范围的城乡居民，可以在户籍地参加城乡居民养老保险。</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金来源方面，根据《湖南省人民政府关于完善城乡居民基本养老保险制度的实施意见》（湘政发〔2020〕19号），城乡居民基本养老保险基金由个人缴费、集体补助和政府补贴构成。其中，个人缴费有13档，自主选择缴纳，即每人每年缴纳200元、300元、400元、500元、600元、700元、800元、900元、1,000元、1,500元、2,000元、2,500元以及3,000元13个档次。对重度残疾人、低保对象、特困人员等缴费困难群体，保留每人每年100元的缴费档次。集体补助是有条件的村集体经济组织对参保人缴费给予补助，补助标准由村民委员会召开村民会议民主确定。政府补贴由财政资金保障和支付，主要用于支付基础养老金、个人缴费补贴、缴费困难群体代缴养老保险费等。基础养老金由中央、省、市、区县财政共同支付，根据居民收入增长以及物价变动等因素会适时调整。个人缴费补贴按缴费档次分别补贴，对缴纳100元、200元、300元、400元、500元及以上档次的，政府补贴分别对应为每人每年30元、30元、40元、40元、60元。对重度残疾人等缴费特别困难群体，岳阳楼区政府按每人每年100元缴费档次给予全部代缴，对其他缴费困难群体，岳阳楼区政府按每人每年100元缴费档次给予部分或全部补贴。</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待遇支出方面，养老待遇来自个人账户结余资金以及政府负担的基础养老金。来自个人账户的月养老金根据个人账户结余资金除以139发放，政府负担的基础养老金按照规定的补贴标准发放。参保人死亡的，从死亡次月起停止支付养老金，其个人账户中的资金余额可以依法继承。</w:t>
      </w:r>
      <w:r>
        <w:rPr>
          <w:rFonts w:hint="default" w:ascii="Times New Roman" w:hAnsi="Times New Roman" w:eastAsia="仿宋_GB2312" w:cs="Times New Roman"/>
          <w:sz w:val="32"/>
          <w:szCs w:val="32"/>
          <w:lang w:val="en-US" w:eastAsia="zh-CN"/>
        </w:rPr>
        <w:t>基金对死亡的参保人员支付丧葬补助（由继承人领取），补助标准为12个月的基础养老金，所需资金由岳阳市本级财政负担30%，岳阳楼区财政负担70%。</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资格管理方面，社保中心每年对参保人进行待遇领取资格认证，并与职工基本养老保险待遇等领取记录进行比对，确保不重、不漏、不错。对于重复领取、骗取、冒领养老保险待遇的及时追回。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资金管理方面，基金收入纳入财政专户，社保中心设立支出户，资金实行“收支两条线”管理，独立核算，专款专用。基础养老金与个人账户基金分账核算。个人账户基金不得用于发放基础养老金，当年筹集的个人账户基金收入支付当年个人账户基金支出后，按规定的期限结算上解，上解的个人账户基金纳入省级财政专户管理。</w:t>
      </w:r>
    </w:p>
    <w:p>
      <w:pPr>
        <w:pStyle w:val="3"/>
        <w:pageBreakBefore w:val="0"/>
        <w:widowControl w:val="0"/>
        <w:numPr>
          <w:ilvl w:val="0"/>
          <w:numId w:val="2"/>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lang w:val="en-US" w:eastAsia="zh-CN"/>
        </w:rPr>
      </w:pPr>
      <w:bookmarkStart w:id="19" w:name="_Toc8139"/>
      <w:r>
        <w:rPr>
          <w:rFonts w:hint="eastAsia" w:ascii="楷体_GB2312" w:hAnsi="楷体_GB2312" w:eastAsia="楷体_GB2312" w:cs="楷体_GB2312"/>
          <w:b/>
          <w:bCs w:val="0"/>
          <w:lang w:val="en-US" w:eastAsia="zh-CN"/>
        </w:rPr>
        <w:t>具体经办单位</w:t>
      </w:r>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岳阳楼区社会保险服务中心（简称“社保中心”）隶属于岳阳楼区人力资源和社会保障局，负责经办全区机关事业单位、各类企业单位、个体工商户和城镇灵活就业人员以及城乡居民的基本养老保险业务工作，包括建立参保人员个人账户，计发各类参保人员养老保险待遇，按规定管理和使用养老保险基金以及开展离退休人员社会化服务工作。</w:t>
      </w:r>
    </w:p>
    <w:p>
      <w:pPr>
        <w:pStyle w:val="3"/>
        <w:pageBreakBefore w:val="0"/>
        <w:widowControl w:val="0"/>
        <w:numPr>
          <w:ilvl w:val="0"/>
          <w:numId w:val="2"/>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lang w:val="en-US" w:eastAsia="zh-CN"/>
        </w:rPr>
      </w:pPr>
      <w:bookmarkStart w:id="20" w:name="_Toc22280"/>
      <w:r>
        <w:rPr>
          <w:rFonts w:hint="eastAsia" w:ascii="楷体_GB2312" w:hAnsi="楷体_GB2312" w:eastAsia="楷体_GB2312" w:cs="楷体_GB2312"/>
          <w:b/>
          <w:bCs w:val="0"/>
          <w:lang w:val="en-US" w:eastAsia="zh-CN"/>
        </w:rPr>
        <w:t>基金绩效目标</w:t>
      </w:r>
      <w:bookmarkEnd w:id="2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收集的2022年基金绩效目标申报表，年度目标填写的是确保楼区城乡居民养老保险参保缴费人员按规定享受缴费补贴、困难人员享受政府代缴、退休人员按月足额领取养老金待遇，按期调整待遇，让退休人员享受国家发展改革成果，安享晚年，确保社会稳定和长治久安。</w:t>
      </w:r>
    </w:p>
    <w:p>
      <w:pPr>
        <w:jc w:val="center"/>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2022年基金绩效目标申报表</w:t>
      </w:r>
    </w:p>
    <w:tbl>
      <w:tblPr>
        <w:tblStyle w:val="14"/>
        <w:tblW w:w="82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3"/>
        <w:gridCol w:w="1234"/>
        <w:gridCol w:w="1233"/>
        <w:gridCol w:w="2656"/>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年度目标</w:t>
            </w:r>
          </w:p>
        </w:tc>
        <w:tc>
          <w:tcPr>
            <w:tcW w:w="72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确保楼区城乡居民养老保险参保缴费人员按规定享受缴费补贴、困难人员享受政府代缴、退休人员按月足额领取养老金待遇，按期调整待遇，让退休人员享受国家发展改革成果，安享晚年，确保社会稳定和长治久安</w:t>
            </w:r>
            <w:r>
              <w:rPr>
                <w:rFonts w:hint="default" w:ascii="Times New Roman" w:hAnsi="Times New Roman" w:eastAsia="宋体" w:cs="Times New Roman"/>
                <w:b w:val="0"/>
                <w:bCs w:val="0"/>
                <w:i w:val="0"/>
                <w:iCs w:val="0"/>
                <w:color w:val="000000"/>
                <w:kern w:val="0"/>
                <w:sz w:val="20"/>
                <w:szCs w:val="20"/>
                <w:u w:val="none"/>
                <w:lang w:val="en-US" w:eastAsia="zh-CN" w:bidi="ar"/>
              </w:rPr>
              <w:t xml:space="preserve"> </w:t>
            </w:r>
            <w:r>
              <w:rPr>
                <w:rStyle w:val="29"/>
                <w:b w:val="0"/>
                <w:bCs w:val="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绩效指标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一级指标</w:t>
            </w:r>
          </w:p>
        </w:tc>
        <w:tc>
          <w:tcPr>
            <w:tcW w:w="12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二级指标</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三</w:t>
            </w:r>
            <w:r>
              <w:rPr>
                <w:rFonts w:hint="default" w:ascii="Times New Roman" w:hAnsi="Times New Roman" w:eastAsia="宋体" w:cs="Times New Roman"/>
                <w:b w:val="0"/>
                <w:bCs w:val="0"/>
                <w:i w:val="0"/>
                <w:iCs w:val="0"/>
                <w:color w:val="000000"/>
                <w:kern w:val="0"/>
                <w:sz w:val="20"/>
                <w:szCs w:val="20"/>
                <w:u w:val="none"/>
                <w:lang w:val="en-US" w:eastAsia="zh-CN" w:bidi="ar"/>
              </w:rPr>
              <w:t xml:space="preserve"> </w:t>
            </w:r>
            <w:r>
              <w:rPr>
                <w:rStyle w:val="29"/>
                <w:b w:val="0"/>
                <w:bCs w:val="0"/>
                <w:lang w:val="en-US" w:eastAsia="zh-CN" w:bidi="ar"/>
              </w:rPr>
              <w:t>级</w:t>
            </w:r>
            <w:r>
              <w:rPr>
                <w:rFonts w:hint="default" w:ascii="Times New Roman" w:hAnsi="Times New Roman" w:eastAsia="宋体" w:cs="Times New Roman"/>
                <w:b w:val="0"/>
                <w:bCs w:val="0"/>
                <w:i w:val="0"/>
                <w:iCs w:val="0"/>
                <w:color w:val="000000"/>
                <w:kern w:val="0"/>
                <w:sz w:val="20"/>
                <w:szCs w:val="20"/>
                <w:u w:val="none"/>
                <w:lang w:val="en-US" w:eastAsia="zh-CN" w:bidi="ar"/>
              </w:rPr>
              <w:t xml:space="preserve"> </w:t>
            </w:r>
            <w:r>
              <w:rPr>
                <w:rStyle w:val="29"/>
                <w:b w:val="0"/>
                <w:bCs w:val="0"/>
                <w:lang w:val="en-US" w:eastAsia="zh-CN" w:bidi="ar"/>
              </w:rPr>
              <w:t>指</w:t>
            </w:r>
            <w:r>
              <w:rPr>
                <w:rFonts w:hint="default" w:ascii="Times New Roman" w:hAnsi="Times New Roman" w:eastAsia="宋体" w:cs="Times New Roman"/>
                <w:b w:val="0"/>
                <w:bCs w:val="0"/>
                <w:i w:val="0"/>
                <w:iCs w:val="0"/>
                <w:color w:val="000000"/>
                <w:kern w:val="0"/>
                <w:sz w:val="20"/>
                <w:szCs w:val="20"/>
                <w:u w:val="none"/>
                <w:lang w:val="en-US" w:eastAsia="zh-CN" w:bidi="ar"/>
              </w:rPr>
              <w:t xml:space="preserve"> </w:t>
            </w:r>
            <w:r>
              <w:rPr>
                <w:rStyle w:val="29"/>
                <w:b w:val="0"/>
                <w:bCs w:val="0"/>
                <w:lang w:val="en-US" w:eastAsia="zh-CN" w:bidi="ar"/>
              </w:rPr>
              <w:t>标</w:t>
            </w:r>
          </w:p>
        </w:tc>
        <w:tc>
          <w:tcPr>
            <w:tcW w:w="21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项目完成</w:t>
            </w:r>
          </w:p>
        </w:tc>
        <w:tc>
          <w:tcPr>
            <w:tcW w:w="123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数量指标</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参保缴费人数</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保障退休待遇人数</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5883</w:t>
            </w:r>
            <w:r>
              <w:rPr>
                <w:rStyle w:val="29"/>
                <w:b w:val="0"/>
                <w:bCs w:val="0"/>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困难人员政府代缴人数</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基本养老金收入预算完成率</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质量指标</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养老金足额发放率</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基金使用符合政策规定</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3"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时效指标</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养老金发放及时性</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每月</w:t>
            </w:r>
            <w:r>
              <w:rPr>
                <w:rFonts w:hint="default" w:ascii="Times New Roman" w:hAnsi="Times New Roman" w:eastAsia="宋体" w:cs="Times New Roman"/>
                <w:b w:val="0"/>
                <w:bCs w:val="0"/>
                <w:i w:val="0"/>
                <w:iCs w:val="0"/>
                <w:color w:val="000000"/>
                <w:kern w:val="0"/>
                <w:sz w:val="20"/>
                <w:szCs w:val="20"/>
                <w:u w:val="none"/>
                <w:lang w:val="en-US" w:eastAsia="zh-CN" w:bidi="ar"/>
              </w:rPr>
              <w:t>25</w:t>
            </w:r>
            <w:r>
              <w:rPr>
                <w:rStyle w:val="29"/>
                <w:b w:val="0"/>
                <w:bCs w:val="0"/>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项目效益</w:t>
            </w:r>
          </w:p>
        </w:tc>
        <w:tc>
          <w:tcPr>
            <w:tcW w:w="1233"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社会效益</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社会稳定性</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维护社会稳定效果好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3"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可持续影响</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离退休人员上访率</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20"/>
                <w:szCs w:val="20"/>
                <w:u w:val="none"/>
              </w:rPr>
            </w:pPr>
            <w:r>
              <w:rPr>
                <w:rStyle w:val="29"/>
                <w:rFonts w:hint="eastAsia"/>
                <w:b w:val="0"/>
                <w:bCs w:val="0"/>
                <w:lang w:val="en-US" w:eastAsia="zh-CN" w:bidi="ar"/>
              </w:rPr>
              <w:t>上访</w:t>
            </w:r>
            <w:r>
              <w:rPr>
                <w:rStyle w:val="29"/>
                <w:b w:val="0"/>
                <w:bCs w:val="0"/>
                <w:lang w:val="en-US" w:eastAsia="zh-CN" w:bidi="ar"/>
              </w:rPr>
              <w:t>率控制在</w:t>
            </w:r>
            <w:r>
              <w:rPr>
                <w:rFonts w:hint="default" w:ascii="Times New Roman" w:hAnsi="Times New Roman" w:eastAsia="宋体" w:cs="Times New Roman"/>
                <w:b w:val="0"/>
                <w:bCs w:val="0"/>
                <w:i w:val="0"/>
                <w:iCs w:val="0"/>
                <w:color w:val="000000"/>
                <w:kern w:val="0"/>
                <w:sz w:val="20"/>
                <w:szCs w:val="20"/>
                <w:u w:val="none"/>
                <w:lang w:val="en-US" w:eastAsia="zh-CN" w:bidi="ar"/>
              </w:rPr>
              <w:t>0.5%</w:t>
            </w:r>
            <w:r>
              <w:rPr>
                <w:rStyle w:val="29"/>
                <w:b w:val="0"/>
                <w:bCs w:val="0"/>
                <w:lang w:val="en-US" w:eastAsia="zh-CN" w:bidi="ar"/>
              </w:rPr>
              <w:t>以内</w:t>
            </w:r>
            <w:r>
              <w:rPr>
                <w:rFonts w:hint="eastAsia" w:ascii="Times New Roman" w:hAnsi="Times New Roman" w:eastAsia="宋体" w:cs="Times New Roman"/>
                <w:b w:val="0"/>
                <w:bCs w:val="0"/>
                <w:i w:val="0"/>
                <w:iCs w:val="0"/>
                <w:color w:val="000000"/>
                <w:kern w:val="0"/>
                <w:sz w:val="20"/>
                <w:szCs w:val="20"/>
                <w:u w:val="none"/>
                <w:lang w:val="en-US" w:eastAsia="zh-CN" w:bidi="ar"/>
              </w:rPr>
              <w:t>，</w:t>
            </w:r>
            <w:r>
              <w:rPr>
                <w:rFonts w:hint="default" w:ascii="Times New Roman" w:hAnsi="Times New Roman" w:eastAsia="宋体" w:cs="Times New Roman"/>
                <w:b w:val="0"/>
                <w:bCs w:val="0"/>
                <w:i w:val="0"/>
                <w:iCs w:val="0"/>
                <w:color w:val="000000"/>
                <w:kern w:val="0"/>
                <w:sz w:val="20"/>
                <w:szCs w:val="20"/>
                <w:u w:val="none"/>
                <w:lang w:val="en-US" w:eastAsia="zh-CN" w:bidi="ar"/>
              </w:rPr>
              <w:t xml:space="preserve"> </w:t>
            </w:r>
            <w:r>
              <w:rPr>
                <w:rStyle w:val="29"/>
                <w:b w:val="0"/>
                <w:bCs w:val="0"/>
                <w:lang w:val="en-US" w:eastAsia="zh-CN" w:bidi="ar"/>
              </w:rPr>
              <w:t>维护社会稳定，长治久安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满意度指标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满意度指标</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0"/>
                <w:szCs w:val="20"/>
                <w:u w:val="none"/>
              </w:rPr>
            </w:pPr>
            <w:r>
              <w:rPr>
                <w:rStyle w:val="29"/>
                <w:b w:val="0"/>
                <w:bCs w:val="0"/>
                <w:lang w:val="en-US" w:eastAsia="zh-CN" w:bidi="ar"/>
              </w:rPr>
              <w:t>离休退人员满意度</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≥95%</w:t>
            </w:r>
          </w:p>
        </w:tc>
      </w:tr>
    </w:tbl>
    <w:p>
      <w:pPr>
        <w:bidi w:val="0"/>
        <w:rPr>
          <w:rFonts w:hint="default"/>
        </w:rPr>
      </w:pPr>
      <w:bookmarkStart w:id="21" w:name="_Toc17805"/>
    </w:p>
    <w:p>
      <w:pPr>
        <w:pStyle w:val="2"/>
        <w:pageBreakBefore w:val="0"/>
        <w:widowControl w:val="0"/>
        <w:numPr>
          <w:ilvl w:val="0"/>
          <w:numId w:val="1"/>
        </w:numPr>
        <w:kinsoku/>
        <w:wordWrap/>
        <w:overflowPunct/>
        <w:topLinePunct w:val="0"/>
        <w:autoSpaceDE/>
        <w:autoSpaceDN/>
        <w:bidi w:val="0"/>
        <w:adjustRightInd/>
        <w:snapToGrid/>
        <w:spacing w:before="0" w:after="0" w:line="600" w:lineRule="exact"/>
        <w:ind w:left="0" w:firstLine="643" w:firstLineChars="200"/>
        <w:textAlignment w:val="auto"/>
        <w:rPr>
          <w:rFonts w:hint="default" w:ascii="黑体" w:hAnsi="黑体" w:eastAsia="黑体" w:cs="黑体"/>
          <w:sz w:val="32"/>
          <w:szCs w:val="32"/>
          <w:lang w:val="en-US" w:eastAsia="zh-CN"/>
        </w:rPr>
      </w:pPr>
      <w:bookmarkStart w:id="22" w:name="_Toc13750"/>
      <w:r>
        <w:rPr>
          <w:rFonts w:hint="default" w:ascii="黑体" w:hAnsi="黑体" w:eastAsia="黑体" w:cs="黑体"/>
          <w:sz w:val="32"/>
          <w:szCs w:val="32"/>
          <w:lang w:val="en-US" w:eastAsia="zh-CN"/>
        </w:rPr>
        <w:t>预算收支结余情况</w:t>
      </w:r>
      <w:bookmarkEnd w:id="21"/>
      <w:bookmarkEnd w:id="22"/>
    </w:p>
    <w:p>
      <w:pPr>
        <w:pStyle w:val="3"/>
        <w:pageBreakBefore w:val="0"/>
        <w:widowControl w:val="0"/>
        <w:numPr>
          <w:ilvl w:val="0"/>
          <w:numId w:val="3"/>
        </w:numPr>
        <w:kinsoku/>
        <w:wordWrap/>
        <w:overflowPunct/>
        <w:topLinePunct w:val="0"/>
        <w:autoSpaceDE/>
        <w:autoSpaceDN/>
        <w:bidi w:val="0"/>
        <w:adjustRightInd/>
        <w:snapToGrid/>
        <w:spacing w:before="0" w:after="0" w:line="600" w:lineRule="exact"/>
        <w:ind w:firstLine="643" w:firstLineChars="200"/>
        <w:textAlignment w:val="auto"/>
        <w:rPr>
          <w:rFonts w:hint="eastAsia" w:ascii="楷体" w:hAnsi="楷体" w:eastAsia="楷体" w:cs="楷体"/>
          <w:b/>
          <w:bCs w:val="0"/>
        </w:rPr>
      </w:pPr>
      <w:bookmarkStart w:id="23" w:name="_Toc31404"/>
      <w:bookmarkStart w:id="24" w:name="_Toc9274"/>
      <w:r>
        <w:rPr>
          <w:rFonts w:hint="eastAsia" w:ascii="楷体" w:hAnsi="楷体" w:eastAsia="楷体" w:cs="楷体"/>
          <w:b/>
          <w:bCs w:val="0"/>
          <w:lang w:val="en-US" w:eastAsia="zh-CN"/>
        </w:rPr>
        <w:t>预算收支</w:t>
      </w:r>
      <w:r>
        <w:rPr>
          <w:rFonts w:hint="eastAsia" w:ascii="楷体" w:hAnsi="楷体" w:eastAsia="楷体" w:cs="楷体"/>
          <w:b/>
          <w:bCs w:val="0"/>
        </w:rPr>
        <w:t>总体情况</w:t>
      </w:r>
      <w:bookmarkEnd w:id="23"/>
      <w:bookmarkEnd w:id="24"/>
    </w:p>
    <w:p>
      <w:pPr>
        <w:pageBreakBefore w:val="0"/>
        <w:widowControl w:val="0"/>
        <w:kinsoku/>
        <w:wordWrap/>
        <w:overflowPunct/>
        <w:topLinePunct w:val="0"/>
        <w:autoSpaceDE/>
        <w:autoSpaceDN/>
        <w:bidi w:val="0"/>
        <w:adjustRightInd/>
        <w:snapToGrid/>
        <w:spacing w:line="600" w:lineRule="exact"/>
        <w:ind w:firstLine="612" w:firstLineChars="200"/>
        <w:textAlignment w:val="auto"/>
        <w:rPr>
          <w:rFonts w:hint="default" w:ascii="Times New Roman" w:hAnsi="Times New Roman" w:eastAsia="仿宋_GB2312" w:cs="Times New Roman"/>
          <w:spacing w:val="-7"/>
          <w:sz w:val="32"/>
          <w:szCs w:val="32"/>
          <w:lang w:val="en-US" w:eastAsia="zh-CN"/>
        </w:rPr>
      </w:pPr>
      <w:r>
        <w:rPr>
          <w:rFonts w:hint="default" w:ascii="Times New Roman" w:hAnsi="Times New Roman" w:eastAsia="仿宋_GB2312" w:cs="Times New Roman"/>
          <w:spacing w:val="-7"/>
          <w:sz w:val="32"/>
          <w:szCs w:val="32"/>
          <w:lang w:val="en-US" w:eastAsia="zh-CN"/>
        </w:rPr>
        <w:t>2022年基金决算收入3,945.74万元，收入预算完成率为139.37%。决算支出为2,349.17万元，支出预算完成率为119.94%。当年结余1,596.57万元，年度结余完成率为182.98%。全年参保人数为37231人，其中缴费人数为15400人，参保缴费率为41.36%。</w:t>
      </w:r>
    </w:p>
    <w:p>
      <w:pPr>
        <w:bidi w:val="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2022年基金预算收支结余一览表</w:t>
      </w:r>
    </w:p>
    <w:p>
      <w:pPr>
        <w:pStyle w:val="11"/>
        <w:jc w:val="right"/>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金额单位：万元</w:t>
      </w:r>
    </w:p>
    <w:tbl>
      <w:tblPr>
        <w:tblStyle w:val="14"/>
        <w:tblW w:w="83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75"/>
        <w:gridCol w:w="1090"/>
        <w:gridCol w:w="1100"/>
        <w:gridCol w:w="1100"/>
        <w:gridCol w:w="1190"/>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项目</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2021</w:t>
            </w:r>
          </w:p>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决算数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2022</w:t>
            </w:r>
          </w:p>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预算数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2022</w:t>
            </w:r>
          </w:p>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决算数</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2022预算</w:t>
            </w:r>
          </w:p>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完成率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变动率</w:t>
            </w:r>
          </w:p>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参保人数（万人）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3.6528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3.7000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3.7231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100.62%</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缴费人数（万人）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 xml:space="preserve">1.8623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 xml:space="preserve">2.3508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 xml:space="preserve">1.5400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65.51%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-17.31%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应享受待遇人数（万人）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0.7235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0.5883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0.7704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130.95%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实际享受待遇人数（万人）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0.6043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0.5883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0.6697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113.84%</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年初基金结余</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14,074.94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15,139.29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15,139.29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当期基金收入</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 xml:space="preserve">3,167.06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 xml:space="preserve">2,831.16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 xml:space="preserve">3,945.74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139.37%</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24.59%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1）社会保险费收入</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1,886.98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1,690.68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2,421.85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143.25%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10" w:firstLineChars="100"/>
              <w:jc w:val="left"/>
              <w:textAlignment w:val="center"/>
              <w:rPr>
                <w:rFonts w:hint="default" w:ascii="Times New Roman" w:hAnsi="Times New Roman" w:eastAsia="仿宋" w:cs="Times New Roman"/>
                <w:i w:val="0"/>
                <w:iCs w:val="0"/>
                <w:color w:val="000000"/>
                <w:sz w:val="21"/>
                <w:szCs w:val="21"/>
                <w:u w:val="none"/>
              </w:rPr>
            </w:pPr>
            <w:r>
              <w:rPr>
                <w:rStyle w:val="26"/>
                <w:rFonts w:hint="default" w:ascii="Times New Roman" w:hAnsi="Times New Roman" w:eastAsia="仿宋" w:cs="Times New Roman"/>
                <w:sz w:val="21"/>
                <w:szCs w:val="21"/>
                <w:lang w:val="en-US" w:eastAsia="zh-CN" w:bidi="ar"/>
              </w:rPr>
              <w:t>①</w:t>
            </w:r>
            <w:r>
              <w:rPr>
                <w:rStyle w:val="27"/>
                <w:rFonts w:hint="default" w:ascii="Times New Roman" w:hAnsi="Times New Roman" w:eastAsia="仿宋" w:cs="Times New Roman"/>
                <w:sz w:val="21"/>
                <w:szCs w:val="21"/>
                <w:lang w:val="en-US" w:eastAsia="zh-CN" w:bidi="ar"/>
              </w:rPr>
              <w:t>缴当年保费收入</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659.25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540.68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673.27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124.52%</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  ②补缴往年保费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389.68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1,027.00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823.00</w:t>
            </w:r>
            <w:r>
              <w:rPr>
                <w:rFonts w:hint="default" w:ascii="Times New Roman" w:hAnsi="Times New Roman" w:eastAsia="仿宋" w:cs="Times New Roman"/>
                <w:i w:val="0"/>
                <w:iCs w:val="0"/>
                <w:color w:val="000000"/>
                <w:kern w:val="0"/>
                <w:sz w:val="21"/>
                <w:szCs w:val="21"/>
                <w:u w:val="none"/>
                <w:lang w:val="en-US" w:eastAsia="zh-CN" w:bidi="ar"/>
              </w:rPr>
              <w:t xml:space="preserve">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80.14%</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  </w:t>
            </w:r>
            <w:r>
              <w:rPr>
                <w:rStyle w:val="26"/>
                <w:rFonts w:hint="default" w:ascii="Times New Roman" w:hAnsi="Times New Roman" w:eastAsia="仿宋" w:cs="Times New Roman"/>
                <w:sz w:val="21"/>
                <w:szCs w:val="21"/>
                <w:lang w:val="en-US" w:eastAsia="zh-CN" w:bidi="ar"/>
              </w:rPr>
              <w:t>③</w:t>
            </w:r>
            <w:r>
              <w:rPr>
                <w:rStyle w:val="27"/>
                <w:rFonts w:hint="default" w:ascii="Times New Roman" w:hAnsi="Times New Roman" w:eastAsia="仿宋" w:cs="Times New Roman"/>
                <w:sz w:val="21"/>
                <w:szCs w:val="21"/>
                <w:lang w:val="en-US" w:eastAsia="zh-CN" w:bidi="ar"/>
              </w:rPr>
              <w:t>被征地农民保费补贴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618.15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102.31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  </w:t>
            </w:r>
            <w:r>
              <w:rPr>
                <w:rStyle w:val="28"/>
                <w:rFonts w:hint="default" w:ascii="Times New Roman" w:hAnsi="Times New Roman" w:eastAsia="仿宋" w:cs="Times New Roman"/>
                <w:sz w:val="21"/>
                <w:szCs w:val="21"/>
                <w:lang w:val="en-US" w:eastAsia="zh-CN" w:bidi="ar"/>
              </w:rPr>
              <w:t>④</w:t>
            </w:r>
            <w:r>
              <w:rPr>
                <w:rStyle w:val="27"/>
                <w:rFonts w:hint="default" w:ascii="Times New Roman" w:hAnsi="Times New Roman" w:eastAsia="仿宋" w:cs="Times New Roman"/>
                <w:sz w:val="21"/>
                <w:szCs w:val="21"/>
                <w:lang w:val="en-US" w:eastAsia="zh-CN" w:bidi="ar"/>
              </w:rPr>
              <w:t>政府代缴收入</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123.00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123.00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63.37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51.52%</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  </w:t>
            </w:r>
            <w:r>
              <w:rPr>
                <w:rStyle w:val="28"/>
                <w:rFonts w:hint="default" w:ascii="Times New Roman" w:hAnsi="Times New Roman" w:eastAsia="仿宋" w:cs="Times New Roman"/>
                <w:sz w:val="21"/>
                <w:szCs w:val="21"/>
                <w:lang w:val="en-US" w:eastAsia="zh-CN" w:bidi="ar"/>
              </w:rPr>
              <w:t>⑤</w:t>
            </w:r>
            <w:r>
              <w:rPr>
                <w:rStyle w:val="27"/>
                <w:rFonts w:hint="default" w:ascii="Times New Roman" w:hAnsi="Times New Roman" w:eastAsia="仿宋" w:cs="Times New Roman"/>
                <w:sz w:val="21"/>
                <w:szCs w:val="21"/>
                <w:lang w:val="en-US" w:eastAsia="zh-CN" w:bidi="ar"/>
              </w:rPr>
              <w:t>退捕渔民养老金补贴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96.90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759.90</w:t>
            </w:r>
            <w:r>
              <w:rPr>
                <w:rFonts w:hint="default" w:ascii="Times New Roman" w:hAnsi="Times New Roman" w:eastAsia="仿宋" w:cs="Times New Roman"/>
                <w:i w:val="0"/>
                <w:iCs w:val="0"/>
                <w:color w:val="000000"/>
                <w:kern w:val="0"/>
                <w:sz w:val="21"/>
                <w:szCs w:val="21"/>
                <w:u w:val="none"/>
                <w:lang w:val="en-US" w:eastAsia="zh-CN" w:bidi="ar"/>
              </w:rPr>
              <w:t xml:space="preserve">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684.21%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2）利息收入</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263.26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60.00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100.91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168.18%</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3）财政补助收入</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961.25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1,064.26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1,262.69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118.64%</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4）转移收入</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20.30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14.22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21.29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149.72%</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5）其他收入</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35.27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2.00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139.00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6950.00%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当年基金支出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 xml:space="preserve">2,108.71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 xml:space="preserve">1,958.64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 xml:space="preserve">2,349.17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119.94%</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1）社会保险基金支出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1,988.98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1,856.64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2,207.26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118.88%</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月人均养老金（元）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 xml:space="preserve">194.60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 xml:space="preserve">241.87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 xml:space="preserve">210.29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bCs/>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Style w:val="26"/>
                <w:rFonts w:hint="default" w:ascii="Times New Roman" w:hAnsi="Times New Roman" w:eastAsia="仿宋" w:cs="Times New Roman"/>
                <w:sz w:val="21"/>
                <w:szCs w:val="21"/>
                <w:lang w:val="en-US" w:eastAsia="zh-CN" w:bidi="ar"/>
              </w:rPr>
              <w:t>①</w:t>
            </w:r>
            <w:r>
              <w:rPr>
                <w:rStyle w:val="27"/>
                <w:rFonts w:hint="default" w:ascii="Times New Roman" w:hAnsi="Times New Roman" w:eastAsia="仿宋" w:cs="Times New Roman"/>
                <w:sz w:val="21"/>
                <w:szCs w:val="21"/>
                <w:lang w:val="en-US" w:eastAsia="zh-CN" w:bidi="ar"/>
              </w:rPr>
              <w:t>基础养老金支出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1,155.64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947.00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1,277.13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134.86%</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Style w:val="26"/>
                <w:rFonts w:hint="default" w:ascii="Times New Roman" w:hAnsi="Times New Roman" w:eastAsia="仿宋" w:cs="Times New Roman"/>
                <w:sz w:val="21"/>
                <w:szCs w:val="21"/>
                <w:lang w:val="en-US" w:eastAsia="zh-CN" w:bidi="ar"/>
              </w:rPr>
              <w:t>②</w:t>
            </w:r>
            <w:r>
              <w:rPr>
                <w:rStyle w:val="27"/>
                <w:rFonts w:hint="default" w:ascii="Times New Roman" w:hAnsi="Times New Roman" w:eastAsia="仿宋" w:cs="Times New Roman"/>
                <w:sz w:val="21"/>
                <w:szCs w:val="21"/>
                <w:lang w:val="en-US" w:eastAsia="zh-CN" w:bidi="ar"/>
              </w:rPr>
              <w:t>个人帐户养老金支出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775.16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889.64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822.78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  其中：按月支付待遇支出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617.06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729.64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639.40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 </w:t>
            </w:r>
            <w:r>
              <w:rPr>
                <w:rFonts w:hint="default" w:ascii="Times New Roman" w:hAnsi="Times New Roman" w:eastAsia="仿宋" w:cs="Times New Roman"/>
                <w:i w:val="0"/>
                <w:iCs w:val="0"/>
                <w:color w:val="000000"/>
                <w:kern w:val="0"/>
                <w:sz w:val="18"/>
                <w:szCs w:val="18"/>
                <w:u w:val="none"/>
                <w:lang w:val="en-US" w:eastAsia="zh-CN" w:bidi="ar"/>
              </w:rPr>
              <w:t xml:space="preserve"> 死亡或重复参保一次性支出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158.10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160.00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183.38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Style w:val="26"/>
                <w:rFonts w:hint="default" w:ascii="Times New Roman" w:hAnsi="Times New Roman" w:eastAsia="仿宋" w:cs="Times New Roman"/>
                <w:sz w:val="21"/>
                <w:szCs w:val="21"/>
                <w:lang w:val="en-US" w:eastAsia="zh-CN" w:bidi="ar"/>
              </w:rPr>
              <w:t>③</w:t>
            </w:r>
            <w:r>
              <w:rPr>
                <w:rStyle w:val="27"/>
                <w:rFonts w:hint="default" w:ascii="Times New Roman" w:hAnsi="Times New Roman" w:eastAsia="仿宋" w:cs="Times New Roman"/>
                <w:sz w:val="21"/>
                <w:szCs w:val="21"/>
                <w:lang w:val="en-US" w:eastAsia="zh-CN" w:bidi="ar"/>
              </w:rPr>
              <w:t xml:space="preserve"> 丧葬抚恤补助支出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58.18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20.00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107.35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536.75%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10" w:firstLineChars="10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死亡人数（人）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582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200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1,026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10" w:firstLineChars="10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丧葬金标准（元）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1,692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2）转移支出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119.73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102.00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138.03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135.32%</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3）其他支出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 w:cs="Times New Roman"/>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3.88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当年基金结余</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 xml:space="preserve">1,058.35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 xml:space="preserve">872.52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 xml:space="preserve">1,596.57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182.98%</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50.85%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基金累计结余</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15,133.29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16,011.81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16,735.86</w:t>
            </w:r>
            <w:r>
              <w:rPr>
                <w:rFonts w:hint="default" w:ascii="Times New Roman" w:hAnsi="Times New Roman" w:eastAsia="仿宋" w:cs="Times New Roman"/>
                <w:i w:val="0"/>
                <w:iCs w:val="0"/>
                <w:color w:val="000000"/>
                <w:kern w:val="0"/>
                <w:sz w:val="21"/>
                <w:szCs w:val="21"/>
                <w:u w:val="none"/>
                <w:lang w:val="en-US" w:eastAsia="zh-CN" w:bidi="ar"/>
              </w:rPr>
              <w:t xml:space="preserve"> </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104.52%</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10.59%</w:t>
            </w:r>
          </w:p>
        </w:tc>
      </w:tr>
    </w:tbl>
    <w:p>
      <w:pPr>
        <w:numPr>
          <w:ilvl w:val="0"/>
          <w:numId w:val="0"/>
        </w:numP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 xml:space="preserve">注1：中央基础养老金2022年1-6月人均93元，2022年7-12月人均98元；省级基础养老金月标准8元；市级基础养老金月标准9.90 元；区级基础养老金月标准25.10元。 </w:t>
      </w:r>
    </w:p>
    <w:p>
      <w:pPr>
        <w:pStyle w:val="11"/>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注2：个人缴费收入为缴纳2022年的保费以及补缴往年的保费。</w:t>
      </w:r>
    </w:p>
    <w:p>
      <w:pPr>
        <w:pStyle w:val="11"/>
        <w:rPr>
          <w:rFonts w:hint="default" w:ascii="Times New Roman" w:hAnsi="Times New Roman" w:eastAsia="仿宋" w:cs="Times New Roman"/>
          <w:lang w:val="en-US" w:eastAsia="zh-CN"/>
        </w:rPr>
      </w:pPr>
    </w:p>
    <w:p>
      <w:pPr>
        <w:pageBreakBefore w:val="0"/>
        <w:widowControl w:val="0"/>
        <w:kinsoku/>
        <w:wordWrap/>
        <w:overflowPunct/>
        <w:topLinePunct w:val="0"/>
        <w:autoSpaceDE/>
        <w:autoSpaceDN/>
        <w:bidi w:val="0"/>
        <w:adjustRightInd/>
        <w:snapToGrid/>
        <w:spacing w:line="600" w:lineRule="exact"/>
        <w:ind w:firstLine="612" w:firstLineChars="200"/>
        <w:textAlignment w:val="auto"/>
        <w:rPr>
          <w:rFonts w:hint="default" w:ascii="Times New Roman" w:hAnsi="Times New Roman" w:eastAsia="仿宋" w:cs="Times New Roman"/>
          <w:spacing w:val="-7"/>
          <w:sz w:val="32"/>
          <w:szCs w:val="32"/>
          <w:lang w:val="en-US" w:eastAsia="zh-CN"/>
        </w:rPr>
      </w:pPr>
      <w:r>
        <w:rPr>
          <w:rFonts w:hint="default" w:ascii="Times New Roman" w:hAnsi="Times New Roman" w:eastAsia="仿宋_GB2312" w:cs="Times New Roman"/>
          <w:spacing w:val="-7"/>
          <w:sz w:val="32"/>
          <w:szCs w:val="32"/>
          <w:lang w:val="en-US" w:eastAsia="zh-CN"/>
        </w:rPr>
        <w:t>收入增长方面，2022年基金收入较2021年增长24.59%，增长动力来自补缴往年保费收入、退捕渔民养老金补贴收入、财政补助收入以及其他收入的增加所致。支出增长方面，当年基金支出较上年增加11.40%，增长原因是基础养老金支出以及丧葬补助支出同比上升的缘故。累计结余方面，2022年较2021年增长10.59%，收入增长大于支出增长所致。</w:t>
      </w:r>
    </w:p>
    <w:p>
      <w:pPr>
        <w:pStyle w:val="3"/>
        <w:pageBreakBefore w:val="0"/>
        <w:widowControl w:val="0"/>
        <w:numPr>
          <w:ilvl w:val="0"/>
          <w:numId w:val="3"/>
        </w:numPr>
        <w:kinsoku/>
        <w:wordWrap/>
        <w:overflowPunct/>
        <w:topLinePunct w:val="0"/>
        <w:autoSpaceDE/>
        <w:autoSpaceDN/>
        <w:bidi w:val="0"/>
        <w:adjustRightInd/>
        <w:snapToGrid/>
        <w:spacing w:before="0" w:after="0" w:line="600" w:lineRule="exact"/>
        <w:ind w:firstLine="643" w:firstLineChars="200"/>
        <w:textAlignment w:val="auto"/>
        <w:rPr>
          <w:rFonts w:hint="default" w:ascii="楷体" w:hAnsi="楷体" w:eastAsia="楷体" w:cs="楷体"/>
          <w:b/>
          <w:bCs w:val="0"/>
          <w:lang w:val="en-US" w:eastAsia="zh-CN"/>
        </w:rPr>
      </w:pPr>
      <w:bookmarkStart w:id="25" w:name="_Toc10647"/>
      <w:bookmarkStart w:id="26" w:name="_Toc32318"/>
      <w:r>
        <w:rPr>
          <w:rFonts w:hint="default" w:ascii="楷体" w:hAnsi="楷体" w:eastAsia="楷体" w:cs="楷体"/>
          <w:b/>
          <w:bCs w:val="0"/>
          <w:lang w:val="en-US" w:eastAsia="zh-CN"/>
        </w:rPr>
        <w:t>预算收支分项分析</w:t>
      </w:r>
      <w:bookmarkEnd w:id="25"/>
      <w:bookmarkEnd w:id="26"/>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lang w:val="en-US" w:eastAsia="zh-CN"/>
        </w:rPr>
      </w:pPr>
      <w:bookmarkStart w:id="27" w:name="_Toc18434"/>
      <w:bookmarkStart w:id="28" w:name="_Toc23514"/>
      <w:r>
        <w:rPr>
          <w:rFonts w:hint="default" w:ascii="Times New Roman" w:hAnsi="Times New Roman" w:eastAsia="仿宋" w:cs="Times New Roman"/>
        </w:rPr>
        <w:t>1.</w:t>
      </w:r>
      <w:bookmarkEnd w:id="27"/>
      <w:r>
        <w:rPr>
          <w:rFonts w:hint="default" w:ascii="Times New Roman" w:hAnsi="Times New Roman" w:eastAsia="仿宋" w:cs="Times New Roman"/>
          <w:lang w:val="en-US" w:eastAsia="zh-CN"/>
        </w:rPr>
        <w:t>个人缴费分析</w:t>
      </w:r>
      <w:bookmarkEnd w:id="28"/>
    </w:p>
    <w:p>
      <w:pPr>
        <w:pageBreakBefore w:val="0"/>
        <w:widowControl w:val="0"/>
        <w:kinsoku/>
        <w:wordWrap/>
        <w:overflowPunct/>
        <w:topLinePunct w:val="0"/>
        <w:autoSpaceDE/>
        <w:autoSpaceDN/>
        <w:bidi w:val="0"/>
        <w:adjustRightInd/>
        <w:snapToGrid/>
        <w:spacing w:line="600" w:lineRule="exact"/>
        <w:ind w:firstLine="612" w:firstLineChars="200"/>
        <w:textAlignment w:val="auto"/>
        <w:rPr>
          <w:rFonts w:hint="default" w:ascii="Times New Roman" w:hAnsi="Times New Roman" w:eastAsia="仿宋_GB2312" w:cs="Times New Roman"/>
          <w:spacing w:val="-7"/>
          <w:sz w:val="32"/>
          <w:szCs w:val="32"/>
          <w:lang w:val="en-US" w:eastAsia="zh-CN"/>
        </w:rPr>
      </w:pPr>
      <w:r>
        <w:rPr>
          <w:rFonts w:hint="default" w:ascii="Times New Roman" w:hAnsi="Times New Roman" w:eastAsia="仿宋_GB2312" w:cs="Times New Roman"/>
          <w:spacing w:val="-7"/>
          <w:sz w:val="32"/>
          <w:szCs w:val="32"/>
          <w:lang w:val="en-US" w:eastAsia="zh-CN"/>
        </w:rPr>
        <w:t>缴纳</w:t>
      </w:r>
      <w:r>
        <w:rPr>
          <w:rFonts w:hint="default" w:ascii="Times New Roman" w:hAnsi="Times New Roman" w:eastAsia="仿宋_GB2312" w:cs="Times New Roman"/>
          <w:spacing w:val="-7"/>
          <w:sz w:val="32"/>
          <w:szCs w:val="32"/>
        </w:rPr>
        <w:t>2022年</w:t>
      </w:r>
      <w:r>
        <w:rPr>
          <w:rFonts w:hint="default" w:ascii="Times New Roman" w:hAnsi="Times New Roman" w:eastAsia="仿宋_GB2312" w:cs="Times New Roman"/>
          <w:spacing w:val="-7"/>
          <w:sz w:val="32"/>
          <w:szCs w:val="32"/>
          <w:lang w:val="en-US" w:eastAsia="zh-CN"/>
        </w:rPr>
        <w:t>保费的人数为</w:t>
      </w:r>
      <w:r>
        <w:rPr>
          <w:rFonts w:hint="default" w:ascii="Times New Roman" w:hAnsi="Times New Roman" w:eastAsia="仿宋_GB2312" w:cs="Times New Roman"/>
          <w:spacing w:val="-7"/>
          <w:sz w:val="32"/>
          <w:szCs w:val="32"/>
        </w:rPr>
        <w:t>15400</w:t>
      </w:r>
      <w:r>
        <w:rPr>
          <w:rFonts w:hint="default" w:ascii="Times New Roman" w:hAnsi="Times New Roman" w:eastAsia="仿宋_GB2312" w:cs="Times New Roman"/>
          <w:spacing w:val="-7"/>
          <w:sz w:val="32"/>
          <w:szCs w:val="32"/>
          <w:lang w:val="en-US" w:eastAsia="zh-CN"/>
        </w:rPr>
        <w:t>人，金额总计673.27万元，缴纳2022年保费的人数较2021年下降17.31%。参保扩面工作很艰难，原因是城乡养老保险待遇水平很低，丧葬抚恤待遇不及以灵活就业身份参保待遇。2022年补缴以往年度保费的缴费人数为2302人，缴纳保费823万元。上述缴费人群合计17702人，其中缴费档为100元的人数占比40.20%，缴费档为200元的占比37.58%，这两个低位缴费档人数占比合计达到77.78%，最高缴费档为3000元的人数占比为8.40%，其它中间缴费档人数占比均不超过4%（缴费档为500元和1000元的分别占比3.64%和3.04%，其它均不到1%）。</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lang w:val="en-US" w:eastAsia="zh-CN"/>
        </w:rPr>
      </w:pPr>
      <w:bookmarkStart w:id="29" w:name="_Toc26926"/>
      <w:bookmarkStart w:id="30" w:name="_Toc11005"/>
      <w:r>
        <w:rPr>
          <w:rFonts w:hint="default" w:ascii="Times New Roman" w:hAnsi="Times New Roman" w:eastAsia="仿宋" w:cs="Times New Roman"/>
        </w:rPr>
        <w:t>2.</w:t>
      </w:r>
      <w:bookmarkEnd w:id="29"/>
      <w:r>
        <w:rPr>
          <w:rFonts w:hint="default" w:ascii="Times New Roman" w:hAnsi="Times New Roman" w:eastAsia="仿宋" w:cs="Times New Roman"/>
          <w:lang w:val="en-US" w:eastAsia="zh-CN"/>
        </w:rPr>
        <w:t>特殊补贴影响</w:t>
      </w:r>
      <w:bookmarkEnd w:id="30"/>
    </w:p>
    <w:p>
      <w:pPr>
        <w:pageBreakBefore w:val="0"/>
        <w:widowControl w:val="0"/>
        <w:kinsoku/>
        <w:wordWrap/>
        <w:overflowPunct/>
        <w:topLinePunct w:val="0"/>
        <w:autoSpaceDE/>
        <w:autoSpaceDN/>
        <w:bidi w:val="0"/>
        <w:adjustRightInd/>
        <w:snapToGrid/>
        <w:spacing w:line="600" w:lineRule="exact"/>
        <w:ind w:firstLine="612" w:firstLineChars="200"/>
        <w:textAlignment w:val="auto"/>
        <w:rPr>
          <w:rFonts w:hint="default" w:ascii="Times New Roman" w:hAnsi="Times New Roman" w:eastAsia="仿宋_GB2312" w:cs="Times New Roman"/>
          <w:spacing w:val="-7"/>
          <w:sz w:val="32"/>
          <w:szCs w:val="32"/>
          <w:lang w:val="en-US" w:eastAsia="zh-CN"/>
        </w:rPr>
      </w:pPr>
      <w:r>
        <w:rPr>
          <w:rFonts w:hint="default" w:ascii="Times New Roman" w:hAnsi="Times New Roman" w:eastAsia="仿宋_GB2312" w:cs="Times New Roman"/>
          <w:spacing w:val="-7"/>
          <w:sz w:val="32"/>
          <w:szCs w:val="32"/>
          <w:lang w:val="en-US" w:eastAsia="zh-CN"/>
        </w:rPr>
        <w:t>基金收入结构中有两类特殊补贴收入，即退捕渔民养老金补贴收入（政策依据是2022年6月人力资源社会保障部、国家发展改革委、民政部、财政部、农业农村部联合印发的《关于进一步做好长江流域重点水域退捕渔民安置保障工作的通知》）和被征地农民保费补贴收入（政策依据是湖南省人力资源和社会保障厅2023年5月发布的《关于进一步做好被征地农民社会保障工作的通知》）。被征地农民保费补贴收入经过以前年度的补贴执行，2022年补贴收入大幅下降，当年仅有102.31万元，下降幅度为83.45%。退捕渔民养老金补贴收入刚开始执行（兼职3.6万/人、专业5.10万/人，财政保障，纳入个人账户），2022年该项补贴收入达到759.90万元，同比增长684.21%，预计该项收入的增加还会持续2-3年，然后就会大幅度下降，届时可能出现基金收支不能平衡的问题（因为支出会持续增加）。</w:t>
      </w:r>
    </w:p>
    <w:p>
      <w:pPr>
        <w:pStyle w:val="2"/>
        <w:pageBreakBefore w:val="0"/>
        <w:widowControl w:val="0"/>
        <w:numPr>
          <w:ilvl w:val="0"/>
          <w:numId w:val="1"/>
        </w:numPr>
        <w:kinsoku/>
        <w:wordWrap/>
        <w:overflowPunct/>
        <w:topLinePunct w:val="0"/>
        <w:autoSpaceDE/>
        <w:autoSpaceDN/>
        <w:bidi w:val="0"/>
        <w:adjustRightInd/>
        <w:snapToGrid/>
        <w:spacing w:before="0" w:after="0" w:line="600" w:lineRule="exact"/>
        <w:ind w:left="0" w:firstLine="643" w:firstLineChars="200"/>
        <w:textAlignment w:val="auto"/>
        <w:rPr>
          <w:rFonts w:hint="eastAsia" w:ascii="黑体" w:hAnsi="黑体" w:eastAsia="黑体" w:cs="黑体"/>
          <w:sz w:val="32"/>
          <w:szCs w:val="32"/>
        </w:rPr>
      </w:pPr>
      <w:bookmarkStart w:id="31" w:name="_Toc14485"/>
      <w:bookmarkStart w:id="32" w:name="_Toc25315"/>
      <w:r>
        <w:rPr>
          <w:rFonts w:hint="eastAsia" w:ascii="黑体" w:hAnsi="黑体" w:eastAsia="黑体" w:cs="黑体"/>
          <w:sz w:val="32"/>
          <w:szCs w:val="32"/>
        </w:rPr>
        <w:t>绩效评价工作情况</w:t>
      </w:r>
      <w:bookmarkEnd w:id="31"/>
      <w:bookmarkEnd w:id="32"/>
    </w:p>
    <w:p>
      <w:pPr>
        <w:pStyle w:val="3"/>
        <w:pageBreakBefore w:val="0"/>
        <w:widowControl w:val="0"/>
        <w:numPr>
          <w:ilvl w:val="0"/>
          <w:numId w:val="4"/>
        </w:numPr>
        <w:kinsoku/>
        <w:wordWrap/>
        <w:overflowPunct/>
        <w:topLinePunct w:val="0"/>
        <w:autoSpaceDE/>
        <w:autoSpaceDN/>
        <w:bidi w:val="0"/>
        <w:adjustRightInd/>
        <w:snapToGrid/>
        <w:spacing w:before="0" w:after="0" w:line="600" w:lineRule="exact"/>
        <w:ind w:firstLine="643" w:firstLineChars="200"/>
        <w:textAlignment w:val="auto"/>
        <w:rPr>
          <w:rFonts w:hint="default" w:ascii="楷体" w:hAnsi="楷体" w:eastAsia="楷体" w:cs="楷体"/>
          <w:b/>
          <w:bCs w:val="0"/>
          <w:lang w:val="en-US" w:eastAsia="zh-CN"/>
        </w:rPr>
      </w:pPr>
      <w:bookmarkStart w:id="33" w:name="_Toc29843"/>
      <w:bookmarkStart w:id="34" w:name="_Toc29618"/>
      <w:bookmarkStart w:id="35" w:name="_Toc30991"/>
      <w:r>
        <w:rPr>
          <w:rFonts w:hint="default" w:ascii="楷体" w:hAnsi="楷体" w:eastAsia="楷体" w:cs="楷体"/>
          <w:b/>
          <w:bCs w:val="0"/>
          <w:lang w:val="en-US" w:eastAsia="zh-CN"/>
        </w:rPr>
        <w:t>评价方法、指标体系和评分定级</w:t>
      </w:r>
      <w:bookmarkEnd w:id="33"/>
      <w:bookmarkEnd w:id="34"/>
      <w:bookmarkEnd w:id="35"/>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36" w:name="_Toc5443"/>
      <w:bookmarkStart w:id="37" w:name="_Toc28124"/>
      <w:bookmarkStart w:id="38" w:name="_Toc24177"/>
      <w:r>
        <w:rPr>
          <w:rFonts w:hint="default" w:ascii="Times New Roman" w:hAnsi="Times New Roman" w:eastAsia="仿宋" w:cs="Times New Roman"/>
        </w:rPr>
        <w:t>1.评价方法</w:t>
      </w:r>
      <w:bookmarkEnd w:id="36"/>
      <w:bookmarkEnd w:id="37"/>
      <w:bookmarkEnd w:id="38"/>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本次绩效评价采用定量评价与定性评价相结合方式，评价方法采用</w:t>
      </w:r>
      <w:r>
        <w:rPr>
          <w:rFonts w:hint="eastAsia" w:ascii="仿宋_GB2312" w:hAnsi="仿宋_GB2312" w:eastAsia="仿宋_GB2312" w:cs="仿宋_GB2312"/>
          <w:szCs w:val="32"/>
          <w:lang w:val="en-US" w:eastAsia="zh-CN"/>
        </w:rPr>
        <w:t>因素分析</w:t>
      </w:r>
      <w:r>
        <w:rPr>
          <w:rFonts w:hint="eastAsia" w:ascii="仿宋_GB2312" w:hAnsi="仿宋_GB2312" w:eastAsia="仿宋_GB2312" w:cs="仿宋_GB2312"/>
          <w:szCs w:val="32"/>
        </w:rPr>
        <w:t>法、比较法和公众评判法等多种方法，</w:t>
      </w:r>
      <w:r>
        <w:rPr>
          <w:rFonts w:hint="eastAsia" w:ascii="仿宋_GB2312" w:hAnsi="仿宋_GB2312" w:eastAsia="仿宋_GB2312" w:cs="仿宋_GB2312"/>
          <w:szCs w:val="32"/>
          <w:lang w:val="en-US" w:eastAsia="zh-CN"/>
        </w:rPr>
        <w:t>方式包括</w:t>
      </w:r>
      <w:r>
        <w:rPr>
          <w:rFonts w:hint="eastAsia" w:ascii="仿宋_GB2312" w:hAnsi="仿宋_GB2312" w:eastAsia="仿宋_GB2312" w:cs="仿宋_GB2312"/>
          <w:szCs w:val="32"/>
        </w:rPr>
        <w:t>资料</w:t>
      </w:r>
      <w:r>
        <w:rPr>
          <w:rFonts w:hint="eastAsia" w:ascii="仿宋_GB2312" w:hAnsi="仿宋_GB2312" w:eastAsia="仿宋_GB2312" w:cs="仿宋_GB2312"/>
          <w:szCs w:val="32"/>
          <w:lang w:val="en-US" w:eastAsia="zh-CN"/>
        </w:rPr>
        <w:t>研究</w:t>
      </w:r>
      <w:r>
        <w:rPr>
          <w:rFonts w:hint="eastAsia" w:ascii="仿宋_GB2312" w:hAnsi="仿宋_GB2312" w:eastAsia="仿宋_GB2312" w:cs="仿宋_GB2312"/>
          <w:szCs w:val="32"/>
        </w:rPr>
        <w:t>、座谈交流、实地核查</w:t>
      </w:r>
      <w:r>
        <w:rPr>
          <w:rFonts w:hint="eastAsia" w:ascii="仿宋_GB2312" w:hAnsi="仿宋_GB2312" w:eastAsia="仿宋_GB2312" w:cs="仿宋_GB2312"/>
          <w:szCs w:val="32"/>
          <w:lang w:val="en-US" w:eastAsia="zh-CN"/>
        </w:rPr>
        <w:t>及</w:t>
      </w:r>
      <w:r>
        <w:rPr>
          <w:rFonts w:hint="eastAsia" w:ascii="仿宋_GB2312" w:hAnsi="仿宋_GB2312" w:eastAsia="仿宋_GB2312" w:cs="仿宋_GB2312"/>
          <w:szCs w:val="32"/>
        </w:rPr>
        <w:t>问卷调查</w:t>
      </w:r>
      <w:r>
        <w:rPr>
          <w:rFonts w:hint="eastAsia" w:ascii="仿宋_GB2312" w:hAnsi="仿宋_GB2312" w:eastAsia="仿宋_GB2312" w:cs="仿宋_GB2312"/>
          <w:szCs w:val="32"/>
          <w:lang w:val="en-US" w:eastAsia="zh-CN"/>
        </w:rPr>
        <w:t>等。</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39" w:name="_Toc12965"/>
      <w:bookmarkStart w:id="40" w:name="_Toc12969"/>
      <w:bookmarkStart w:id="41" w:name="_Toc10924"/>
      <w:r>
        <w:rPr>
          <w:rFonts w:hint="default" w:ascii="Times New Roman" w:hAnsi="Times New Roman" w:eastAsia="仿宋" w:cs="Times New Roman"/>
        </w:rPr>
        <w:t>2.指标体系</w:t>
      </w:r>
      <w:bookmarkEnd w:id="39"/>
      <w:bookmarkEnd w:id="40"/>
      <w:bookmarkEnd w:id="41"/>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本次绩效评价按照项目支出绩效评价框架设计了指标体系，指标体系分三级，一级指标4个，二级指标13个，三级指标26个。</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42" w:name="_Toc29924"/>
      <w:bookmarkStart w:id="43" w:name="_Toc31930"/>
      <w:bookmarkStart w:id="44" w:name="_Toc25493"/>
      <w:r>
        <w:rPr>
          <w:rFonts w:hint="default" w:ascii="Times New Roman" w:hAnsi="Times New Roman" w:eastAsia="仿宋" w:cs="Times New Roman"/>
        </w:rPr>
        <w:t>3.评分定级</w:t>
      </w:r>
      <w:bookmarkEnd w:id="42"/>
      <w:bookmarkEnd w:id="43"/>
      <w:bookmarkEnd w:id="44"/>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本次绩效评价采取评分与评级相结合方式，总分为100分，等级划分为四档：90分（含）—100分为优，80分（含）—90分为良，60分（含）—80分为合格，60分以下不合格。</w:t>
      </w:r>
    </w:p>
    <w:p>
      <w:pPr>
        <w:pStyle w:val="3"/>
        <w:pageBreakBefore w:val="0"/>
        <w:widowControl w:val="0"/>
        <w:numPr>
          <w:ilvl w:val="0"/>
          <w:numId w:val="4"/>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lang w:val="en-US" w:eastAsia="zh-CN"/>
        </w:rPr>
      </w:pPr>
      <w:bookmarkStart w:id="45" w:name="_Toc5581"/>
      <w:bookmarkStart w:id="46" w:name="_Toc26590"/>
      <w:bookmarkStart w:id="47" w:name="_Toc15619"/>
      <w:r>
        <w:rPr>
          <w:rFonts w:hint="eastAsia" w:ascii="楷体_GB2312" w:hAnsi="楷体_GB2312" w:eastAsia="楷体_GB2312" w:cs="楷体_GB2312"/>
          <w:b/>
          <w:bCs w:val="0"/>
          <w:lang w:val="en-US" w:eastAsia="zh-CN"/>
        </w:rPr>
        <w:t>绩效评价过程</w:t>
      </w:r>
      <w:bookmarkEnd w:id="45"/>
      <w:bookmarkEnd w:id="46"/>
      <w:bookmarkEnd w:id="47"/>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48" w:name="_Toc16038"/>
      <w:bookmarkStart w:id="49" w:name="_Toc25264"/>
      <w:bookmarkStart w:id="50" w:name="_Toc5570"/>
      <w:r>
        <w:rPr>
          <w:rFonts w:hint="default" w:ascii="Times New Roman" w:hAnsi="Times New Roman" w:eastAsia="仿宋" w:cs="Times New Roman"/>
        </w:rPr>
        <w:t>1.成立评价组织</w:t>
      </w:r>
      <w:bookmarkEnd w:id="48"/>
      <w:bookmarkEnd w:id="49"/>
      <w:bookmarkEnd w:id="50"/>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本次评价工作分别成立一个评价组和一个专家组，评价组负责具体资料研究和现场调研，以及报告撰写工作，专家组参与指标体系设立以及业务问题提炼和针对性建议指导工作。</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51" w:name="_Toc32084"/>
      <w:bookmarkStart w:id="52" w:name="_Toc31203"/>
      <w:bookmarkStart w:id="53" w:name="_Toc7966"/>
      <w:r>
        <w:rPr>
          <w:rFonts w:hint="default" w:ascii="Times New Roman" w:hAnsi="Times New Roman" w:eastAsia="仿宋" w:cs="Times New Roman"/>
        </w:rPr>
        <w:t>2.召开项目启动会</w:t>
      </w:r>
      <w:bookmarkEnd w:id="51"/>
      <w:bookmarkEnd w:id="52"/>
      <w:bookmarkEnd w:id="53"/>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rPr>
      </w:pPr>
      <w:r>
        <w:rPr>
          <w:rFonts w:hint="default" w:ascii="仿宋_GB2312" w:hAnsi="仿宋_GB2312" w:eastAsia="仿宋_GB2312" w:cs="仿宋_GB2312"/>
        </w:rPr>
        <w:t>根据岳阳楼区财政局对本次绩效评价工作的要求和指导意见，公司召开内部启动会，明确本次绩效评价工作目标、时间安排和评价思路。</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54" w:name="_Toc4976"/>
      <w:bookmarkStart w:id="55" w:name="_Toc10276"/>
      <w:bookmarkStart w:id="56" w:name="_Toc28259"/>
      <w:r>
        <w:rPr>
          <w:rFonts w:hint="default" w:ascii="Times New Roman" w:hAnsi="Times New Roman" w:eastAsia="仿宋" w:cs="Times New Roman"/>
        </w:rPr>
        <w:t>3.非现场评价</w:t>
      </w:r>
      <w:bookmarkEnd w:id="54"/>
      <w:bookmarkEnd w:id="55"/>
      <w:bookmarkEnd w:id="56"/>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rPr>
      </w:pPr>
      <w:r>
        <w:rPr>
          <w:rFonts w:hint="default" w:ascii="仿宋_GB2312" w:hAnsi="仿宋_GB2312" w:eastAsia="仿宋_GB2312" w:cs="仿宋_GB2312"/>
        </w:rPr>
        <w:t>内部启动会召开后，实施以书面审核为主要工作的非现场评价。正式开始非现场评价以前，走访岳阳楼区财政局</w:t>
      </w:r>
      <w:r>
        <w:rPr>
          <w:rFonts w:hint="default" w:ascii="仿宋_GB2312" w:hAnsi="仿宋_GB2312" w:eastAsia="仿宋_GB2312" w:cs="仿宋_GB2312"/>
          <w:lang w:val="en-US" w:eastAsia="zh-CN"/>
        </w:rPr>
        <w:t>绩效股</w:t>
      </w:r>
      <w:r>
        <w:rPr>
          <w:rFonts w:hint="default" w:ascii="仿宋_GB2312" w:hAnsi="仿宋_GB2312" w:eastAsia="仿宋_GB2312" w:cs="仿宋_GB2312"/>
        </w:rPr>
        <w:t>和</w:t>
      </w:r>
      <w:r>
        <w:rPr>
          <w:rFonts w:hint="default" w:ascii="仿宋_GB2312" w:hAnsi="仿宋_GB2312" w:eastAsia="仿宋_GB2312" w:cs="仿宋_GB2312"/>
          <w:lang w:val="en-US" w:eastAsia="zh-CN"/>
        </w:rPr>
        <w:t>社保股</w:t>
      </w:r>
      <w:r>
        <w:rPr>
          <w:rFonts w:hint="default" w:ascii="仿宋_GB2312" w:hAnsi="仿宋_GB2312" w:eastAsia="仿宋_GB2312" w:cs="仿宋_GB2312"/>
        </w:rPr>
        <w:t>，了解客户对本次绩效评价关注重点。拟定资料清单，向</w:t>
      </w:r>
      <w:r>
        <w:rPr>
          <w:rFonts w:hint="default" w:ascii="仿宋_GB2312" w:hAnsi="仿宋_GB2312" w:eastAsia="仿宋_GB2312" w:cs="仿宋_GB2312"/>
          <w:lang w:val="en-US" w:eastAsia="zh-CN"/>
        </w:rPr>
        <w:t>岳阳楼区社会保险服务中心</w:t>
      </w:r>
      <w:r>
        <w:rPr>
          <w:rFonts w:hint="default" w:ascii="仿宋_GB2312" w:hAnsi="仿宋_GB2312" w:eastAsia="仿宋_GB2312" w:cs="仿宋_GB2312"/>
        </w:rPr>
        <w:t>发送资料清单，明确资料要求，答复对方疑问，同时收集其绩效自评材料。</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rPr>
      </w:pPr>
      <w:r>
        <w:rPr>
          <w:rFonts w:hint="default" w:ascii="仿宋_GB2312" w:hAnsi="仿宋_GB2312" w:eastAsia="仿宋_GB2312" w:cs="仿宋_GB2312"/>
        </w:rPr>
        <w:t>根据收集的资料，正式开展非现场评价。</w:t>
      </w:r>
      <w:r>
        <w:rPr>
          <w:rFonts w:hint="default" w:ascii="Times New Roman" w:hAnsi="Times New Roman" w:eastAsia="仿宋_GB2312" w:cs="Times New Roman"/>
        </w:rPr>
        <w:t>根据2022年</w:t>
      </w:r>
      <w:r>
        <w:rPr>
          <w:rFonts w:hint="default" w:ascii="仿宋_GB2312" w:hAnsi="仿宋_GB2312" w:eastAsia="仿宋_GB2312" w:cs="仿宋_GB2312"/>
        </w:rPr>
        <w:t>预算和决算数据，分析预算</w:t>
      </w:r>
      <w:r>
        <w:rPr>
          <w:rFonts w:hint="default" w:ascii="仿宋_GB2312" w:hAnsi="仿宋_GB2312" w:eastAsia="仿宋_GB2312" w:cs="仿宋_GB2312"/>
          <w:lang w:val="en-US" w:eastAsia="zh-CN"/>
        </w:rPr>
        <w:t>收支结余</w:t>
      </w:r>
      <w:r>
        <w:rPr>
          <w:rFonts w:hint="default" w:ascii="仿宋_GB2312" w:hAnsi="仿宋_GB2312" w:eastAsia="仿宋_GB2312" w:cs="仿宋_GB2312"/>
        </w:rPr>
        <w:t>执行情况</w:t>
      </w:r>
      <w:r>
        <w:rPr>
          <w:rFonts w:hint="default" w:ascii="仿宋_GB2312" w:hAnsi="仿宋_GB2312" w:eastAsia="仿宋_GB2312" w:cs="仿宋_GB2312"/>
          <w:lang w:eastAsia="zh-CN"/>
        </w:rPr>
        <w:t>。</w:t>
      </w:r>
      <w:r>
        <w:rPr>
          <w:rFonts w:hint="default" w:ascii="仿宋_GB2312" w:hAnsi="仿宋_GB2312" w:eastAsia="仿宋_GB2312" w:cs="仿宋_GB2312"/>
        </w:rPr>
        <w:t>设计本次绩效评价的指标体系，经专家组讨论通过后实施。设计访谈</w:t>
      </w:r>
      <w:r>
        <w:rPr>
          <w:rFonts w:hint="default" w:ascii="仿宋_GB2312" w:hAnsi="仿宋_GB2312" w:eastAsia="仿宋_GB2312" w:cs="仿宋_GB2312"/>
          <w:lang w:val="en-US" w:eastAsia="zh-CN"/>
        </w:rPr>
        <w:t>问题</w:t>
      </w:r>
      <w:r>
        <w:rPr>
          <w:rFonts w:hint="default" w:ascii="仿宋_GB2312" w:hAnsi="仿宋_GB2312" w:eastAsia="仿宋_GB2312" w:cs="仿宋_GB2312"/>
        </w:rPr>
        <w:t>提纲，为现场调研作准备。</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color w:val="auto"/>
          <w:highlight w:val="none"/>
        </w:rPr>
      </w:pPr>
      <w:bookmarkStart w:id="57" w:name="_Toc29020"/>
      <w:bookmarkStart w:id="58" w:name="_Toc25532"/>
      <w:bookmarkStart w:id="59" w:name="_Toc14722"/>
      <w:r>
        <w:rPr>
          <w:rFonts w:hint="default" w:ascii="Times New Roman" w:hAnsi="Times New Roman" w:eastAsia="仿宋" w:cs="Times New Roman"/>
          <w:color w:val="auto"/>
          <w:highlight w:val="none"/>
        </w:rPr>
        <w:t>4.现场调研</w:t>
      </w:r>
      <w:bookmarkEnd w:id="57"/>
      <w:bookmarkEnd w:id="58"/>
      <w:bookmarkEnd w:id="59"/>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highlight w:val="none"/>
        </w:rPr>
      </w:pPr>
      <w:r>
        <w:rPr>
          <w:rFonts w:hint="default" w:ascii="仿宋_GB2312" w:hAnsi="仿宋_GB2312" w:eastAsia="仿宋_GB2312" w:cs="仿宋_GB2312"/>
        </w:rPr>
        <w:t>评价组带着问题进入现场开展调研工作，全面和重点调研相结合，查阅资料和访谈相结合：</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rPr>
      </w:pPr>
      <w:r>
        <w:rPr>
          <w:rFonts w:hint="default" w:ascii="仿宋_GB2312" w:hAnsi="仿宋_GB2312" w:eastAsia="仿宋_GB2312" w:cs="仿宋_GB2312"/>
        </w:rPr>
        <w:t>（1）全面了解</w:t>
      </w:r>
      <w:r>
        <w:rPr>
          <w:rFonts w:hint="default" w:ascii="仿宋_GB2312" w:hAnsi="仿宋_GB2312" w:eastAsia="仿宋_GB2312" w:cs="仿宋_GB2312"/>
          <w:lang w:val="en-US" w:eastAsia="zh-CN"/>
        </w:rPr>
        <w:t>和</w:t>
      </w:r>
      <w:r>
        <w:rPr>
          <w:rFonts w:hint="default" w:ascii="仿宋_GB2312" w:hAnsi="仿宋_GB2312" w:eastAsia="仿宋_GB2312" w:cs="仿宋_GB2312"/>
        </w:rPr>
        <w:t>分析</w:t>
      </w:r>
      <w:r>
        <w:rPr>
          <w:rFonts w:hint="default" w:ascii="仿宋_GB2312" w:hAnsi="仿宋_GB2312" w:eastAsia="仿宋_GB2312" w:cs="仿宋_GB2312"/>
          <w:lang w:val="en-US" w:eastAsia="zh-CN"/>
        </w:rPr>
        <w:t>基</w:t>
      </w:r>
      <w:r>
        <w:rPr>
          <w:rFonts w:hint="default" w:ascii="Times New Roman" w:hAnsi="Times New Roman" w:eastAsia="仿宋_GB2312" w:cs="Times New Roman"/>
          <w:lang w:val="en-US" w:eastAsia="zh-CN"/>
        </w:rPr>
        <w:t>金</w:t>
      </w:r>
      <w:r>
        <w:rPr>
          <w:rFonts w:hint="default" w:ascii="Times New Roman" w:hAnsi="Times New Roman" w:eastAsia="仿宋_GB2312" w:cs="Times New Roman"/>
        </w:rPr>
        <w:t>2022</w:t>
      </w:r>
      <w:r>
        <w:rPr>
          <w:rFonts w:hint="default" w:ascii="仿宋_GB2312" w:hAnsi="仿宋_GB2312" w:eastAsia="仿宋_GB2312" w:cs="仿宋_GB2312"/>
        </w:rPr>
        <w:t>年预算</w:t>
      </w:r>
      <w:r>
        <w:rPr>
          <w:rFonts w:hint="default" w:ascii="仿宋_GB2312" w:hAnsi="仿宋_GB2312" w:eastAsia="仿宋_GB2312" w:cs="仿宋_GB2312"/>
          <w:lang w:val="en-US" w:eastAsia="zh-CN"/>
        </w:rPr>
        <w:t>收支结余情况</w:t>
      </w:r>
      <w:r>
        <w:rPr>
          <w:rFonts w:hint="default" w:ascii="仿宋_GB2312" w:hAnsi="仿宋_GB2312" w:eastAsia="仿宋_GB2312" w:cs="仿宋_GB2312"/>
        </w:rPr>
        <w:t>和绩效实现情况。</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rPr>
      </w:pPr>
      <w:r>
        <w:rPr>
          <w:rFonts w:hint="default" w:ascii="仿宋_GB2312" w:hAnsi="仿宋_GB2312" w:eastAsia="仿宋_GB2312" w:cs="仿宋_GB2312"/>
        </w:rPr>
        <w:t>（2）</w:t>
      </w:r>
      <w:r>
        <w:rPr>
          <w:rFonts w:hint="default" w:ascii="仿宋_GB2312" w:hAnsi="仿宋_GB2312" w:eastAsia="仿宋_GB2312" w:cs="仿宋_GB2312"/>
          <w:lang w:val="en-US" w:eastAsia="zh-CN"/>
        </w:rPr>
        <w:t>根据城乡养老保险的特点，</w:t>
      </w:r>
      <w:r>
        <w:rPr>
          <w:rFonts w:hint="default" w:ascii="仿宋_GB2312" w:hAnsi="仿宋_GB2312" w:eastAsia="仿宋_GB2312" w:cs="仿宋_GB2312"/>
        </w:rPr>
        <w:t>重点调研</w:t>
      </w:r>
      <w:r>
        <w:rPr>
          <w:rFonts w:hint="default" w:ascii="仿宋_GB2312" w:hAnsi="仿宋_GB2312" w:eastAsia="仿宋_GB2312" w:cs="仿宋_GB2312"/>
          <w:lang w:val="en-US" w:eastAsia="zh-CN"/>
        </w:rPr>
        <w:t>收入中的个人缴费水平、特殊补贴贡献，支出中的养老待遇水平、丧葬补助标准，正向结余形成的主要原因和未来负面影响因素</w:t>
      </w:r>
      <w:r>
        <w:rPr>
          <w:rFonts w:hint="default" w:ascii="仿宋_GB2312" w:hAnsi="仿宋_GB2312" w:eastAsia="仿宋_GB2312" w:cs="仿宋_GB2312"/>
        </w:rPr>
        <w:t>。</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rPr>
        <w:t>（3）</w:t>
      </w:r>
      <w:r>
        <w:rPr>
          <w:rFonts w:hint="default" w:ascii="仿宋_GB2312" w:hAnsi="仿宋_GB2312" w:eastAsia="仿宋_GB2312" w:cs="仿宋_GB2312"/>
          <w:lang w:val="en-US" w:eastAsia="zh-CN"/>
        </w:rPr>
        <w:t>根据客户的要求，重点调研申请财政资金时提供的数据支撑不够详细的问题，通过查阅申请资料，了解支撑数据现状以及不够详实的原因。</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（4）重点调研养老待遇资格认定</w:t>
      </w:r>
      <w:r>
        <w:rPr>
          <w:rFonts w:hint="eastAsia" w:ascii="仿宋_GB2312" w:hAnsi="仿宋_GB2312" w:eastAsia="仿宋_GB2312" w:cs="仿宋_GB2312"/>
          <w:lang w:val="en-US" w:eastAsia="zh-CN"/>
        </w:rPr>
        <w:t>情况</w:t>
      </w:r>
      <w:r>
        <w:rPr>
          <w:rFonts w:hint="default" w:ascii="仿宋_GB2312" w:hAnsi="仿宋_GB2312" w:eastAsia="仿宋_GB2312" w:cs="仿宋_GB2312"/>
          <w:lang w:val="en-US" w:eastAsia="zh-CN"/>
        </w:rPr>
        <w:t>，参保人员退保退费及其原因以及经办过程合规性问题。</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rPr>
      </w:pPr>
      <w:r>
        <w:rPr>
          <w:rFonts w:hint="default" w:ascii="仿宋_GB2312" w:hAnsi="仿宋_GB2312" w:eastAsia="仿宋_GB2312" w:cs="仿宋_GB2312"/>
        </w:rPr>
        <w:t>（4）针对</w:t>
      </w:r>
      <w:r>
        <w:rPr>
          <w:rFonts w:hint="default" w:ascii="仿宋_GB2312" w:hAnsi="仿宋_GB2312" w:eastAsia="仿宋_GB2312" w:cs="仿宋_GB2312"/>
          <w:lang w:val="en-US" w:eastAsia="zh-CN"/>
        </w:rPr>
        <w:t>参保人员</w:t>
      </w:r>
      <w:r>
        <w:rPr>
          <w:rFonts w:hint="default" w:ascii="仿宋_GB2312" w:hAnsi="仿宋_GB2312" w:eastAsia="仿宋_GB2312" w:cs="仿宋_GB2312"/>
        </w:rPr>
        <w:t>开展满意度问卷调研，就待遇保障水平、个人缴费标准、缴费补贴力度、待遇申请便捷性、缴费方式、待遇发放及时性、政策宣传力度、经办人员服务态度以及工作效率</w:t>
      </w:r>
      <w:r>
        <w:rPr>
          <w:rFonts w:hint="default" w:ascii="仿宋_GB2312" w:hAnsi="仿宋_GB2312" w:eastAsia="仿宋_GB2312" w:cs="仿宋_GB2312"/>
          <w:lang w:val="en-US" w:eastAsia="zh-CN"/>
        </w:rPr>
        <w:t>等方面进行</w:t>
      </w:r>
      <w:r>
        <w:rPr>
          <w:rFonts w:hint="default" w:ascii="仿宋_GB2312" w:hAnsi="仿宋_GB2312" w:eastAsia="仿宋_GB2312" w:cs="仿宋_GB2312"/>
        </w:rPr>
        <w:t>满意度</w:t>
      </w:r>
      <w:r>
        <w:rPr>
          <w:rFonts w:hint="default" w:ascii="仿宋_GB2312" w:hAnsi="仿宋_GB2312" w:eastAsia="仿宋_GB2312" w:cs="仿宋_GB2312"/>
          <w:lang w:val="en-US" w:eastAsia="zh-CN"/>
        </w:rPr>
        <w:t>评价</w:t>
      </w:r>
      <w:r>
        <w:rPr>
          <w:rFonts w:hint="default" w:ascii="仿宋_GB2312" w:hAnsi="仿宋_GB2312" w:eastAsia="仿宋_GB2312" w:cs="仿宋_GB2312"/>
        </w:rPr>
        <w:t>。</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color w:val="auto"/>
          <w:highlight w:val="none"/>
        </w:rPr>
      </w:pPr>
      <w:bookmarkStart w:id="60" w:name="_Toc2548"/>
      <w:bookmarkStart w:id="61" w:name="_Toc3503"/>
      <w:bookmarkStart w:id="62" w:name="_Toc4034"/>
      <w:r>
        <w:rPr>
          <w:rFonts w:hint="default" w:ascii="Times New Roman" w:hAnsi="Times New Roman" w:eastAsia="仿宋" w:cs="Times New Roman"/>
          <w:color w:val="auto"/>
          <w:highlight w:val="none"/>
        </w:rPr>
        <w:t>5.内部专家研讨</w:t>
      </w:r>
      <w:bookmarkEnd w:id="60"/>
      <w:bookmarkEnd w:id="61"/>
      <w:bookmarkEnd w:id="62"/>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rPr>
      </w:pPr>
      <w:r>
        <w:rPr>
          <w:rFonts w:hint="default" w:ascii="仿宋_GB2312" w:hAnsi="仿宋_GB2312" w:eastAsia="仿宋_GB2312" w:cs="仿宋_GB2312"/>
        </w:rPr>
        <w:t>组织内部专家会议，就非现场评价和现场调研发现的问题，按照重要性和相关性原则，进行重点分析，梳理出关键问题清单和针对性建议清单。</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color w:val="auto"/>
          <w:highlight w:val="none"/>
        </w:rPr>
      </w:pPr>
      <w:bookmarkStart w:id="63" w:name="_Toc1756"/>
      <w:bookmarkStart w:id="64" w:name="_Toc4590"/>
      <w:bookmarkStart w:id="65" w:name="_Toc16427"/>
      <w:r>
        <w:rPr>
          <w:rFonts w:hint="default" w:ascii="Times New Roman" w:hAnsi="Times New Roman" w:eastAsia="仿宋" w:cs="Times New Roman"/>
          <w:color w:val="auto"/>
          <w:highlight w:val="none"/>
        </w:rPr>
        <w:t>6.形成评价结论</w:t>
      </w:r>
      <w:bookmarkEnd w:id="63"/>
      <w:bookmarkEnd w:id="64"/>
      <w:bookmarkEnd w:id="65"/>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rPr>
      </w:pPr>
      <w:r>
        <w:rPr>
          <w:rFonts w:hint="default" w:ascii="仿宋_GB2312" w:hAnsi="仿宋_GB2312" w:eastAsia="仿宋_GB2312" w:cs="仿宋_GB2312"/>
        </w:rPr>
        <w:t>基于前期评价成果，依据评价指标体系，开展赋分评价</w:t>
      </w:r>
      <w:r>
        <w:rPr>
          <w:rFonts w:hint="default" w:ascii="仿宋_GB2312" w:hAnsi="仿宋_GB2312" w:eastAsia="仿宋_GB2312" w:cs="仿宋_GB2312"/>
          <w:lang w:eastAsia="zh-CN"/>
        </w:rPr>
        <w:t>。</w:t>
      </w:r>
      <w:r>
        <w:rPr>
          <w:rFonts w:hint="default" w:ascii="仿宋_GB2312" w:hAnsi="仿宋_GB2312" w:eastAsia="仿宋_GB2312" w:cs="仿宋_GB2312"/>
          <w:lang w:val="en-US" w:eastAsia="zh-CN"/>
        </w:rPr>
        <w:t>对于</w:t>
      </w:r>
      <w:r>
        <w:rPr>
          <w:rFonts w:hint="default" w:ascii="仿宋_GB2312" w:hAnsi="仿宋_GB2312" w:eastAsia="仿宋_GB2312" w:cs="仿宋_GB2312"/>
        </w:rPr>
        <w:t>扣分点在评价组内部先行讨论，</w:t>
      </w:r>
      <w:r>
        <w:rPr>
          <w:rFonts w:hint="default" w:ascii="仿宋_GB2312" w:hAnsi="仿宋_GB2312" w:eastAsia="仿宋_GB2312" w:cs="仿宋_GB2312"/>
          <w:lang w:val="en-US" w:eastAsia="zh-CN"/>
        </w:rPr>
        <w:t>然后</w:t>
      </w:r>
      <w:r>
        <w:rPr>
          <w:rFonts w:hint="default" w:ascii="仿宋_GB2312" w:hAnsi="仿宋_GB2312" w:eastAsia="仿宋_GB2312" w:cs="仿宋_GB2312"/>
        </w:rPr>
        <w:t>与专家组进一步研讨，形成最终评价评分结果。</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color w:val="auto"/>
          <w:highlight w:val="none"/>
        </w:rPr>
      </w:pPr>
      <w:bookmarkStart w:id="66" w:name="_Toc18256"/>
      <w:bookmarkStart w:id="67" w:name="_Toc24251"/>
      <w:bookmarkStart w:id="68" w:name="_Toc31289"/>
      <w:r>
        <w:rPr>
          <w:rFonts w:hint="default" w:ascii="Times New Roman" w:hAnsi="Times New Roman" w:eastAsia="仿宋" w:cs="Times New Roman"/>
          <w:color w:val="auto"/>
          <w:highlight w:val="none"/>
        </w:rPr>
        <w:t>7.撰写评价报告</w:t>
      </w:r>
      <w:bookmarkEnd w:id="66"/>
      <w:bookmarkEnd w:id="67"/>
      <w:bookmarkEnd w:id="68"/>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rPr>
      </w:pPr>
      <w:r>
        <w:rPr>
          <w:rFonts w:hint="default" w:ascii="仿宋_GB2312" w:hAnsi="仿宋_GB2312" w:eastAsia="仿宋_GB2312" w:cs="仿宋_GB2312"/>
        </w:rPr>
        <w:t>根据</w:t>
      </w:r>
      <w:r>
        <w:rPr>
          <w:rFonts w:hint="eastAsia" w:ascii="仿宋_GB2312" w:hAnsi="仿宋_GB2312" w:eastAsia="仿宋_GB2312" w:cs="仿宋_GB2312"/>
          <w:lang w:eastAsia="zh-CN"/>
        </w:rPr>
        <w:t>该</w:t>
      </w:r>
      <w:r>
        <w:rPr>
          <w:rFonts w:hint="default" w:ascii="仿宋_GB2312" w:hAnsi="仿宋_GB2312" w:eastAsia="仿宋_GB2312" w:cs="仿宋_GB2312"/>
          <w:lang w:val="en-US" w:eastAsia="zh-CN"/>
        </w:rPr>
        <w:t>项目</w:t>
      </w:r>
      <w:r>
        <w:rPr>
          <w:rFonts w:hint="default" w:ascii="仿宋_GB2312" w:hAnsi="仿宋_GB2312" w:eastAsia="仿宋_GB2312" w:cs="仿宋_GB2312"/>
        </w:rPr>
        <w:t>绩效评价的</w:t>
      </w:r>
      <w:r>
        <w:rPr>
          <w:rFonts w:hint="eastAsia" w:ascii="仿宋_GB2312" w:hAnsi="仿宋_GB2312" w:eastAsia="仿宋_GB2312" w:cs="仿宋_GB2312"/>
          <w:lang w:eastAsia="zh-CN"/>
        </w:rPr>
        <w:t>情况</w:t>
      </w:r>
      <w:r>
        <w:rPr>
          <w:rFonts w:hint="default" w:ascii="仿宋_GB2312" w:hAnsi="仿宋_GB2312" w:eastAsia="仿宋_GB2312" w:cs="仿宋_GB2312"/>
        </w:rPr>
        <w:t>撰写初稿</w:t>
      </w:r>
      <w:r>
        <w:rPr>
          <w:rFonts w:hint="default" w:ascii="仿宋_GB2312" w:hAnsi="仿宋_GB2312" w:eastAsia="仿宋_GB2312" w:cs="仿宋_GB2312"/>
          <w:lang w:eastAsia="zh-CN"/>
        </w:rPr>
        <w:t>。</w:t>
      </w:r>
      <w:r>
        <w:rPr>
          <w:rFonts w:hint="default" w:ascii="仿宋_GB2312" w:hAnsi="仿宋_GB2312" w:eastAsia="仿宋_GB2312" w:cs="仿宋_GB2312"/>
        </w:rPr>
        <w:t>初稿撰写完成后，经公司内部三级审核，修改完善后，形成报告征求意见稿，然后将征求意见稿提交给岳阳楼区财政局和社保中心征求意见。基于反馈意见修改完善，形成最终绩效评价报告。</w:t>
      </w:r>
    </w:p>
    <w:p>
      <w:pPr>
        <w:pStyle w:val="2"/>
        <w:pageBreakBefore w:val="0"/>
        <w:widowControl w:val="0"/>
        <w:numPr>
          <w:ilvl w:val="0"/>
          <w:numId w:val="1"/>
        </w:numPr>
        <w:kinsoku/>
        <w:wordWrap/>
        <w:overflowPunct/>
        <w:topLinePunct w:val="0"/>
        <w:autoSpaceDE/>
        <w:autoSpaceDN/>
        <w:bidi w:val="0"/>
        <w:adjustRightInd/>
        <w:snapToGrid/>
        <w:spacing w:before="0" w:after="0" w:line="600" w:lineRule="exact"/>
        <w:ind w:left="0" w:firstLine="643" w:firstLineChars="200"/>
        <w:textAlignment w:val="auto"/>
        <w:rPr>
          <w:rFonts w:hint="eastAsia" w:ascii="黑体" w:hAnsi="黑体" w:eastAsia="黑体" w:cs="黑体"/>
          <w:sz w:val="32"/>
          <w:szCs w:val="32"/>
        </w:rPr>
      </w:pPr>
      <w:bookmarkStart w:id="69" w:name="_Toc30613"/>
      <w:bookmarkStart w:id="70" w:name="_Toc31783"/>
      <w:r>
        <w:rPr>
          <w:rFonts w:hint="eastAsia" w:ascii="黑体" w:hAnsi="黑体" w:eastAsia="黑体" w:cs="黑体"/>
          <w:sz w:val="32"/>
          <w:szCs w:val="32"/>
        </w:rPr>
        <w:t>预算支出主要绩效及评价结论</w:t>
      </w:r>
      <w:bookmarkEnd w:id="69"/>
      <w:bookmarkEnd w:id="70"/>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2022年</w:t>
      </w:r>
      <w:r>
        <w:rPr>
          <w:rFonts w:hint="default" w:ascii="Times New Roman" w:hAnsi="Times New Roman" w:eastAsia="仿宋_GB2312" w:cs="Times New Roman"/>
          <w:lang w:val="en-US" w:eastAsia="zh-CN"/>
        </w:rPr>
        <w:t>岳阳楼区城乡基本养老保险基金</w:t>
      </w:r>
      <w:r>
        <w:rPr>
          <w:rFonts w:hint="default" w:ascii="Times New Roman" w:hAnsi="Times New Roman" w:eastAsia="仿宋_GB2312" w:cs="Times New Roman"/>
        </w:rPr>
        <w:t>绩效总得分为</w:t>
      </w:r>
      <w:r>
        <w:rPr>
          <w:rFonts w:hint="default" w:ascii="Times New Roman" w:hAnsi="Times New Roman" w:eastAsia="仿宋_GB2312" w:cs="Times New Roman"/>
          <w:b/>
          <w:bCs/>
          <w:lang w:val="en-US" w:eastAsia="zh-CN"/>
        </w:rPr>
        <w:t>80</w:t>
      </w:r>
      <w:r>
        <w:rPr>
          <w:rFonts w:hint="default" w:ascii="Times New Roman" w:hAnsi="Times New Roman" w:eastAsia="仿宋_GB2312" w:cs="Times New Roman"/>
        </w:rPr>
        <w:t>分，评级为“</w:t>
      </w:r>
      <w:r>
        <w:rPr>
          <w:rFonts w:hint="default" w:ascii="Times New Roman" w:hAnsi="Times New Roman" w:eastAsia="仿宋_GB2312" w:cs="Times New Roman"/>
          <w:lang w:val="en-US" w:eastAsia="zh-CN"/>
        </w:rPr>
        <w:t>良好</w:t>
      </w:r>
      <w:r>
        <w:rPr>
          <w:rFonts w:hint="default" w:ascii="Times New Roman" w:hAnsi="Times New Roman" w:eastAsia="仿宋_GB2312" w:cs="Times New Roman"/>
        </w:rPr>
        <w:t>”，主要评价结论如下：</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决策</w:t>
      </w:r>
      <w:r>
        <w:rPr>
          <w:rFonts w:hint="default" w:ascii="Times New Roman" w:hAnsi="Times New Roman" w:eastAsia="仿宋_GB2312" w:cs="Times New Roman"/>
        </w:rPr>
        <w:t>方面，基金</w:t>
      </w:r>
      <w:r>
        <w:rPr>
          <w:rFonts w:hint="default" w:ascii="Times New Roman" w:hAnsi="Times New Roman" w:eastAsia="仿宋_GB2312" w:cs="Times New Roman"/>
          <w:lang w:val="en-US" w:eastAsia="zh-CN"/>
        </w:rPr>
        <w:t>已设定</w:t>
      </w:r>
      <w:r>
        <w:rPr>
          <w:rFonts w:hint="default" w:ascii="Times New Roman" w:hAnsi="Times New Roman" w:eastAsia="仿宋_GB2312" w:cs="Times New Roman"/>
        </w:rPr>
        <w:t>绩效目标，</w:t>
      </w:r>
      <w:r>
        <w:rPr>
          <w:rFonts w:hint="default" w:ascii="Times New Roman" w:hAnsi="Times New Roman" w:eastAsia="仿宋_GB2312" w:cs="Times New Roman"/>
          <w:lang w:val="en-US" w:eastAsia="zh-CN"/>
        </w:rPr>
        <w:t>但</w:t>
      </w:r>
      <w:r>
        <w:rPr>
          <w:rFonts w:hint="default" w:ascii="Times New Roman" w:hAnsi="Times New Roman" w:eastAsia="仿宋_GB2312" w:cs="Times New Roman"/>
        </w:rPr>
        <w:t>已细化</w:t>
      </w:r>
      <w:r>
        <w:rPr>
          <w:rFonts w:hint="default" w:ascii="Times New Roman" w:hAnsi="Times New Roman" w:eastAsia="仿宋_GB2312" w:cs="Times New Roman"/>
          <w:lang w:val="en-US" w:eastAsia="zh-CN"/>
        </w:rPr>
        <w:t>的</w:t>
      </w:r>
      <w:r>
        <w:rPr>
          <w:rFonts w:hint="default" w:ascii="Times New Roman" w:hAnsi="Times New Roman" w:eastAsia="仿宋_GB2312" w:cs="Times New Roman"/>
        </w:rPr>
        <w:t>部分绩效指标</w:t>
      </w:r>
      <w:r>
        <w:rPr>
          <w:rFonts w:hint="default" w:ascii="Times New Roman" w:hAnsi="Times New Roman" w:eastAsia="仿宋_GB2312" w:cs="Times New Roman"/>
          <w:lang w:val="en-US" w:eastAsia="zh-CN"/>
        </w:rPr>
        <w:t>中</w:t>
      </w:r>
      <w:r>
        <w:rPr>
          <w:rFonts w:hint="default" w:ascii="Times New Roman" w:hAnsi="Times New Roman" w:eastAsia="仿宋_GB2312" w:cs="Times New Roman"/>
        </w:rPr>
        <w:t>产出数量指标过于简单，未包括支出</w:t>
      </w:r>
      <w:r>
        <w:rPr>
          <w:rFonts w:hint="default" w:ascii="Times New Roman" w:hAnsi="Times New Roman" w:eastAsia="仿宋_GB2312" w:cs="Times New Roman"/>
          <w:lang w:eastAsia="zh-CN"/>
        </w:rPr>
        <w:t>、</w:t>
      </w:r>
      <w:r>
        <w:rPr>
          <w:rFonts w:hint="default" w:ascii="Times New Roman" w:hAnsi="Times New Roman" w:eastAsia="仿宋_GB2312" w:cs="Times New Roman"/>
        </w:rPr>
        <w:t>结余以及</w:t>
      </w:r>
      <w:r>
        <w:rPr>
          <w:rFonts w:hint="default" w:ascii="Times New Roman" w:hAnsi="Times New Roman" w:eastAsia="仿宋_GB2312" w:cs="Times New Roman"/>
          <w:lang w:val="en-US" w:eastAsia="zh-CN"/>
        </w:rPr>
        <w:t>参保</w:t>
      </w:r>
      <w:r>
        <w:rPr>
          <w:rFonts w:hint="default" w:ascii="Times New Roman" w:hAnsi="Times New Roman" w:eastAsia="仿宋_GB2312" w:cs="Times New Roman"/>
        </w:rPr>
        <w:t>扩面</w:t>
      </w:r>
      <w:r>
        <w:rPr>
          <w:rFonts w:hint="default" w:ascii="Times New Roman" w:hAnsi="Times New Roman" w:eastAsia="仿宋_GB2312" w:cs="Times New Roman"/>
          <w:lang w:val="en-US" w:eastAsia="zh-CN"/>
        </w:rPr>
        <w:t>指标</w:t>
      </w:r>
      <w:r>
        <w:rPr>
          <w:rFonts w:hint="default" w:ascii="Times New Roman" w:hAnsi="Times New Roman" w:eastAsia="仿宋_GB2312" w:cs="Times New Roman"/>
        </w:rPr>
        <w:t>。</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过程方面，预算管理制度</w:t>
      </w:r>
      <w:r>
        <w:rPr>
          <w:rFonts w:hint="default" w:ascii="Times New Roman" w:hAnsi="Times New Roman" w:eastAsia="仿宋_GB2312" w:cs="Times New Roman"/>
          <w:lang w:val="en-US" w:eastAsia="zh-CN"/>
        </w:rPr>
        <w:t>较为</w:t>
      </w:r>
      <w:r>
        <w:rPr>
          <w:rFonts w:hint="default" w:ascii="Times New Roman" w:hAnsi="Times New Roman" w:eastAsia="仿宋_GB2312" w:cs="Times New Roman"/>
        </w:rPr>
        <w:t>健全，资金使用合规，重视</w:t>
      </w:r>
      <w:r>
        <w:rPr>
          <w:rFonts w:hint="default" w:ascii="Times New Roman" w:hAnsi="Times New Roman" w:eastAsia="仿宋_GB2312" w:cs="Times New Roman"/>
          <w:lang w:val="en-US" w:eastAsia="zh-CN"/>
        </w:rPr>
        <w:t>扩面</w:t>
      </w:r>
      <w:r>
        <w:rPr>
          <w:rFonts w:hint="default" w:ascii="Times New Roman" w:hAnsi="Times New Roman" w:eastAsia="仿宋_GB2312" w:cs="Times New Roman"/>
        </w:rPr>
        <w:t>宣传</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但面向年轻人的宣传形式和内容与时代有些脱节，触达效果不是很好。财政资金及时到位，体现财政保障民生的重视程度。待遇资格认定未发现系统性漏洞，但疑点数据的准确性和核查工作效率有待提升。基金管理数据化决策实施效果不佳，未有效开展业财融合分析。</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产出方面，</w:t>
      </w:r>
      <w:r>
        <w:rPr>
          <w:rFonts w:hint="default" w:ascii="Times New Roman" w:hAnsi="Times New Roman" w:eastAsia="仿宋_GB2312" w:cs="Times New Roman"/>
          <w:lang w:val="en-US" w:eastAsia="zh-CN"/>
        </w:rPr>
        <w:t>预算收支结余完成较好，基金支出增长较快，并超过预算支出，同时参保扩面进展缓慢。</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效益</w:t>
      </w:r>
      <w:r>
        <w:rPr>
          <w:rFonts w:hint="default" w:ascii="Times New Roman" w:hAnsi="Times New Roman" w:eastAsia="仿宋_GB2312" w:cs="Times New Roman"/>
        </w:rPr>
        <w:t>方面，</w:t>
      </w:r>
      <w:r>
        <w:rPr>
          <w:rFonts w:hint="default" w:ascii="Times New Roman" w:hAnsi="Times New Roman" w:eastAsia="仿宋_GB2312" w:cs="Times New Roman"/>
          <w:lang w:val="en-US" w:eastAsia="zh-CN"/>
        </w:rPr>
        <w:t>基金累计结余较大，可持续能力较强，但养老待遇保障水平较低，对困难群体的养老保障覆盖面有所下降。</w:t>
      </w:r>
    </w:p>
    <w:p>
      <w:pPr>
        <w:rPr>
          <w:rFonts w:hint="default" w:ascii="Times New Roman" w:hAnsi="Times New Roman" w:eastAsia="仿宋" w:cs="Times New Roman"/>
        </w:rPr>
      </w:pPr>
    </w:p>
    <w:p>
      <w:pPr>
        <w:rPr>
          <w:rFonts w:hint="default" w:ascii="Times New Roman" w:hAnsi="Times New Roman" w:eastAsia="仿宋" w:cs="Times New Roman"/>
        </w:rPr>
      </w:pPr>
    </w:p>
    <w:p>
      <w:pPr>
        <w:jc w:val="center"/>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综合评价得分</w:t>
      </w:r>
    </w:p>
    <w:tbl>
      <w:tblPr>
        <w:tblStyle w:val="14"/>
        <w:tblW w:w="8294" w:type="dxa"/>
        <w:tblInd w:w="98" w:type="dxa"/>
        <w:tblLayout w:type="fixed"/>
        <w:tblCellMar>
          <w:top w:w="0" w:type="dxa"/>
          <w:left w:w="108" w:type="dxa"/>
          <w:bottom w:w="0" w:type="dxa"/>
          <w:right w:w="108" w:type="dxa"/>
        </w:tblCellMar>
      </w:tblPr>
      <w:tblGrid>
        <w:gridCol w:w="2054"/>
        <w:gridCol w:w="2150"/>
        <w:gridCol w:w="1820"/>
        <w:gridCol w:w="2270"/>
      </w:tblGrid>
      <w:tr>
        <w:tblPrEx>
          <w:tblCellMar>
            <w:top w:w="0" w:type="dxa"/>
            <w:left w:w="108" w:type="dxa"/>
            <w:bottom w:w="0" w:type="dxa"/>
            <w:right w:w="108" w:type="dxa"/>
          </w:tblCellMar>
        </w:tblPrEx>
        <w:trPr>
          <w:trHeight w:val="280" w:hRule="atLeast"/>
        </w:trPr>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一级指标</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标准值</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得分</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得分率</w:t>
            </w:r>
          </w:p>
        </w:tc>
      </w:tr>
      <w:tr>
        <w:tblPrEx>
          <w:tblCellMar>
            <w:top w:w="0" w:type="dxa"/>
            <w:left w:w="108" w:type="dxa"/>
            <w:bottom w:w="0" w:type="dxa"/>
            <w:right w:w="108" w:type="dxa"/>
          </w:tblCellMar>
        </w:tblPrEx>
        <w:trPr>
          <w:trHeight w:val="280" w:hRule="atLeast"/>
        </w:trPr>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决策</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7</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i w:val="0"/>
                <w:iCs w:val="0"/>
                <w:color w:val="000000"/>
                <w:kern w:val="0"/>
                <w:sz w:val="20"/>
                <w:szCs w:val="20"/>
                <w:u w:val="none"/>
                <w:lang w:val="en-US" w:eastAsia="zh-CN" w:bidi="ar"/>
              </w:rPr>
              <w:t>6</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i w:val="0"/>
                <w:iCs w:val="0"/>
                <w:color w:val="000000"/>
                <w:kern w:val="0"/>
                <w:sz w:val="20"/>
                <w:szCs w:val="20"/>
                <w:u w:val="none"/>
                <w:lang w:val="en-US" w:eastAsia="zh-CN" w:bidi="ar"/>
              </w:rPr>
              <w:t>85.71%</w:t>
            </w:r>
          </w:p>
        </w:tc>
      </w:tr>
      <w:tr>
        <w:tblPrEx>
          <w:tblCellMar>
            <w:top w:w="0" w:type="dxa"/>
            <w:left w:w="108" w:type="dxa"/>
            <w:bottom w:w="0" w:type="dxa"/>
            <w:right w:w="108" w:type="dxa"/>
          </w:tblCellMar>
        </w:tblPrEx>
        <w:trPr>
          <w:trHeight w:val="280" w:hRule="atLeast"/>
        </w:trPr>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投入</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23</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i w:val="0"/>
                <w:iCs w:val="0"/>
                <w:color w:val="000000"/>
                <w:kern w:val="0"/>
                <w:sz w:val="20"/>
                <w:szCs w:val="20"/>
                <w:u w:val="none"/>
                <w:lang w:val="en-US" w:eastAsia="zh-CN" w:bidi="ar"/>
              </w:rPr>
              <w:t>1</w:t>
            </w:r>
            <w:r>
              <w:rPr>
                <w:rFonts w:hint="eastAsia" w:ascii="Times New Roman" w:hAnsi="Times New Roman" w:eastAsia="仿宋" w:cs="Times New Roman"/>
                <w:i w:val="0"/>
                <w:iCs w:val="0"/>
                <w:color w:val="000000"/>
                <w:kern w:val="0"/>
                <w:sz w:val="20"/>
                <w:szCs w:val="20"/>
                <w:u w:val="none"/>
                <w:lang w:val="en-US" w:eastAsia="zh-CN" w:bidi="ar"/>
              </w:rPr>
              <w:t>8</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eastAsia" w:ascii="Times New Roman" w:hAnsi="Times New Roman" w:eastAsia="仿宋" w:cs="Times New Roman"/>
                <w:i w:val="0"/>
                <w:iCs w:val="0"/>
                <w:color w:val="000000"/>
                <w:kern w:val="0"/>
                <w:sz w:val="20"/>
                <w:szCs w:val="20"/>
                <w:u w:val="none"/>
                <w:lang w:val="en-US" w:eastAsia="zh-CN" w:bidi="ar"/>
              </w:rPr>
              <w:t>78.26</w:t>
            </w:r>
            <w:r>
              <w:rPr>
                <w:rFonts w:hint="default" w:ascii="Times New Roman" w:hAnsi="Times New Roman" w:eastAsia="仿宋" w:cs="Times New Roman"/>
                <w:i w:val="0"/>
                <w:iCs w:val="0"/>
                <w:color w:val="000000"/>
                <w:kern w:val="0"/>
                <w:sz w:val="20"/>
                <w:szCs w:val="20"/>
                <w:u w:val="none"/>
                <w:lang w:val="en-US" w:eastAsia="zh-CN" w:bidi="ar"/>
              </w:rPr>
              <w:t>%</w:t>
            </w:r>
          </w:p>
        </w:tc>
      </w:tr>
      <w:tr>
        <w:tblPrEx>
          <w:tblCellMar>
            <w:top w:w="0" w:type="dxa"/>
            <w:left w:w="108" w:type="dxa"/>
            <w:bottom w:w="0" w:type="dxa"/>
            <w:right w:w="108" w:type="dxa"/>
          </w:tblCellMar>
        </w:tblPrEx>
        <w:trPr>
          <w:trHeight w:val="280" w:hRule="atLeast"/>
        </w:trPr>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产出</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40</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i w:val="0"/>
                <w:iCs w:val="0"/>
                <w:color w:val="000000"/>
                <w:kern w:val="0"/>
                <w:sz w:val="20"/>
                <w:szCs w:val="20"/>
                <w:u w:val="none"/>
                <w:lang w:val="en-US" w:eastAsia="zh-CN" w:bidi="ar"/>
              </w:rPr>
              <w:t>3</w:t>
            </w:r>
            <w:r>
              <w:rPr>
                <w:rFonts w:hint="eastAsia" w:ascii="Times New Roman" w:hAnsi="Times New Roman" w:eastAsia="仿宋" w:cs="Times New Roman"/>
                <w:i w:val="0"/>
                <w:iCs w:val="0"/>
                <w:color w:val="000000"/>
                <w:kern w:val="0"/>
                <w:sz w:val="20"/>
                <w:szCs w:val="20"/>
                <w:u w:val="none"/>
                <w:lang w:val="en-US" w:eastAsia="zh-CN" w:bidi="ar"/>
              </w:rPr>
              <w:t>5</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eastAsia" w:ascii="Times New Roman" w:hAnsi="Times New Roman" w:eastAsia="仿宋" w:cs="Times New Roman"/>
                <w:i w:val="0"/>
                <w:iCs w:val="0"/>
                <w:color w:val="000000"/>
                <w:kern w:val="0"/>
                <w:sz w:val="20"/>
                <w:szCs w:val="20"/>
                <w:u w:val="none"/>
                <w:lang w:val="en-US" w:eastAsia="zh-CN" w:bidi="ar"/>
              </w:rPr>
              <w:t>87.50</w:t>
            </w:r>
            <w:r>
              <w:rPr>
                <w:rFonts w:hint="default" w:ascii="Times New Roman" w:hAnsi="Times New Roman" w:eastAsia="仿宋" w:cs="Times New Roman"/>
                <w:i w:val="0"/>
                <w:iCs w:val="0"/>
                <w:color w:val="000000"/>
                <w:kern w:val="0"/>
                <w:sz w:val="20"/>
                <w:szCs w:val="20"/>
                <w:u w:val="none"/>
                <w:lang w:val="en-US" w:eastAsia="zh-CN" w:bidi="ar"/>
              </w:rPr>
              <w:t>%</w:t>
            </w:r>
          </w:p>
        </w:tc>
      </w:tr>
      <w:tr>
        <w:tblPrEx>
          <w:tblCellMar>
            <w:top w:w="0" w:type="dxa"/>
            <w:left w:w="108" w:type="dxa"/>
            <w:bottom w:w="0" w:type="dxa"/>
            <w:right w:w="108" w:type="dxa"/>
          </w:tblCellMar>
        </w:tblPrEx>
        <w:trPr>
          <w:trHeight w:val="280" w:hRule="atLeast"/>
        </w:trPr>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效益</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30</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lang w:val="en-US"/>
              </w:rPr>
            </w:pPr>
            <w:r>
              <w:rPr>
                <w:rFonts w:hint="eastAsia" w:ascii="Times New Roman" w:hAnsi="Times New Roman" w:eastAsia="仿宋" w:cs="Times New Roman"/>
                <w:i w:val="0"/>
                <w:iCs w:val="0"/>
                <w:color w:val="000000"/>
                <w:kern w:val="0"/>
                <w:sz w:val="20"/>
                <w:szCs w:val="20"/>
                <w:u w:val="none"/>
                <w:lang w:val="en-US" w:eastAsia="zh-CN" w:bidi="ar"/>
              </w:rPr>
              <w:t>21</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eastAsia" w:ascii="Times New Roman" w:hAnsi="Times New Roman" w:eastAsia="仿宋" w:cs="Times New Roman"/>
                <w:i w:val="0"/>
                <w:iCs w:val="0"/>
                <w:color w:val="000000"/>
                <w:kern w:val="0"/>
                <w:sz w:val="20"/>
                <w:szCs w:val="20"/>
                <w:u w:val="none"/>
                <w:lang w:val="en-US" w:eastAsia="zh-CN" w:bidi="ar"/>
              </w:rPr>
              <w:t>70.00</w:t>
            </w:r>
            <w:r>
              <w:rPr>
                <w:rFonts w:hint="default" w:ascii="Times New Roman" w:hAnsi="Times New Roman" w:eastAsia="仿宋" w:cs="Times New Roman"/>
                <w:i w:val="0"/>
                <w:iCs w:val="0"/>
                <w:color w:val="000000"/>
                <w:kern w:val="0"/>
                <w:sz w:val="20"/>
                <w:szCs w:val="20"/>
                <w:u w:val="none"/>
                <w:lang w:val="en-US" w:eastAsia="zh-CN" w:bidi="ar"/>
              </w:rPr>
              <w:t>%</w:t>
            </w:r>
          </w:p>
        </w:tc>
      </w:tr>
      <w:tr>
        <w:tblPrEx>
          <w:tblCellMar>
            <w:top w:w="0" w:type="dxa"/>
            <w:left w:w="108" w:type="dxa"/>
            <w:bottom w:w="0" w:type="dxa"/>
            <w:right w:w="108" w:type="dxa"/>
          </w:tblCellMar>
        </w:tblPrEx>
        <w:trPr>
          <w:trHeight w:val="280" w:hRule="atLeast"/>
        </w:trPr>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i w:val="0"/>
                <w:iCs w:val="0"/>
                <w:color w:val="000000"/>
                <w:kern w:val="0"/>
                <w:sz w:val="20"/>
                <w:szCs w:val="20"/>
                <w:u w:val="none"/>
                <w:lang w:val="en-US" w:eastAsia="zh-CN" w:bidi="ar"/>
              </w:rPr>
              <w:t>合计</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i w:val="0"/>
                <w:iCs w:val="0"/>
                <w:color w:val="000000"/>
                <w:kern w:val="0"/>
                <w:sz w:val="20"/>
                <w:szCs w:val="20"/>
                <w:u w:val="none"/>
                <w:lang w:val="en-US" w:eastAsia="zh-CN" w:bidi="ar"/>
              </w:rPr>
              <w:t>100</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color w:val="auto"/>
                <w:sz w:val="20"/>
                <w:szCs w:val="20"/>
                <w:lang w:val="en-US"/>
              </w:rPr>
            </w:pPr>
            <w:r>
              <w:rPr>
                <w:rFonts w:hint="eastAsia" w:ascii="Times New Roman" w:hAnsi="Times New Roman" w:eastAsia="仿宋" w:cs="Times New Roman"/>
                <w:b/>
                <w:bCs/>
                <w:i w:val="0"/>
                <w:iCs w:val="0"/>
                <w:color w:val="000000"/>
                <w:kern w:val="0"/>
                <w:sz w:val="20"/>
                <w:szCs w:val="20"/>
                <w:u w:val="none"/>
                <w:lang w:val="en-US" w:eastAsia="zh-CN" w:bidi="ar"/>
              </w:rPr>
              <w:t>80</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color w:val="auto"/>
                <w:sz w:val="20"/>
                <w:szCs w:val="20"/>
              </w:rPr>
            </w:pPr>
            <w:r>
              <w:rPr>
                <w:rFonts w:hint="eastAsia" w:ascii="Times New Roman" w:hAnsi="Times New Roman" w:eastAsia="仿宋" w:cs="Times New Roman"/>
                <w:b/>
                <w:bCs/>
                <w:i w:val="0"/>
                <w:iCs w:val="0"/>
                <w:color w:val="000000"/>
                <w:kern w:val="0"/>
                <w:sz w:val="20"/>
                <w:szCs w:val="20"/>
                <w:u w:val="none"/>
                <w:lang w:val="en-US" w:eastAsia="zh-CN" w:bidi="ar"/>
              </w:rPr>
              <w:t>80</w:t>
            </w:r>
            <w:r>
              <w:rPr>
                <w:rFonts w:hint="default" w:ascii="Times New Roman" w:hAnsi="Times New Roman" w:eastAsia="仿宋" w:cs="Times New Roman"/>
                <w:b/>
                <w:bCs/>
                <w:i w:val="0"/>
                <w:iCs w:val="0"/>
                <w:color w:val="000000"/>
                <w:kern w:val="0"/>
                <w:sz w:val="20"/>
                <w:szCs w:val="20"/>
                <w:u w:val="none"/>
                <w:lang w:val="en-US" w:eastAsia="zh-CN" w:bidi="ar"/>
              </w:rPr>
              <w:t>.00%</w:t>
            </w:r>
          </w:p>
        </w:tc>
      </w:tr>
    </w:tbl>
    <w:p>
      <w:pPr>
        <w:rPr>
          <w:rFonts w:hint="default" w:ascii="Times New Roman" w:hAnsi="Times New Roman" w:eastAsia="仿宋" w:cs="Times New Roman"/>
        </w:rPr>
      </w:pPr>
    </w:p>
    <w:p>
      <w:pPr>
        <w:pStyle w:val="2"/>
        <w:pageBreakBefore w:val="0"/>
        <w:widowControl w:val="0"/>
        <w:numPr>
          <w:ilvl w:val="0"/>
          <w:numId w:val="1"/>
        </w:numPr>
        <w:kinsoku/>
        <w:wordWrap/>
        <w:overflowPunct/>
        <w:topLinePunct w:val="0"/>
        <w:autoSpaceDE/>
        <w:autoSpaceDN/>
        <w:bidi w:val="0"/>
        <w:adjustRightInd/>
        <w:snapToGrid/>
        <w:spacing w:before="0" w:after="0" w:line="600" w:lineRule="exact"/>
        <w:ind w:left="0" w:firstLine="643" w:firstLineChars="200"/>
        <w:textAlignment w:val="auto"/>
        <w:rPr>
          <w:rFonts w:hint="default" w:ascii="黑体" w:hAnsi="黑体" w:eastAsia="黑体" w:cs="黑体"/>
          <w:sz w:val="32"/>
          <w:szCs w:val="32"/>
        </w:rPr>
      </w:pPr>
      <w:bookmarkStart w:id="71" w:name="_Toc5335"/>
      <w:bookmarkStart w:id="72" w:name="_Toc10007"/>
      <w:r>
        <w:rPr>
          <w:rFonts w:hint="default" w:ascii="黑体" w:hAnsi="黑体" w:eastAsia="黑体" w:cs="黑体"/>
          <w:sz w:val="32"/>
          <w:szCs w:val="32"/>
        </w:rPr>
        <w:t>绩效评价指标分析</w:t>
      </w:r>
      <w:bookmarkEnd w:id="71"/>
      <w:bookmarkEnd w:id="72"/>
    </w:p>
    <w:p>
      <w:pPr>
        <w:pStyle w:val="3"/>
        <w:pageBreakBefore w:val="0"/>
        <w:widowControl w:val="0"/>
        <w:numPr>
          <w:ilvl w:val="0"/>
          <w:numId w:val="5"/>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lang w:val="en-US" w:eastAsia="zh-CN"/>
        </w:rPr>
      </w:pPr>
      <w:bookmarkStart w:id="73" w:name="_Toc12445"/>
      <w:bookmarkStart w:id="74" w:name="_Toc27133"/>
      <w:r>
        <w:rPr>
          <w:rFonts w:hint="eastAsia" w:ascii="楷体_GB2312" w:hAnsi="楷体_GB2312" w:eastAsia="楷体_GB2312" w:cs="楷体_GB2312"/>
          <w:b/>
          <w:bCs w:val="0"/>
          <w:lang w:val="en-US" w:eastAsia="zh-CN"/>
        </w:rPr>
        <w:t>决策指标分析</w:t>
      </w:r>
      <w:bookmarkEnd w:id="73"/>
      <w:bookmarkEnd w:id="74"/>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绩效指标明确性方面，产出数量指标过于简单，未包括支出和结余以及扩面指标。根据评分标准，本项指标扣1分。</w:t>
      </w:r>
    </w:p>
    <w:p>
      <w:pPr>
        <w:jc w:val="center"/>
        <w:rPr>
          <w:rFonts w:hint="eastAsia" w:ascii="仿宋" w:hAnsi="仿宋" w:eastAsia="仿宋" w:cs="仿宋"/>
          <w:b/>
          <w:bCs w:val="0"/>
          <w:sz w:val="32"/>
          <w:szCs w:val="32"/>
          <w:lang w:val="en-US"/>
        </w:rPr>
      </w:pPr>
      <w:r>
        <w:rPr>
          <w:rFonts w:hint="eastAsia" w:ascii="仿宋" w:hAnsi="仿宋" w:eastAsia="仿宋" w:cs="仿宋"/>
          <w:b/>
          <w:bCs w:val="0"/>
          <w:sz w:val="32"/>
          <w:szCs w:val="32"/>
          <w:lang w:val="en-US" w:eastAsia="zh-CN"/>
        </w:rPr>
        <w:t>决策指标得分</w:t>
      </w:r>
    </w:p>
    <w:tbl>
      <w:tblPr>
        <w:tblStyle w:val="14"/>
        <w:tblW w:w="8284" w:type="dxa"/>
        <w:tblInd w:w="98" w:type="dxa"/>
        <w:tblLayout w:type="fixed"/>
        <w:tblCellMar>
          <w:top w:w="0" w:type="dxa"/>
          <w:left w:w="108" w:type="dxa"/>
          <w:bottom w:w="0" w:type="dxa"/>
          <w:right w:w="108" w:type="dxa"/>
        </w:tblCellMar>
      </w:tblPr>
      <w:tblGrid>
        <w:gridCol w:w="1164"/>
        <w:gridCol w:w="1300"/>
        <w:gridCol w:w="2170"/>
        <w:gridCol w:w="1710"/>
        <w:gridCol w:w="1940"/>
      </w:tblGrid>
      <w:tr>
        <w:tblPrEx>
          <w:tblCellMar>
            <w:top w:w="0" w:type="dxa"/>
            <w:left w:w="108" w:type="dxa"/>
            <w:bottom w:w="0" w:type="dxa"/>
            <w:right w:w="108" w:type="dxa"/>
          </w:tblCellMar>
        </w:tblPrEx>
        <w:trPr>
          <w:trHeight w:val="34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一级指标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二级指标</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三级指标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标准分值</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得分</w:t>
            </w:r>
          </w:p>
        </w:tc>
      </w:tr>
      <w:tr>
        <w:tblPrEx>
          <w:tblCellMar>
            <w:top w:w="0" w:type="dxa"/>
            <w:left w:w="108" w:type="dxa"/>
            <w:bottom w:w="0" w:type="dxa"/>
            <w:right w:w="108" w:type="dxa"/>
          </w:tblCellMar>
        </w:tblPrEx>
        <w:trPr>
          <w:trHeight w:val="390"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决策</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绩效目标</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绩效目标合理性</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2</w:t>
            </w:r>
          </w:p>
        </w:tc>
        <w:tc>
          <w:tcPr>
            <w:tcW w:w="19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6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000000"/>
                <w:sz w:val="20"/>
                <w:szCs w:val="20"/>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绩效指标明确性</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2</w:t>
            </w:r>
          </w:p>
        </w:tc>
        <w:tc>
          <w:tcPr>
            <w:tcW w:w="19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34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000000"/>
                <w:sz w:val="20"/>
                <w:szCs w:val="20"/>
              </w:rPr>
            </w:pP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资金投入</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预算编制科学性</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2</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4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000000"/>
                <w:sz w:val="20"/>
                <w:szCs w:val="20"/>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预算编制合理性</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1</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340" w:hRule="atLeast"/>
        </w:trPr>
        <w:tc>
          <w:tcPr>
            <w:tcW w:w="46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合计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7</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6</w:t>
            </w:r>
          </w:p>
        </w:tc>
      </w:tr>
    </w:tbl>
    <w:p>
      <w:pPr>
        <w:rPr>
          <w:rFonts w:hint="default" w:ascii="Times New Roman" w:hAnsi="Times New Roman" w:eastAsia="仿宋" w:cs="Times New Roman"/>
          <w:bCs/>
        </w:rPr>
      </w:pPr>
    </w:p>
    <w:p>
      <w:pPr>
        <w:pStyle w:val="3"/>
        <w:pageBreakBefore w:val="0"/>
        <w:widowControl w:val="0"/>
        <w:numPr>
          <w:ilvl w:val="0"/>
          <w:numId w:val="5"/>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lang w:val="en-US" w:eastAsia="zh-CN"/>
        </w:rPr>
      </w:pPr>
      <w:bookmarkStart w:id="75" w:name="_Toc23799"/>
      <w:bookmarkStart w:id="76" w:name="_Toc31040"/>
      <w:r>
        <w:rPr>
          <w:rFonts w:hint="eastAsia" w:ascii="楷体_GB2312" w:hAnsi="楷体_GB2312" w:eastAsia="楷体_GB2312" w:cs="楷体_GB2312"/>
          <w:b/>
          <w:bCs w:val="0"/>
          <w:lang w:val="en-US" w:eastAsia="zh-CN"/>
        </w:rPr>
        <w:t>过程指标分析</w:t>
      </w:r>
      <w:bookmarkEnd w:id="75"/>
      <w:bookmarkEnd w:id="76"/>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参保扩面宣传方面，经过访谈了解到，社保中心重视扩面宣传，通过开展现场咨询、上门慰问、发放宣传彩页、宣传抽纸、宣传纸杯、短信等方式开展多种形式</w:t>
      </w:r>
      <w:r>
        <w:rPr>
          <w:rFonts w:hint="default" w:ascii="Times New Roman" w:hAnsi="Times New Roman" w:eastAsia="仿宋_GB2312" w:cs="Times New Roman"/>
          <w:lang w:val="en-US" w:eastAsia="zh-CN"/>
        </w:rPr>
        <w:t>的</w:t>
      </w:r>
      <w:r>
        <w:rPr>
          <w:rFonts w:hint="default" w:ascii="Times New Roman" w:hAnsi="Times New Roman" w:eastAsia="仿宋_GB2312" w:cs="Times New Roman"/>
        </w:rPr>
        <w:t>宣传活动，积极引导和鼓励年轻人参保。从问卷调研情况看，比较了解和非常了解的人数占比为79.05%，宣传基本到位。形式内容方面有待提升，可以采取年轻人喜闻乐见的短视频等形式进行宣传。根据评分标准，本项指标扣</w:t>
      </w:r>
      <w:r>
        <w:rPr>
          <w:rFonts w:hint="default" w:ascii="Times New Roman" w:hAnsi="Times New Roman" w:eastAsia="仿宋_GB2312" w:cs="Times New Roman"/>
          <w:lang w:val="en-US" w:eastAsia="zh-CN"/>
        </w:rPr>
        <w:t>1</w:t>
      </w:r>
      <w:r>
        <w:rPr>
          <w:rFonts w:hint="default" w:ascii="Times New Roman" w:hAnsi="Times New Roman" w:eastAsia="仿宋_GB2312" w:cs="Times New Roman"/>
        </w:rPr>
        <w:t>分。</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待遇资格认定方面</w:t>
      </w:r>
      <w:r>
        <w:rPr>
          <w:rFonts w:hint="default" w:ascii="Times New Roman" w:hAnsi="Times New Roman" w:eastAsia="仿宋_GB2312" w:cs="Times New Roman"/>
          <w:lang w:eastAsia="zh-CN"/>
        </w:rPr>
        <w:t>，基金监管工作中养老待遇领取资格认定</w:t>
      </w:r>
      <w:r>
        <w:rPr>
          <w:rFonts w:hint="default" w:ascii="Times New Roman" w:hAnsi="Times New Roman" w:eastAsia="仿宋_GB2312" w:cs="Times New Roman"/>
          <w:lang w:val="en-US" w:eastAsia="zh-CN"/>
        </w:rPr>
        <w:t>为</w:t>
      </w:r>
      <w:r>
        <w:rPr>
          <w:rFonts w:hint="default" w:ascii="Times New Roman" w:hAnsi="Times New Roman" w:eastAsia="仿宋_GB2312" w:cs="Times New Roman"/>
          <w:lang w:eastAsia="zh-CN"/>
        </w:rPr>
        <w:t>每年认定一次，客观上存在参保人员联系不上导致认定不及时的情形。由于认定的频次低，存在参保人员死亡以及刑事案件发生时，多发待遇的情况（事后</w:t>
      </w:r>
      <w:r>
        <w:rPr>
          <w:rFonts w:hint="default" w:ascii="Times New Roman" w:hAnsi="Times New Roman" w:eastAsia="仿宋_GB2312" w:cs="Times New Roman"/>
          <w:lang w:val="en-US" w:eastAsia="zh-CN"/>
        </w:rPr>
        <w:t>通过</w:t>
      </w:r>
      <w:r>
        <w:rPr>
          <w:rFonts w:hint="default" w:ascii="Times New Roman" w:hAnsi="Times New Roman" w:eastAsia="仿宋_GB2312" w:cs="Times New Roman"/>
          <w:lang w:eastAsia="zh-CN"/>
        </w:rPr>
        <w:t>人工追回）。目前的措施是根据社保系统下发的疑点数据，由稽核人员联系街道（网格人员）和乡村相关负责人去查实疑点数据。目前下发疑点数据的准确性不是很高，有赖于基层核查人员细致工作。</w:t>
      </w:r>
      <w:r>
        <w:rPr>
          <w:rFonts w:hint="default" w:ascii="Times New Roman" w:hAnsi="Times New Roman" w:eastAsia="仿宋_GB2312" w:cs="Times New Roman"/>
          <w:lang w:val="en-US" w:eastAsia="zh-CN"/>
        </w:rPr>
        <w:t>实际工作中，</w:t>
      </w:r>
      <w:r>
        <w:rPr>
          <w:rFonts w:hint="default" w:ascii="Times New Roman" w:hAnsi="Times New Roman" w:eastAsia="仿宋_GB2312" w:cs="Times New Roman"/>
          <w:lang w:eastAsia="zh-CN"/>
        </w:rPr>
        <w:t>存在经办人员疏忽的情况，但没有发现系统性风险漏洞。措施基本有效且</w:t>
      </w:r>
      <w:r>
        <w:rPr>
          <w:rFonts w:hint="default" w:ascii="Times New Roman" w:hAnsi="Times New Roman" w:eastAsia="仿宋_GB2312" w:cs="Times New Roman"/>
          <w:lang w:val="en-US" w:eastAsia="zh-CN"/>
        </w:rPr>
        <w:t>基本</w:t>
      </w:r>
      <w:r>
        <w:rPr>
          <w:rFonts w:hint="default" w:ascii="Times New Roman" w:hAnsi="Times New Roman" w:eastAsia="仿宋_GB2312" w:cs="Times New Roman"/>
          <w:lang w:eastAsia="zh-CN"/>
        </w:rPr>
        <w:t>执行到位，根据评分标准，本项指标扣2分</w:t>
      </w:r>
      <w:r>
        <w:rPr>
          <w:rFonts w:hint="default" w:ascii="Times New Roman" w:hAnsi="Times New Roman" w:eastAsia="仿宋_GB2312" w:cs="Times New Roman"/>
        </w:rPr>
        <w:t>。</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业财一体化分析方面，经过访谈了解，财务部门编写了2022年基金</w:t>
      </w:r>
      <w:r>
        <w:rPr>
          <w:rFonts w:hint="eastAsia" w:ascii="Times New Roman" w:hAnsi="Times New Roman" w:eastAsia="仿宋_GB2312" w:cs="Times New Roman"/>
          <w:lang w:val="en-US" w:eastAsia="zh-CN"/>
        </w:rPr>
        <w:t>财务</w:t>
      </w:r>
      <w:r>
        <w:rPr>
          <w:rFonts w:hint="default" w:ascii="Times New Roman" w:hAnsi="Times New Roman" w:eastAsia="仿宋_GB2312" w:cs="Times New Roman"/>
          <w:lang w:eastAsia="zh-CN"/>
        </w:rPr>
        <w:t>运行报告，就基金收入和支出以及变化原因进行了</w:t>
      </w:r>
      <w:r>
        <w:rPr>
          <w:rFonts w:hint="default" w:ascii="Times New Roman" w:hAnsi="Times New Roman" w:eastAsia="仿宋_GB2312" w:cs="Times New Roman"/>
          <w:lang w:val="en-US" w:eastAsia="zh-CN"/>
        </w:rPr>
        <w:t>粗略</w:t>
      </w:r>
      <w:r>
        <w:rPr>
          <w:rFonts w:hint="default" w:ascii="Times New Roman" w:hAnsi="Times New Roman" w:eastAsia="仿宋_GB2312" w:cs="Times New Roman"/>
          <w:lang w:eastAsia="zh-CN"/>
        </w:rPr>
        <w:t>分析，但该报告缺乏业务数据有力支撑，分析的颗粒度不够</w:t>
      </w:r>
      <w:r>
        <w:rPr>
          <w:rFonts w:hint="eastAsia" w:ascii="Times New Roman" w:hAnsi="Times New Roman" w:eastAsia="仿宋_GB2312" w:cs="Times New Roman"/>
          <w:lang w:val="en-US" w:eastAsia="zh-CN"/>
        </w:rPr>
        <w:t>详细</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一定程度上导致财务部门向财政局申请资金时缺乏详细的支撑性业务数据，财政局的社保业务部门对所申请资金规模的合理性可能难以判断</w:t>
      </w:r>
      <w:r>
        <w:rPr>
          <w:rFonts w:hint="default" w:ascii="Times New Roman" w:hAnsi="Times New Roman" w:eastAsia="仿宋_GB2312" w:cs="Times New Roman"/>
          <w:lang w:eastAsia="zh-CN"/>
        </w:rPr>
        <w:t>。根据评分标准，本项指标扣2分。</w:t>
      </w:r>
    </w:p>
    <w:p>
      <w:pPr>
        <w:jc w:val="center"/>
        <w:rPr>
          <w:rFonts w:hint="default" w:ascii="Times New Roman" w:hAnsi="Times New Roman" w:eastAsia="仿宋" w:cs="Times New Roman"/>
        </w:rPr>
      </w:pPr>
      <w:r>
        <w:rPr>
          <w:rFonts w:hint="eastAsia" w:ascii="仿宋" w:hAnsi="仿宋" w:eastAsia="仿宋" w:cs="仿宋"/>
          <w:b/>
          <w:bCs w:val="0"/>
          <w:sz w:val="32"/>
          <w:szCs w:val="32"/>
          <w:lang w:val="en-US" w:eastAsia="zh-CN"/>
        </w:rPr>
        <w:t>过程指标得分</w:t>
      </w:r>
    </w:p>
    <w:tbl>
      <w:tblPr>
        <w:tblStyle w:val="14"/>
        <w:tblW w:w="8324" w:type="dxa"/>
        <w:tblInd w:w="98" w:type="dxa"/>
        <w:tblLayout w:type="fixed"/>
        <w:tblCellMar>
          <w:top w:w="0" w:type="dxa"/>
          <w:left w:w="108" w:type="dxa"/>
          <w:bottom w:w="0" w:type="dxa"/>
          <w:right w:w="108" w:type="dxa"/>
        </w:tblCellMar>
      </w:tblPr>
      <w:tblGrid>
        <w:gridCol w:w="1404"/>
        <w:gridCol w:w="1290"/>
        <w:gridCol w:w="2250"/>
        <w:gridCol w:w="1660"/>
        <w:gridCol w:w="1720"/>
      </w:tblGrid>
      <w:tr>
        <w:tblPrEx>
          <w:tblCellMar>
            <w:top w:w="0" w:type="dxa"/>
            <w:left w:w="108" w:type="dxa"/>
            <w:bottom w:w="0" w:type="dxa"/>
            <w:right w:w="108" w:type="dxa"/>
          </w:tblCellMar>
        </w:tblPrEx>
        <w:trPr>
          <w:trHeight w:val="34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二级指标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三级指标</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标准分值</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得分</w:t>
            </w:r>
          </w:p>
        </w:tc>
      </w:tr>
      <w:tr>
        <w:tblPrEx>
          <w:tblCellMar>
            <w:top w:w="0" w:type="dxa"/>
            <w:left w:w="108" w:type="dxa"/>
            <w:bottom w:w="0" w:type="dxa"/>
            <w:right w:w="108" w:type="dxa"/>
          </w:tblCellMar>
        </w:tblPrEx>
        <w:trPr>
          <w:trHeight w:val="330" w:hRule="atLeast"/>
        </w:trPr>
        <w:tc>
          <w:tcPr>
            <w:tcW w:w="140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过程</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规范管理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管理制度健全性</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20" w:hRule="atLeast"/>
        </w:trPr>
        <w:tc>
          <w:tcPr>
            <w:tcW w:w="1404"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000000"/>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000000"/>
                <w:sz w:val="20"/>
                <w:szCs w:val="20"/>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资金使用合规性</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10" w:hRule="atLeast"/>
        </w:trPr>
        <w:tc>
          <w:tcPr>
            <w:tcW w:w="1404"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000000"/>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000000"/>
                <w:sz w:val="20"/>
                <w:szCs w:val="20"/>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参保扩面宣传</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eastAsia" w:ascii="Times New Roman" w:hAnsi="Times New Roman" w:eastAsia="仿宋"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360" w:hRule="atLeast"/>
        </w:trPr>
        <w:tc>
          <w:tcPr>
            <w:tcW w:w="1404"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资金到位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i w:val="0"/>
                <w:iCs w:val="0"/>
                <w:color w:val="000000"/>
                <w:kern w:val="0"/>
                <w:sz w:val="20"/>
                <w:szCs w:val="20"/>
                <w:u w:val="none"/>
                <w:lang w:val="en-US" w:eastAsia="zh-CN" w:bidi="ar"/>
              </w:rPr>
              <w:t>财政资金到位率</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i w:val="0"/>
                <w:iCs w:val="0"/>
                <w:color w:val="000000"/>
                <w:kern w:val="0"/>
                <w:sz w:val="20"/>
                <w:szCs w:val="20"/>
                <w:u w:val="none"/>
                <w:lang w:val="en-US" w:eastAsia="zh-CN" w:bidi="ar"/>
              </w:rPr>
              <w:t>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350" w:hRule="atLeast"/>
        </w:trPr>
        <w:tc>
          <w:tcPr>
            <w:tcW w:w="1404"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i w:val="0"/>
                <w:iCs w:val="0"/>
                <w:color w:val="000000"/>
                <w:kern w:val="0"/>
                <w:sz w:val="20"/>
                <w:szCs w:val="20"/>
                <w:u w:val="none"/>
                <w:lang w:val="en-US" w:eastAsia="zh-CN" w:bidi="ar"/>
              </w:rPr>
              <w:t>基金监管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i w:val="0"/>
                <w:iCs w:val="0"/>
                <w:color w:val="000000"/>
                <w:kern w:val="0"/>
                <w:sz w:val="20"/>
                <w:szCs w:val="20"/>
                <w:u w:val="none"/>
                <w:lang w:val="en-US" w:eastAsia="zh-CN" w:bidi="ar"/>
              </w:rPr>
              <w:t>待遇资格认定</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i w:val="0"/>
                <w:iCs w:val="0"/>
                <w:color w:val="000000"/>
                <w:kern w:val="0"/>
                <w:sz w:val="20"/>
                <w:szCs w:val="20"/>
                <w:u w:val="none"/>
                <w:lang w:val="en-US" w:eastAsia="zh-CN" w:bidi="ar"/>
              </w:rPr>
              <w:t>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350" w:hRule="atLeast"/>
        </w:trPr>
        <w:tc>
          <w:tcPr>
            <w:tcW w:w="1404"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i w:val="0"/>
                <w:iCs w:val="0"/>
                <w:color w:val="000000"/>
                <w:kern w:val="0"/>
                <w:sz w:val="20"/>
                <w:szCs w:val="20"/>
                <w:u w:val="none"/>
                <w:lang w:val="en-US" w:eastAsia="zh-CN" w:bidi="ar"/>
              </w:rPr>
              <w:t>数据分析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0"/>
                <w:sz w:val="20"/>
                <w:szCs w:val="20"/>
                <w:lang w:bidi="ar"/>
              </w:rPr>
            </w:pPr>
            <w:r>
              <w:rPr>
                <w:rFonts w:hint="default" w:ascii="Times New Roman" w:hAnsi="Times New Roman" w:eastAsia="仿宋" w:cs="Times New Roman"/>
                <w:i w:val="0"/>
                <w:iCs w:val="0"/>
                <w:color w:val="000000"/>
                <w:kern w:val="0"/>
                <w:sz w:val="20"/>
                <w:szCs w:val="20"/>
                <w:u w:val="none"/>
                <w:lang w:val="en-US" w:eastAsia="zh-CN" w:bidi="ar"/>
              </w:rPr>
              <w:t>业财一体化分析</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0"/>
                <w:sz w:val="20"/>
                <w:szCs w:val="20"/>
                <w:lang w:bidi="ar"/>
              </w:rPr>
            </w:pPr>
            <w:r>
              <w:rPr>
                <w:rFonts w:hint="default" w:ascii="Times New Roman" w:hAnsi="Times New Roman" w:eastAsia="仿宋" w:cs="Times New Roman"/>
                <w:i w:val="0"/>
                <w:iCs w:val="0"/>
                <w:color w:val="000000"/>
                <w:kern w:val="0"/>
                <w:sz w:val="20"/>
                <w:szCs w:val="20"/>
                <w:u w:val="none"/>
                <w:lang w:val="en-US" w:eastAsia="zh-CN" w:bidi="ar"/>
              </w:rPr>
              <w:t>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0"/>
                <w:sz w:val="20"/>
                <w:szCs w:val="20"/>
                <w:lang w:bidi="ar"/>
              </w:rPr>
            </w:pPr>
            <w:r>
              <w:rPr>
                <w:rFonts w:hint="default" w:ascii="Times New Roman" w:hAnsi="Times New Roman" w:eastAsia="仿宋"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80" w:hRule="atLeast"/>
        </w:trPr>
        <w:tc>
          <w:tcPr>
            <w:tcW w:w="49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i w:val="0"/>
                <w:iCs w:val="0"/>
                <w:color w:val="000000"/>
                <w:kern w:val="0"/>
                <w:sz w:val="20"/>
                <w:szCs w:val="20"/>
                <w:u w:val="none"/>
                <w:lang w:val="en-US" w:eastAsia="zh-CN" w:bidi="ar"/>
              </w:rPr>
              <w:t>合计</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i w:val="0"/>
                <w:iCs w:val="0"/>
                <w:color w:val="000000"/>
                <w:kern w:val="0"/>
                <w:sz w:val="20"/>
                <w:szCs w:val="20"/>
                <w:u w:val="none"/>
                <w:lang w:val="en-US" w:eastAsia="zh-CN" w:bidi="ar"/>
              </w:rPr>
              <w:t>23</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i w:val="0"/>
                <w:iCs w:val="0"/>
                <w:color w:val="000000"/>
                <w:kern w:val="0"/>
                <w:sz w:val="20"/>
                <w:szCs w:val="20"/>
                <w:u w:val="none"/>
                <w:lang w:val="en-US" w:eastAsia="zh-CN" w:bidi="ar"/>
              </w:rPr>
              <w:t>1</w:t>
            </w:r>
            <w:r>
              <w:rPr>
                <w:rFonts w:hint="eastAsia" w:ascii="Times New Roman" w:hAnsi="Times New Roman" w:eastAsia="仿宋" w:cs="Times New Roman"/>
                <w:i w:val="0"/>
                <w:iCs w:val="0"/>
                <w:color w:val="000000"/>
                <w:kern w:val="0"/>
                <w:sz w:val="20"/>
                <w:szCs w:val="20"/>
                <w:u w:val="none"/>
                <w:lang w:val="en-US" w:eastAsia="zh-CN" w:bidi="ar"/>
              </w:rPr>
              <w:t>8</w:t>
            </w:r>
          </w:p>
        </w:tc>
      </w:tr>
    </w:tbl>
    <w:p>
      <w:pPr>
        <w:rPr>
          <w:rFonts w:hint="default" w:ascii="Times New Roman" w:hAnsi="Times New Roman" w:eastAsia="仿宋" w:cs="Times New Roman"/>
        </w:rPr>
      </w:pPr>
    </w:p>
    <w:p>
      <w:pPr>
        <w:pStyle w:val="3"/>
        <w:pageBreakBefore w:val="0"/>
        <w:widowControl w:val="0"/>
        <w:numPr>
          <w:ilvl w:val="0"/>
          <w:numId w:val="5"/>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lang w:val="en-US" w:eastAsia="zh-CN"/>
        </w:rPr>
      </w:pPr>
      <w:bookmarkStart w:id="77" w:name="_Toc8996"/>
      <w:bookmarkStart w:id="78" w:name="_Toc314"/>
      <w:r>
        <w:rPr>
          <w:rFonts w:hint="eastAsia" w:ascii="楷体_GB2312" w:hAnsi="楷体_GB2312" w:eastAsia="楷体_GB2312" w:cs="楷体_GB2312"/>
          <w:b/>
          <w:bCs w:val="0"/>
          <w:lang w:val="en-US" w:eastAsia="zh-CN"/>
        </w:rPr>
        <w:t>产出指标分析</w:t>
      </w:r>
      <w:bookmarkEnd w:id="77"/>
      <w:bookmarkEnd w:id="78"/>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基金支出增长率</w:t>
      </w:r>
      <w:r>
        <w:rPr>
          <w:rFonts w:hint="default" w:ascii="Times New Roman" w:hAnsi="Times New Roman" w:eastAsia="仿宋_GB2312" w:cs="Times New Roman"/>
          <w:lang w:val="en-US" w:eastAsia="zh-CN"/>
        </w:rPr>
        <w:t>方面</w:t>
      </w:r>
      <w:r>
        <w:rPr>
          <w:rFonts w:hint="default" w:ascii="Times New Roman" w:hAnsi="Times New Roman" w:eastAsia="仿宋_GB2312" w:cs="Times New Roman"/>
          <w:lang w:eastAsia="zh-CN"/>
        </w:rPr>
        <w:t>，2022年基金支出2</w:t>
      </w:r>
      <w:r>
        <w:rPr>
          <w:rFonts w:hint="default" w:ascii="Times New Roman" w:hAnsi="Times New Roman" w:eastAsia="仿宋_GB2312" w:cs="Times New Roman"/>
          <w:lang w:val="en-US" w:eastAsia="zh-CN"/>
        </w:rPr>
        <w:t>,</w:t>
      </w:r>
      <w:r>
        <w:rPr>
          <w:rFonts w:hint="default" w:ascii="Times New Roman" w:hAnsi="Times New Roman" w:eastAsia="仿宋_GB2312" w:cs="Times New Roman"/>
          <w:lang w:eastAsia="zh-CN"/>
        </w:rPr>
        <w:t>349.17万元，较2021年（2</w:t>
      </w:r>
      <w:r>
        <w:rPr>
          <w:rFonts w:hint="default" w:ascii="Times New Roman" w:hAnsi="Times New Roman" w:eastAsia="仿宋_GB2312" w:cs="Times New Roman"/>
          <w:lang w:val="en-US" w:eastAsia="zh-CN"/>
        </w:rPr>
        <w:t>,</w:t>
      </w:r>
      <w:r>
        <w:rPr>
          <w:rFonts w:hint="default" w:ascii="Times New Roman" w:hAnsi="Times New Roman" w:eastAsia="仿宋_GB2312" w:cs="Times New Roman"/>
          <w:lang w:eastAsia="zh-CN"/>
        </w:rPr>
        <w:t>108.71万元）增长11.40%，</w:t>
      </w:r>
      <w:r>
        <w:rPr>
          <w:rFonts w:hint="default" w:ascii="Times New Roman" w:hAnsi="Times New Roman" w:eastAsia="仿宋_GB2312" w:cs="Times New Roman"/>
          <w:lang w:val="en-US" w:eastAsia="zh-CN"/>
        </w:rPr>
        <w:t>支出增长较快，</w:t>
      </w:r>
      <w:r>
        <w:rPr>
          <w:rFonts w:hint="default" w:ascii="Times New Roman" w:hAnsi="Times New Roman" w:eastAsia="仿宋_GB2312" w:cs="Times New Roman"/>
          <w:lang w:eastAsia="zh-CN"/>
        </w:rPr>
        <w:t>根据评分标准，本项指标扣1分。</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待遇准确发放方面，工作需进一步提高精准度，加强对待遇给付环节中疑点信息的监控分析，防范各种潜在的风险，本项指标扣1分。</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成本节约率方面，2022年基金计划成本为1</w:t>
      </w:r>
      <w:r>
        <w:rPr>
          <w:rFonts w:hint="default" w:ascii="Times New Roman" w:hAnsi="Times New Roman" w:eastAsia="仿宋_GB2312" w:cs="Times New Roman"/>
          <w:lang w:val="en-US" w:eastAsia="zh-CN"/>
        </w:rPr>
        <w:t>,</w:t>
      </w:r>
      <w:r>
        <w:rPr>
          <w:rFonts w:hint="default" w:ascii="Times New Roman" w:hAnsi="Times New Roman" w:eastAsia="仿宋_GB2312" w:cs="Times New Roman"/>
          <w:lang w:eastAsia="zh-CN"/>
        </w:rPr>
        <w:t>958.64万元，实际成本为2</w:t>
      </w:r>
      <w:r>
        <w:rPr>
          <w:rFonts w:hint="default" w:ascii="Times New Roman" w:hAnsi="Times New Roman" w:eastAsia="仿宋_GB2312" w:cs="Times New Roman"/>
          <w:lang w:val="en-US" w:eastAsia="zh-CN"/>
        </w:rPr>
        <w:t>,</w:t>
      </w:r>
      <w:r>
        <w:rPr>
          <w:rFonts w:hint="default" w:ascii="Times New Roman" w:hAnsi="Times New Roman" w:eastAsia="仿宋_GB2312" w:cs="Times New Roman"/>
          <w:lang w:eastAsia="zh-CN"/>
        </w:rPr>
        <w:t>349.17万元，成本节约率为-19.94%，实际成本超过计划成本。根据评分标准，本项指标扣3分。</w:t>
      </w:r>
    </w:p>
    <w:p>
      <w:pPr>
        <w:jc w:val="center"/>
        <w:rPr>
          <w:rFonts w:hint="eastAsia" w:ascii="仿宋" w:hAnsi="仿宋" w:eastAsia="仿宋" w:cs="仿宋"/>
          <w:b/>
          <w:bCs w:val="0"/>
          <w:sz w:val="32"/>
          <w:szCs w:val="32"/>
          <w:lang w:val="en-US"/>
        </w:rPr>
      </w:pPr>
      <w:r>
        <w:rPr>
          <w:rFonts w:hint="eastAsia" w:ascii="仿宋" w:hAnsi="仿宋" w:eastAsia="仿宋" w:cs="仿宋"/>
          <w:b/>
          <w:bCs w:val="0"/>
          <w:sz w:val="32"/>
          <w:szCs w:val="32"/>
          <w:lang w:val="en-US" w:eastAsia="zh-CN"/>
        </w:rPr>
        <w:t>产出指标得分</w:t>
      </w:r>
    </w:p>
    <w:tbl>
      <w:tblPr>
        <w:tblStyle w:val="14"/>
        <w:tblW w:w="830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7"/>
        <w:gridCol w:w="1273"/>
        <w:gridCol w:w="2127"/>
        <w:gridCol w:w="2313"/>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二级指标</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三级指标</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标准分值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产出</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产出数量</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收入预算完成率</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基金收入增长率</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支出预算完成率</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基金支出增长率</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3</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基金年度结余率</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滚动结余增长率</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参保人数完成率</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参保人数增长率</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eastAsia" w:ascii="Times New Roman" w:hAnsi="Times New Roman" w:eastAsia="仿宋" w:cs="Times New Roman"/>
                <w:b w:val="0"/>
                <w:bCs w:val="0"/>
                <w:color w:val="000000"/>
                <w:kern w:val="0"/>
                <w:sz w:val="20"/>
                <w:szCs w:val="2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产出质量</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待遇足额发放</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待遇准确发放</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3</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产出成本</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成本节约率</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产出时效</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待遇及时发放</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46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合计</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40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val="0"/>
                <w:bCs w:val="0"/>
                <w:color w:val="000000"/>
                <w:kern w:val="0"/>
                <w:sz w:val="20"/>
                <w:szCs w:val="20"/>
                <w:lang w:bidi="ar"/>
              </w:rPr>
            </w:pPr>
            <w:r>
              <w:rPr>
                <w:rFonts w:hint="default" w:ascii="Times New Roman" w:hAnsi="Times New Roman" w:eastAsia="仿宋" w:cs="Times New Roman"/>
                <w:b w:val="0"/>
                <w:bCs w:val="0"/>
                <w:color w:val="000000"/>
                <w:kern w:val="0"/>
                <w:sz w:val="20"/>
                <w:szCs w:val="20"/>
                <w:lang w:val="en-US" w:eastAsia="zh-CN" w:bidi="ar"/>
              </w:rPr>
              <w:t>3</w:t>
            </w:r>
            <w:r>
              <w:rPr>
                <w:rFonts w:hint="eastAsia" w:ascii="Times New Roman" w:hAnsi="Times New Roman" w:eastAsia="仿宋" w:cs="Times New Roman"/>
                <w:b w:val="0"/>
                <w:bCs w:val="0"/>
                <w:color w:val="000000"/>
                <w:kern w:val="0"/>
                <w:sz w:val="20"/>
                <w:szCs w:val="20"/>
                <w:lang w:val="en-US" w:eastAsia="zh-CN" w:bidi="ar"/>
              </w:rPr>
              <w:t>5</w:t>
            </w:r>
          </w:p>
        </w:tc>
      </w:tr>
    </w:tbl>
    <w:p>
      <w:pPr>
        <w:rPr>
          <w:rFonts w:hint="default" w:ascii="Times New Roman" w:hAnsi="Times New Roman" w:eastAsia="仿宋" w:cs="Times New Roman"/>
          <w:lang w:eastAsia="zh-CN"/>
        </w:rPr>
      </w:pPr>
    </w:p>
    <w:p>
      <w:pPr>
        <w:pStyle w:val="3"/>
        <w:pageBreakBefore w:val="0"/>
        <w:widowControl w:val="0"/>
        <w:numPr>
          <w:ilvl w:val="0"/>
          <w:numId w:val="5"/>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lang w:val="en-US" w:eastAsia="zh-CN"/>
        </w:rPr>
      </w:pPr>
      <w:bookmarkStart w:id="79" w:name="_Toc24461"/>
      <w:r>
        <w:rPr>
          <w:rFonts w:hint="eastAsia" w:ascii="楷体_GB2312" w:hAnsi="楷体_GB2312" w:eastAsia="楷体_GB2312" w:cs="楷体_GB2312"/>
          <w:b/>
          <w:bCs w:val="0"/>
          <w:lang w:val="en-US" w:eastAsia="zh-CN"/>
        </w:rPr>
        <w:t>效益指标分析</w:t>
      </w:r>
      <w:bookmarkEnd w:id="79"/>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养老待遇水平方面，2022年月人均养老金为210.29元，2021年月人均养老金为194.60元，月人均养老金增长率为8.06%，提升不明显，且</w:t>
      </w:r>
      <w:r>
        <w:rPr>
          <w:rFonts w:hint="eastAsia" w:ascii="Times New Roman" w:hAnsi="Times New Roman" w:eastAsia="仿宋_GB2312" w:cs="Times New Roman"/>
          <w:lang w:val="en-US" w:eastAsia="zh-CN"/>
        </w:rPr>
        <w:t>绝对额</w:t>
      </w:r>
      <w:r>
        <w:rPr>
          <w:rFonts w:hint="default" w:ascii="Times New Roman" w:hAnsi="Times New Roman" w:eastAsia="仿宋_GB2312" w:cs="Times New Roman"/>
          <w:lang w:val="en-US" w:eastAsia="zh-CN"/>
        </w:rPr>
        <w:t>远低于城市和农村低保644元的月人均标准。根据评分标准，本项指标扣</w:t>
      </w:r>
      <w:r>
        <w:rPr>
          <w:rFonts w:hint="eastAsia" w:ascii="Times New Roman" w:hAnsi="Times New Roman" w:cs="Times New Roman"/>
          <w:lang w:val="en-US" w:eastAsia="zh-CN"/>
        </w:rPr>
        <w:t>2</w:t>
      </w:r>
      <w:r>
        <w:rPr>
          <w:rFonts w:hint="default" w:ascii="Times New Roman" w:hAnsi="Times New Roman" w:eastAsia="仿宋_GB2312" w:cs="Times New Roman"/>
          <w:lang w:val="en-US" w:eastAsia="zh-CN"/>
        </w:rPr>
        <w:t>分。</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最低保障扩面方面，2022年</w:t>
      </w:r>
      <w:r>
        <w:rPr>
          <w:rFonts w:hint="eastAsia" w:ascii="Times New Roman" w:hAnsi="Times New Roman" w:eastAsia="仿宋_GB2312" w:cs="Times New Roman"/>
          <w:lang w:val="en-US" w:eastAsia="zh-CN"/>
        </w:rPr>
        <w:t>为困难群体</w:t>
      </w:r>
      <w:r>
        <w:rPr>
          <w:rFonts w:hint="default" w:ascii="Times New Roman" w:hAnsi="Times New Roman" w:eastAsia="仿宋_GB2312" w:cs="Times New Roman"/>
          <w:lang w:val="en-US" w:eastAsia="zh-CN"/>
        </w:rPr>
        <w:t>代缴人数为6712人，2021年代缴人数为9386人，代缴人数</w:t>
      </w:r>
      <w:r>
        <w:rPr>
          <w:rFonts w:hint="eastAsia" w:ascii="Times New Roman" w:hAnsi="Times New Roman" w:eastAsia="仿宋_GB2312" w:cs="Times New Roman"/>
          <w:lang w:val="en-US" w:eastAsia="zh-CN"/>
        </w:rPr>
        <w:t>下降</w:t>
      </w:r>
      <w:r>
        <w:rPr>
          <w:rFonts w:hint="default" w:ascii="Times New Roman" w:hAnsi="Times New Roman" w:eastAsia="仿宋_GB2312" w:cs="Times New Roman"/>
          <w:lang w:val="en-US" w:eastAsia="zh-CN"/>
        </w:rPr>
        <w:t>28.49%</w:t>
      </w:r>
      <w:r>
        <w:rPr>
          <w:rFonts w:hint="eastAsia" w:ascii="Times New Roman" w:hAnsi="Times New Roman" w:eastAsia="仿宋_GB2312" w:cs="Times New Roman"/>
          <w:lang w:val="en-US" w:eastAsia="zh-CN"/>
        </w:rPr>
        <w:t>，表明困难群体的养老保障覆盖面下降</w:t>
      </w:r>
      <w:r>
        <w:rPr>
          <w:rFonts w:hint="default" w:ascii="Times New Roman" w:hAnsi="Times New Roman" w:eastAsia="仿宋_GB2312" w:cs="Times New Roman"/>
          <w:lang w:val="en-US" w:eastAsia="zh-CN"/>
        </w:rPr>
        <w:t>。根据评分标准，本项指标扣5分。</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参保满意度方面，通过向参保人员发放调研问卷，成功回收105</w:t>
      </w:r>
      <w:r>
        <w:rPr>
          <w:rFonts w:hint="eastAsia" w:ascii="Times New Roman" w:hAnsi="Times New Roman" w:eastAsia="仿宋_GB2312" w:cs="Times New Roman"/>
          <w:lang w:val="en-US" w:eastAsia="zh-CN"/>
        </w:rPr>
        <w:t>份</w:t>
      </w:r>
      <w:r>
        <w:rPr>
          <w:rFonts w:hint="default" w:ascii="Times New Roman" w:hAnsi="Times New Roman" w:eastAsia="仿宋_GB2312" w:cs="Times New Roman"/>
          <w:lang w:val="en-US" w:eastAsia="zh-CN"/>
        </w:rPr>
        <w:t>。根据调研结果显示，参保人员在待遇保障水平、个人缴费标准、缴费补贴力度、待遇申请便捷性、缴费方式、待遇发放及时性、政策宣传力度、经办人员服务态度以及工作效率方面，非常满意和满意的人数占比平均为92.80%。根据评分标准，本项指标扣2分。</w:t>
      </w:r>
    </w:p>
    <w:p>
      <w:pPr>
        <w:jc w:val="center"/>
        <w:rPr>
          <w:rFonts w:hint="eastAsia" w:ascii="仿宋" w:hAnsi="仿宋" w:eastAsia="仿宋" w:cs="仿宋"/>
          <w:b/>
          <w:bCs w:val="0"/>
          <w:sz w:val="32"/>
          <w:szCs w:val="32"/>
          <w:lang w:val="en-US"/>
        </w:rPr>
      </w:pPr>
      <w:r>
        <w:rPr>
          <w:rFonts w:hint="eastAsia" w:ascii="仿宋" w:hAnsi="仿宋" w:eastAsia="仿宋" w:cs="仿宋"/>
          <w:b/>
          <w:bCs w:val="0"/>
          <w:sz w:val="32"/>
          <w:szCs w:val="32"/>
          <w:lang w:val="en-US" w:eastAsia="zh-CN"/>
        </w:rPr>
        <w:t>效益指标得分</w:t>
      </w:r>
    </w:p>
    <w:tbl>
      <w:tblPr>
        <w:tblStyle w:val="14"/>
        <w:tblW w:w="831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6"/>
        <w:gridCol w:w="1289"/>
        <w:gridCol w:w="2400"/>
        <w:gridCol w:w="1533"/>
        <w:gridCol w:w="1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一级指标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二级指标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三级指标</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标准分值</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效益</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社会效益</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养老待遇水平提升</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1"/>
                <w:szCs w:val="21"/>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1"/>
                <w:szCs w:val="21"/>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最低保障扩面力度</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1"/>
                <w:szCs w:val="21"/>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可持续影响</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基金支撑能力</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1"/>
                <w:szCs w:val="21"/>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满意度</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参保满意度</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合计</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lang w:val="en-US"/>
              </w:rPr>
            </w:pPr>
            <w:r>
              <w:rPr>
                <w:rFonts w:hint="eastAsia" w:ascii="Times New Roman" w:hAnsi="Times New Roman" w:eastAsia="仿宋" w:cs="Times New Roman"/>
                <w:i w:val="0"/>
                <w:iCs w:val="0"/>
                <w:color w:val="000000"/>
                <w:kern w:val="0"/>
                <w:sz w:val="21"/>
                <w:szCs w:val="21"/>
                <w:u w:val="none"/>
                <w:lang w:val="en-US" w:eastAsia="zh-CN" w:bidi="ar"/>
              </w:rPr>
              <w:t>21</w:t>
            </w:r>
          </w:p>
        </w:tc>
      </w:tr>
    </w:tbl>
    <w:p>
      <w:pPr>
        <w:pStyle w:val="2"/>
        <w:pageBreakBefore w:val="0"/>
        <w:widowControl w:val="0"/>
        <w:numPr>
          <w:ilvl w:val="0"/>
          <w:numId w:val="1"/>
        </w:numPr>
        <w:kinsoku/>
        <w:wordWrap/>
        <w:overflowPunct/>
        <w:topLinePunct w:val="0"/>
        <w:autoSpaceDE/>
        <w:autoSpaceDN/>
        <w:bidi w:val="0"/>
        <w:adjustRightInd/>
        <w:snapToGrid/>
        <w:spacing w:before="0" w:after="0" w:line="600" w:lineRule="exact"/>
        <w:ind w:left="0" w:firstLine="643" w:firstLineChars="200"/>
        <w:textAlignment w:val="auto"/>
        <w:rPr>
          <w:rFonts w:hint="default" w:ascii="黑体" w:hAnsi="黑体" w:eastAsia="黑体" w:cs="黑体"/>
          <w:sz w:val="32"/>
          <w:szCs w:val="32"/>
          <w:lang w:val="en-US" w:eastAsia="zh-CN"/>
        </w:rPr>
      </w:pPr>
      <w:bookmarkStart w:id="80" w:name="_Toc23340"/>
      <w:r>
        <w:rPr>
          <w:rFonts w:hint="eastAsia" w:ascii="黑体" w:hAnsi="黑体" w:eastAsia="黑体" w:cs="黑体"/>
          <w:sz w:val="32"/>
          <w:szCs w:val="32"/>
          <w:lang w:val="en-US" w:eastAsia="zh-CN"/>
        </w:rPr>
        <w:t>主要经验与做法</w:t>
      </w:r>
      <w:bookmarkEnd w:id="80"/>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参保扩面敢于创新，迎接挑战。目前210元的月人均养老金，导致城乡养老保险向年轻人扩面很难完成任务，他们更愿意以灵活就业人员身份参保，享受与企业养老保险相同的待遇。在这种情形下，2023年社保中心积极开拓思路，从未参保困难群体入手，推动参保扩面工作。今年3月社保中心从湖南省城乡居民养老保险中心（简称“省中心”）接收未参保困难群体119人名单，积极与该批困难群体监管主体岳阳楼区福利院、康复医院以及所属街道办事处取得联系，收集该批困难群体身份信息和户籍资料，对未参保的困难群体进行参保登记。同时，通过民政、残联匹配确定符合政府代缴条件人员名单。经核查，此批困难群体中有98名为无民事行为能力人，未领取且无法自行办理社会保障卡，导致困难群体保费无法代缴，到龄困难群体待遇无法正常发放。</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根据相关文件精神指示，为推进困难群体保费代缴和待遇发放工作，社保中心主动寻求和学习其他区县相关经验，经省中心支持，顺利与交通银行岳阳分行取得联系。最终由社保中心牵头，与银行、福利院、康复医院和相关街道办事处召开社会保障卡办理协商会，四方达成一致，由无法自行办理社会保障卡的失能人员监护人提供身份证、监护证明、委托书、三方协议等相关资料，然后银行上门办理。</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经过共同努力，共为98名失能困难群体办理98张社会保障卡，完成政府代缴98人，为到龄困难群体养老待遇的正常发放提供了有力保障，确保困难群体应保尽保，应代尽代，也是推动城乡居民基本养老保险参保扩面的创新举措。</w:t>
      </w:r>
    </w:p>
    <w:p>
      <w:pPr>
        <w:pStyle w:val="2"/>
        <w:pageBreakBefore w:val="0"/>
        <w:widowControl w:val="0"/>
        <w:numPr>
          <w:ilvl w:val="0"/>
          <w:numId w:val="1"/>
        </w:numPr>
        <w:kinsoku/>
        <w:wordWrap/>
        <w:overflowPunct/>
        <w:topLinePunct w:val="0"/>
        <w:autoSpaceDE/>
        <w:autoSpaceDN/>
        <w:bidi w:val="0"/>
        <w:adjustRightInd/>
        <w:snapToGrid/>
        <w:spacing w:before="0" w:after="0" w:line="600" w:lineRule="exact"/>
        <w:ind w:left="0" w:firstLine="643" w:firstLineChars="200"/>
        <w:textAlignment w:val="auto"/>
        <w:rPr>
          <w:rFonts w:hint="default" w:ascii="黑体" w:hAnsi="黑体" w:eastAsia="黑体" w:cs="黑体"/>
          <w:sz w:val="32"/>
          <w:szCs w:val="32"/>
          <w:lang w:val="en-US" w:eastAsia="zh-CN"/>
        </w:rPr>
      </w:pPr>
      <w:bookmarkStart w:id="81" w:name="_Toc31928"/>
      <w:bookmarkStart w:id="82" w:name="_Toc7662"/>
      <w:r>
        <w:rPr>
          <w:rFonts w:hint="default" w:ascii="黑体" w:hAnsi="黑体" w:eastAsia="黑体" w:cs="黑体"/>
          <w:sz w:val="32"/>
          <w:szCs w:val="32"/>
          <w:lang w:val="en-US" w:eastAsia="zh-CN"/>
        </w:rPr>
        <w:t>存在的问题及原因分析</w:t>
      </w:r>
      <w:bookmarkEnd w:id="81"/>
      <w:bookmarkEnd w:id="82"/>
    </w:p>
    <w:p>
      <w:pPr>
        <w:pStyle w:val="3"/>
        <w:pageBreakBefore w:val="0"/>
        <w:widowControl w:val="0"/>
        <w:numPr>
          <w:ilvl w:val="0"/>
          <w:numId w:val="6"/>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lang w:val="en-US" w:eastAsia="zh-CN"/>
        </w:rPr>
      </w:pPr>
      <w:bookmarkStart w:id="83" w:name="_Toc4686"/>
      <w:bookmarkStart w:id="84" w:name="_Toc25524"/>
      <w:r>
        <w:rPr>
          <w:rFonts w:hint="eastAsia" w:ascii="楷体_GB2312" w:hAnsi="楷体_GB2312" w:eastAsia="楷体_GB2312" w:cs="楷体_GB2312"/>
          <w:b/>
          <w:bCs w:val="0"/>
          <w:lang w:val="en-US" w:eastAsia="zh-CN"/>
        </w:rPr>
        <w:t>预算绩效管理问题</w:t>
      </w:r>
      <w:bookmarkEnd w:id="83"/>
      <w:bookmarkEnd w:id="84"/>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b/>
          <w:bCs/>
          <w:kern w:val="2"/>
          <w:sz w:val="32"/>
          <w:szCs w:val="24"/>
          <w:lang w:val="en-US" w:eastAsia="zh-CN" w:bidi="ar-SA"/>
        </w:rPr>
      </w:pPr>
      <w:bookmarkStart w:id="85" w:name="_Toc5027"/>
      <w:bookmarkStart w:id="86" w:name="_Toc31883"/>
      <w:r>
        <w:rPr>
          <w:rFonts w:hint="default" w:ascii="Times New Roman" w:hAnsi="Times New Roman" w:eastAsia="仿宋_GB2312" w:cs="Times New Roman"/>
          <w:b/>
          <w:bCs/>
          <w:kern w:val="2"/>
          <w:sz w:val="32"/>
          <w:szCs w:val="24"/>
          <w:lang w:val="en-US" w:eastAsia="zh-CN" w:bidi="ar-SA"/>
        </w:rPr>
        <w:t>1.绩效目标</w:t>
      </w:r>
      <w:bookmarkEnd w:id="85"/>
      <w:r>
        <w:rPr>
          <w:rFonts w:hint="eastAsia" w:ascii="Times New Roman" w:hAnsi="Times New Roman" w:eastAsia="仿宋_GB2312" w:cs="Times New Roman"/>
          <w:b/>
          <w:bCs/>
          <w:kern w:val="2"/>
          <w:sz w:val="32"/>
          <w:szCs w:val="24"/>
          <w:lang w:val="en-US" w:eastAsia="zh-CN" w:bidi="ar-SA"/>
        </w:rPr>
        <w:t>认识不深入</w:t>
      </w:r>
      <w:bookmarkEnd w:id="86"/>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b w:val="0"/>
          <w:kern w:val="2"/>
          <w:sz w:val="32"/>
          <w:szCs w:val="24"/>
          <w:lang w:val="en-US" w:eastAsia="zh-CN" w:bidi="ar-SA"/>
        </w:rPr>
        <w:t>细化指标不具有针对性，缺失参保人数增长率，待遇发放准确性等关键年度目标和相应指标。此外，产出数量指标</w:t>
      </w:r>
      <w:r>
        <w:rPr>
          <w:rFonts w:hint="eastAsia" w:ascii="Times New Roman" w:hAnsi="Times New Roman" w:eastAsia="仿宋_GB2312" w:cs="Times New Roman"/>
          <w:lang w:val="en-US" w:eastAsia="zh-CN"/>
        </w:rPr>
        <w:t>过少，不足以全面反映基金的收入、支出和结余。绩效目标表存在上述问题主要原因是对绩效目标的层次理解不到位所致。</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b/>
          <w:bCs/>
          <w:kern w:val="2"/>
          <w:sz w:val="32"/>
          <w:szCs w:val="24"/>
          <w:lang w:val="en-US" w:eastAsia="zh-CN" w:bidi="ar-SA"/>
        </w:rPr>
      </w:pPr>
      <w:bookmarkStart w:id="87" w:name="_Toc18812"/>
      <w:bookmarkStart w:id="88" w:name="_Toc12229"/>
      <w:r>
        <w:rPr>
          <w:rFonts w:hint="default" w:ascii="Times New Roman" w:hAnsi="Times New Roman" w:eastAsia="仿宋_GB2312" w:cs="Times New Roman"/>
          <w:b/>
          <w:bCs/>
          <w:kern w:val="2"/>
          <w:sz w:val="32"/>
          <w:szCs w:val="24"/>
          <w:lang w:val="en-US" w:eastAsia="zh-CN" w:bidi="ar-SA"/>
        </w:rPr>
        <w:t>2.预算编制准确性</w:t>
      </w:r>
      <w:bookmarkEnd w:id="87"/>
      <w:r>
        <w:rPr>
          <w:rFonts w:hint="eastAsia" w:ascii="Times New Roman" w:hAnsi="Times New Roman" w:eastAsia="仿宋_GB2312" w:cs="Times New Roman"/>
          <w:b/>
          <w:bCs/>
          <w:kern w:val="2"/>
          <w:sz w:val="32"/>
          <w:szCs w:val="24"/>
          <w:lang w:val="en-US" w:eastAsia="zh-CN" w:bidi="ar-SA"/>
        </w:rPr>
        <w:t>较低</w:t>
      </w:r>
      <w:bookmarkEnd w:id="88"/>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2022年收入预算未纳入退捕渔民养老金补贴收入以及被征地农民保费补贴收入。从决算数据看，这两项收入合计达到862.21万元，占全年基金收入的21.85%，收入预算编制的准确性较低。究其原因是对补贴政策的研究不到位，对补贴收入的潜力和底数没有摸清楚所致。由于基金支出呈刚性，且不断增长，从收支平衡稳健运行角度看，应该全面分析收入来源及其可能，经过合理测算，提高预算编制准确性。</w:t>
      </w:r>
      <w:bookmarkStart w:id="89" w:name="_Toc15027"/>
    </w:p>
    <w:p>
      <w:pPr>
        <w:pStyle w:val="3"/>
        <w:pageBreakBefore w:val="0"/>
        <w:widowControl w:val="0"/>
        <w:numPr>
          <w:ilvl w:val="0"/>
          <w:numId w:val="6"/>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lang w:val="en-US" w:eastAsia="zh-CN"/>
        </w:rPr>
      </w:pPr>
      <w:bookmarkStart w:id="90" w:name="_Toc10103"/>
      <w:r>
        <w:rPr>
          <w:rFonts w:hint="eastAsia" w:ascii="楷体_GB2312" w:hAnsi="楷体_GB2312" w:eastAsia="楷体_GB2312" w:cs="楷体_GB2312"/>
          <w:b/>
          <w:bCs w:val="0"/>
          <w:lang w:val="en-US" w:eastAsia="zh-CN"/>
        </w:rPr>
        <w:t>基金业务管理问题</w:t>
      </w:r>
      <w:bookmarkEnd w:id="89"/>
      <w:bookmarkEnd w:id="90"/>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lang w:val="en-US" w:eastAsia="zh-CN"/>
        </w:rPr>
      </w:pPr>
      <w:bookmarkStart w:id="91" w:name="_Toc17339"/>
      <w:bookmarkStart w:id="92" w:name="_Toc5808"/>
      <w:r>
        <w:rPr>
          <w:rFonts w:hint="default" w:ascii="Times New Roman" w:hAnsi="Times New Roman" w:eastAsia="仿宋_GB2312" w:cs="Times New Roman"/>
          <w:lang w:val="en-US" w:eastAsia="zh-CN"/>
        </w:rPr>
        <w:t>1.</w:t>
      </w:r>
      <w:r>
        <w:rPr>
          <w:rFonts w:hint="eastAsia" w:ascii="仿宋_GB2312" w:hAnsi="仿宋_GB2312" w:eastAsia="仿宋_GB2312" w:cs="仿宋_GB2312"/>
          <w:lang w:val="en-US" w:eastAsia="zh-CN"/>
        </w:rPr>
        <w:t>个人账户继承领取</w:t>
      </w:r>
      <w:bookmarkEnd w:id="91"/>
      <w:r>
        <w:rPr>
          <w:rFonts w:hint="eastAsia" w:ascii="仿宋_GB2312" w:hAnsi="仿宋_GB2312" w:eastAsia="仿宋_GB2312" w:cs="仿宋_GB2312"/>
          <w:lang w:val="en-US" w:eastAsia="zh-CN"/>
        </w:rPr>
        <w:t>资格欠合规</w:t>
      </w:r>
      <w:bookmarkEnd w:id="92"/>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参保人员死亡，按规定继承人可以领取个人账户剩余资金。经查阅支付凭证，发现多起不合规领取情形，如儿媳妇领取死亡公公的个人账户余额资金，儿媳妇通常不是法定继承人。社保中心经办人员在收集和审核领取人员的资格文件方面，缺乏法律合规思维，若不加以规范，可能会导致纠纷，引发行政复议。究其原因是经办人员对法定继承人的认识不到位，而以社会习俗（只要是死者家属即可）推定领取人员具有资格。</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lang w:val="en-US" w:eastAsia="zh-CN"/>
        </w:rPr>
      </w:pPr>
      <w:bookmarkStart w:id="93" w:name="_Toc5063"/>
      <w:bookmarkStart w:id="94" w:name="_Toc26309"/>
      <w:r>
        <w:rPr>
          <w:rFonts w:hint="default" w:ascii="Times New Roman" w:hAnsi="Times New Roman" w:eastAsia="仿宋_GB2312" w:cs="Times New Roman"/>
          <w:lang w:val="en-US" w:eastAsia="zh-CN"/>
        </w:rPr>
        <w:t>2.</w:t>
      </w:r>
      <w:bookmarkEnd w:id="93"/>
      <w:r>
        <w:rPr>
          <w:rFonts w:hint="eastAsia" w:ascii="仿宋_GB2312" w:hAnsi="仿宋_GB2312" w:eastAsia="仿宋_GB2312" w:cs="仿宋_GB2312"/>
          <w:lang w:val="en-US" w:eastAsia="zh-CN"/>
        </w:rPr>
        <w:t>未实施业财数据融合运行分析</w:t>
      </w:r>
      <w:bookmarkEnd w:id="94"/>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管理精细化依赖数据决策，通过全面深入的数据分析发现管理问题。2022年基金业务和财务数据的融合分析未有效实施，财务部门的运行分析也仅限于年度，未开展季度和半年度分析。财务部门向岳阳楼区财政局申请资金是按季度申请，因此数据分析应做到按季度实施的频次。业财未能融合以及分析频次较低的主要原因是基于数据驱动决策的管理理念没有树立，加上数据采集和分析耗费时间，短期效果不明显，因此积极性不高。</w:t>
      </w:r>
      <w:bookmarkStart w:id="95" w:name="_Toc7848"/>
    </w:p>
    <w:bookmarkEnd w:id="95"/>
    <w:p>
      <w:pPr>
        <w:pStyle w:val="3"/>
        <w:pageBreakBefore w:val="0"/>
        <w:widowControl w:val="0"/>
        <w:numPr>
          <w:ilvl w:val="0"/>
          <w:numId w:val="6"/>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lang w:val="en-US" w:eastAsia="zh-CN"/>
        </w:rPr>
      </w:pPr>
      <w:bookmarkStart w:id="96" w:name="_Toc31545"/>
      <w:r>
        <w:rPr>
          <w:rFonts w:hint="eastAsia" w:ascii="楷体_GB2312" w:hAnsi="楷体_GB2312" w:eastAsia="楷体_GB2312" w:cs="楷体_GB2312"/>
          <w:b/>
          <w:bCs w:val="0"/>
          <w:lang w:val="en-US" w:eastAsia="zh-CN"/>
        </w:rPr>
        <w:t>基金风险管理问题</w:t>
      </w:r>
      <w:bookmarkEnd w:id="96"/>
      <w:bookmarkStart w:id="97" w:name="_Toc6059"/>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lang w:val="en-US" w:eastAsia="zh-CN"/>
        </w:rPr>
      </w:pPr>
      <w:bookmarkStart w:id="98" w:name="_Toc22001"/>
      <w:r>
        <w:rPr>
          <w:rFonts w:hint="default" w:ascii="Times New Roman" w:hAnsi="Times New Roman" w:eastAsia="仿宋_GB2312" w:cs="Times New Roman"/>
          <w:lang w:val="en-US" w:eastAsia="zh-CN"/>
        </w:rPr>
        <w:t>1.</w:t>
      </w:r>
      <w:bookmarkEnd w:id="97"/>
      <w:r>
        <w:rPr>
          <w:rFonts w:hint="default" w:ascii="Times New Roman" w:hAnsi="Times New Roman" w:eastAsia="仿宋_GB2312" w:cs="Times New Roman"/>
          <w:lang w:val="en-US" w:eastAsia="zh-CN"/>
        </w:rPr>
        <w:t>事前风险意识不强</w:t>
      </w:r>
      <w:bookmarkEnd w:id="98"/>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由于养老待遇资格认定工作是每年一次，参保人员死亡后，存在家属继续领取养老金的情形，理论上可能存在多领取11个月的可能（刚认证后即死亡）。目前的做法是用丧葬补助金来抵扣多发的养老金。丧葬补助金是每人1,692元，按照210元的月人均养老金标准，可以弥补8个月的损失。总体而言，事前控制风险的意识不强，原因是尚未发生大规模的骗保，对事前防范未给予足够重视。</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lang w:val="en-US" w:eastAsia="zh-CN"/>
        </w:rPr>
      </w:pPr>
      <w:bookmarkStart w:id="99" w:name="_Toc32668"/>
      <w:bookmarkStart w:id="100" w:name="_Toc19197"/>
      <w:r>
        <w:rPr>
          <w:rFonts w:hint="default" w:ascii="Times New Roman" w:hAnsi="Times New Roman" w:eastAsia="仿宋" w:cs="Times New Roman"/>
          <w:lang w:val="en-US" w:eastAsia="zh-CN"/>
        </w:rPr>
        <w:t>2.</w:t>
      </w:r>
      <w:r>
        <w:rPr>
          <w:rFonts w:hint="eastAsia" w:ascii="仿宋_GB2312" w:hAnsi="仿宋_GB2312" w:eastAsia="仿宋_GB2312" w:cs="仿宋_GB2312"/>
          <w:lang w:val="en-US" w:eastAsia="zh-CN"/>
        </w:rPr>
        <w:t>全面稽核</w:t>
      </w:r>
      <w:bookmarkEnd w:id="99"/>
      <w:r>
        <w:rPr>
          <w:rFonts w:hint="eastAsia" w:ascii="仿宋_GB2312" w:hAnsi="仿宋_GB2312" w:eastAsia="仿宋_GB2312" w:cs="仿宋_GB2312"/>
          <w:lang w:val="en-US" w:eastAsia="zh-CN"/>
        </w:rPr>
        <w:t>工作不</w:t>
      </w:r>
      <w:bookmarkEnd w:id="100"/>
      <w:r>
        <w:rPr>
          <w:rFonts w:hint="eastAsia" w:ascii="仿宋_GB2312" w:hAnsi="仿宋_GB2312" w:eastAsia="仿宋_GB2312" w:cs="仿宋_GB2312"/>
          <w:lang w:val="en-US" w:eastAsia="zh-CN"/>
        </w:rPr>
        <w:t>严谨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由于事前风险防范工作不够严密和体系化，因此依赖事后稽核追回损失。从基金明细账可以看出，存在多稽核需退</w:t>
      </w:r>
      <w:r>
        <w:rPr>
          <w:rFonts w:hint="eastAsia" w:ascii="Times New Roman" w:hAnsi="Times New Roman" w:eastAsia="仿宋_GB2312" w:cs="Times New Roman"/>
          <w:kern w:val="2"/>
          <w:sz w:val="32"/>
          <w:szCs w:val="24"/>
          <w:lang w:val="en-US" w:eastAsia="zh-CN" w:bidi="ar-SA"/>
        </w:rPr>
        <w:t>回</w:t>
      </w:r>
      <w:r>
        <w:rPr>
          <w:rFonts w:hint="default" w:ascii="Times New Roman" w:hAnsi="Times New Roman" w:eastAsia="仿宋_GB2312" w:cs="Times New Roman"/>
          <w:kern w:val="2"/>
          <w:sz w:val="32"/>
          <w:szCs w:val="24"/>
          <w:lang w:val="en-US" w:eastAsia="zh-CN" w:bidi="ar-SA"/>
        </w:rPr>
        <w:t>或者稽核不到位的情况。由于岳阳楼区存在土葬，部分养老待遇领取人员死亡后，死亡信息传递不及时，导致事后需要安排大量人力去稽核追回损失。在查看会计凭证时发现，过去部分年份</w:t>
      </w:r>
      <w:r>
        <w:rPr>
          <w:rFonts w:hint="eastAsia" w:ascii="Times New Roman" w:hAnsi="Times New Roman" w:eastAsia="仿宋_GB2312" w:cs="Times New Roman"/>
          <w:kern w:val="2"/>
          <w:sz w:val="32"/>
          <w:szCs w:val="24"/>
          <w:lang w:val="en-US" w:eastAsia="zh-CN" w:bidi="ar-SA"/>
        </w:rPr>
        <w:t>中</w:t>
      </w:r>
      <w:r>
        <w:rPr>
          <w:rFonts w:hint="default" w:ascii="Times New Roman" w:hAnsi="Times New Roman" w:eastAsia="仿宋_GB2312" w:cs="Times New Roman"/>
          <w:kern w:val="2"/>
          <w:sz w:val="32"/>
          <w:szCs w:val="24"/>
          <w:lang w:val="en-US" w:eastAsia="zh-CN" w:bidi="ar-SA"/>
        </w:rPr>
        <w:t>，存在村委会在参保人员死亡后几年才提供死亡证明的情况，随着死亡认证工作力度的加大，这种情况逐渐减少，但没有完全避免，缺乏一个长效的死亡信息传递机制，以保障信息及时有效传递。此外，事后稽核存在网格人员工作不细致，死亡信息稽核不到位的情况。</w:t>
      </w:r>
    </w:p>
    <w:p>
      <w:pPr>
        <w:pStyle w:val="2"/>
        <w:pageBreakBefore w:val="0"/>
        <w:widowControl w:val="0"/>
        <w:numPr>
          <w:ilvl w:val="0"/>
          <w:numId w:val="1"/>
        </w:numPr>
        <w:kinsoku/>
        <w:wordWrap/>
        <w:overflowPunct/>
        <w:topLinePunct w:val="0"/>
        <w:autoSpaceDE/>
        <w:autoSpaceDN/>
        <w:bidi w:val="0"/>
        <w:adjustRightInd/>
        <w:snapToGrid/>
        <w:spacing w:before="0" w:after="0" w:line="600" w:lineRule="exact"/>
        <w:ind w:left="0" w:firstLine="643" w:firstLineChars="200"/>
        <w:textAlignment w:val="auto"/>
        <w:rPr>
          <w:rFonts w:hint="default" w:ascii="黑体" w:hAnsi="黑体" w:eastAsia="黑体" w:cs="黑体"/>
          <w:sz w:val="32"/>
          <w:szCs w:val="32"/>
          <w:lang w:val="en-US" w:eastAsia="zh-CN"/>
        </w:rPr>
      </w:pPr>
      <w:bookmarkStart w:id="101" w:name="_Toc12042"/>
      <w:bookmarkStart w:id="102" w:name="_Toc13299"/>
      <w:r>
        <w:rPr>
          <w:rFonts w:hint="default" w:ascii="黑体" w:hAnsi="黑体" w:eastAsia="黑体" w:cs="黑体"/>
          <w:sz w:val="32"/>
          <w:szCs w:val="32"/>
          <w:lang w:val="en-US" w:eastAsia="zh-CN"/>
        </w:rPr>
        <w:t>有关建议</w:t>
      </w:r>
      <w:bookmarkEnd w:id="101"/>
      <w:bookmarkEnd w:id="102"/>
    </w:p>
    <w:p>
      <w:pPr>
        <w:pStyle w:val="3"/>
        <w:pageBreakBefore w:val="0"/>
        <w:widowControl w:val="0"/>
        <w:numPr>
          <w:ilvl w:val="0"/>
          <w:numId w:val="7"/>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lang w:val="en-US" w:eastAsia="zh-CN"/>
        </w:rPr>
      </w:pPr>
      <w:bookmarkStart w:id="103" w:name="_Toc22965"/>
      <w:r>
        <w:rPr>
          <w:rFonts w:hint="eastAsia" w:ascii="楷体_GB2312" w:hAnsi="楷体_GB2312" w:eastAsia="楷体_GB2312" w:cs="楷体_GB2312"/>
          <w:b/>
          <w:bCs w:val="0"/>
          <w:lang w:val="en-US" w:eastAsia="zh-CN"/>
        </w:rPr>
        <w:t>加大培训力度，丰富培训形式</w:t>
      </w:r>
      <w:bookmarkEnd w:id="10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对于绩效目标认识不深和预算编制准确性较低问题，建议加大培训力度，提高目标申报质量以及预算编制的科学性。培训对象不限于财务人员，还应包括财务部门的领导，社保中心的领导以及区人力资源和社会保障局的分管领导。因为目标申报需要综合部门核心职责、关键问题、薄弱环节、政策导向等多个方面。相关部门负责人参与编制和审核绩效目标，可以提高目标执行效果。培训形式可以由财政局统一组织，定期举办，培训内容可以是原理通识，也可以是具体操作，培训渠道可以线上，也可以线下，多种方式，灵活运用。</w:t>
      </w:r>
    </w:p>
    <w:p>
      <w:pPr>
        <w:pStyle w:val="3"/>
        <w:pageBreakBefore w:val="0"/>
        <w:widowControl w:val="0"/>
        <w:numPr>
          <w:ilvl w:val="0"/>
          <w:numId w:val="7"/>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lang w:val="en-US" w:eastAsia="zh-CN"/>
        </w:rPr>
      </w:pPr>
      <w:bookmarkStart w:id="104" w:name="_Toc23476"/>
      <w:r>
        <w:rPr>
          <w:rFonts w:hint="eastAsia" w:ascii="楷体_GB2312" w:hAnsi="楷体_GB2312" w:eastAsia="楷体_GB2312" w:cs="楷体_GB2312"/>
          <w:b/>
          <w:bCs w:val="0"/>
          <w:lang w:val="en-US" w:eastAsia="zh-CN"/>
        </w:rPr>
        <w:t>加大合规审查，实施数据决策</w:t>
      </w:r>
      <w:bookmarkEnd w:id="104"/>
      <w:r>
        <w:rPr>
          <w:rFonts w:hint="eastAsia" w:ascii="楷体_GB2312" w:hAnsi="楷体_GB2312" w:eastAsia="楷体_GB2312" w:cs="楷体_GB2312"/>
          <w:b/>
          <w:bCs w:val="0"/>
          <w:lang w:val="en-US" w:eastAsia="zh-CN"/>
        </w:rPr>
        <w:t>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针对参保人员死亡，其亲属是否有资格领取个人账户余额资金问题，建议引入政府法律顾问服务，法律顾问了解合规现状，为稽核人员提供规范的法律格式文件。这种做法成熟稳定后，逐渐向保费缴纳、待遇追回等多个业务环节推广政府法律顾问服务，尽到全面、合理审查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制定数据决策管理制度，规范业务和财务数据采集、管理、集成、融合、应用以及公开行为，确定责任主体以及责任部门，明确业财数据分析报告的出具频次以及签发程序。积极开展数据比对，与财政、税务、民政、公安等部门建立数据交换和共享机制，做到数据来源可靠，口径一致，分析全面，为基金高质量发展提供数据决策支撑。</w:t>
      </w:r>
    </w:p>
    <w:p>
      <w:pPr>
        <w:pStyle w:val="3"/>
        <w:pageBreakBefore w:val="0"/>
        <w:widowControl w:val="0"/>
        <w:numPr>
          <w:ilvl w:val="0"/>
          <w:numId w:val="7"/>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lang w:val="en-US" w:eastAsia="zh-CN"/>
        </w:rPr>
      </w:pPr>
      <w:bookmarkStart w:id="105" w:name="_Toc31830"/>
      <w:r>
        <w:rPr>
          <w:rFonts w:hint="eastAsia" w:ascii="楷体_GB2312" w:hAnsi="楷体_GB2312" w:eastAsia="楷体_GB2312" w:cs="楷体_GB2312"/>
          <w:b/>
          <w:bCs w:val="0"/>
          <w:lang w:val="en-US" w:eastAsia="zh-CN"/>
        </w:rPr>
        <w:t>提升风险意识，加大稽核力度</w:t>
      </w:r>
      <w:bookmarkEnd w:id="10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提升风险意识从两方面着手，一是组织学习国内城乡养老保险骗保案学习，梳理骗保发生的原因以及后果，相关责任人的刑事责任，从思想源头加强全员的风险意识；二是制定风险责任机制，定期巡视风险情况，对渎职行为和重大过失依法追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全面加大稽核依赖事前风险防范，对于土葬的死亡参保人员，要建立信息收集机制，主动加大巡视频次，通过数据分析，发现薄弱环节，完善奖惩机制，晒业绩，奖成果。总之，全面稽核应采用多种方式，不限于事后抵扣丧葬补助，应全过程引入合适的稽核工具、手段和方法。</w:t>
      </w:r>
    </w:p>
    <w:p>
      <w:pPr>
        <w:widowControl/>
        <w:spacing w:line="600" w:lineRule="exact"/>
        <w:ind w:left="0" w:leftChars="0" w:firstLine="640" w:firstLineChars="200"/>
        <w:jc w:val="left"/>
        <w:rPr>
          <w:rFonts w:hint="eastAsia" w:eastAsia="仿宋_GB2312"/>
          <w:sz w:val="32"/>
          <w:szCs w:val="32"/>
        </w:rPr>
      </w:pPr>
    </w:p>
    <w:p>
      <w:pPr>
        <w:widowControl/>
        <w:spacing w:line="600" w:lineRule="exact"/>
        <w:ind w:left="0" w:leftChars="0" w:firstLine="640" w:firstLineChars="200"/>
        <w:jc w:val="left"/>
        <w:rPr>
          <w:rFonts w:eastAsia="仿宋_GB2312"/>
          <w:sz w:val="32"/>
          <w:szCs w:val="32"/>
        </w:rPr>
      </w:pPr>
      <w:r>
        <w:rPr>
          <w:rFonts w:hint="eastAsia" w:eastAsia="仿宋_GB2312"/>
          <w:sz w:val="32"/>
          <w:szCs w:val="32"/>
        </w:rPr>
        <w:t>附件：</w:t>
      </w:r>
    </w:p>
    <w:p>
      <w:pPr>
        <w:ind w:firstLine="640" w:firstLineChars="200"/>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2"/>
          <w:sz w:val="32"/>
          <w:szCs w:val="24"/>
          <w:lang w:val="en-US" w:eastAsia="zh-CN" w:bidi="ar-SA"/>
        </w:rPr>
        <w:t>岳阳楼区城乡居民基本养老保险基金绩效评价指标体系</w:t>
      </w:r>
    </w:p>
    <w:p>
      <w:pPr>
        <w:pStyle w:val="33"/>
        <w:ind w:firstLine="3200" w:firstLineChars="1000"/>
        <w:jc w:val="both"/>
        <w:rPr>
          <w:rFonts w:hint="eastAsia" w:ascii="Times New Roman" w:hAnsi="Times New Roman" w:eastAsia="仿宋_GB2312" w:cs="Times New Roman"/>
          <w:kern w:val="2"/>
          <w:sz w:val="32"/>
          <w:szCs w:val="32"/>
          <w:lang w:val="en-US" w:eastAsia="zh-CN" w:bidi="zh-CN"/>
        </w:rPr>
      </w:pPr>
      <w:r>
        <w:rPr>
          <w:rFonts w:hint="eastAsia" w:ascii="Times New Roman" w:hAnsi="Times New Roman" w:eastAsia="仿宋_GB2312" w:cs="Times New Roman"/>
          <w:kern w:val="2"/>
          <w:sz w:val="32"/>
          <w:szCs w:val="32"/>
          <w:lang w:val="en-US" w:eastAsia="zh-CN" w:bidi="zh-CN"/>
        </w:rPr>
        <w:t>中政智信（北京）经济咨询有限公司</w:t>
      </w:r>
    </w:p>
    <w:p>
      <w:pPr>
        <w:pStyle w:val="33"/>
        <w:ind w:firstLine="2240" w:firstLineChars="700"/>
        <w:jc w:val="both"/>
        <w:rPr>
          <w:rFonts w:hint="default" w:ascii="Times New Roman" w:hAnsi="Times New Roman" w:eastAsia="仿宋_GB2312" w:cs="Times New Roman"/>
          <w:kern w:val="2"/>
          <w:sz w:val="32"/>
          <w:szCs w:val="32"/>
          <w:lang w:val="en-US" w:eastAsia="zh-CN" w:bidi="zh-CN"/>
        </w:rPr>
      </w:pPr>
      <w:r>
        <w:rPr>
          <w:rFonts w:hint="eastAsia" w:eastAsia="仿宋"/>
          <w:sz w:val="32"/>
          <w:szCs w:val="32"/>
          <w:lang w:bidi="zh-CN"/>
        </w:rPr>
        <w:t xml:space="preserve">  </w:t>
      </w:r>
      <w:r>
        <w:rPr>
          <w:rFonts w:hint="eastAsia" w:eastAsia="仿宋"/>
          <w:sz w:val="32"/>
          <w:szCs w:val="32"/>
          <w:lang w:val="en-US" w:bidi="zh-CN"/>
        </w:rPr>
        <w:t xml:space="preserve">              </w:t>
      </w:r>
      <w:r>
        <w:rPr>
          <w:rFonts w:hint="default" w:ascii="Times New Roman" w:hAnsi="Times New Roman" w:eastAsia="仿宋" w:cs="Times New Roman"/>
          <w:sz w:val="32"/>
          <w:szCs w:val="32"/>
          <w:lang w:val="en-US" w:bidi="zh-CN"/>
        </w:rPr>
        <w:t xml:space="preserve"> </w:t>
      </w:r>
      <w:r>
        <w:rPr>
          <w:rFonts w:hint="default" w:ascii="Times New Roman" w:hAnsi="Times New Roman" w:eastAsia="仿宋" w:cs="Times New Roman"/>
          <w:sz w:val="32"/>
          <w:szCs w:val="32"/>
          <w:lang w:bidi="zh-CN"/>
        </w:rPr>
        <w:t>2023</w:t>
      </w:r>
      <w:r>
        <w:rPr>
          <w:rFonts w:hint="default" w:ascii="Times New Roman" w:hAnsi="Times New Roman" w:eastAsia="仿宋_GB2312" w:cs="Times New Roman"/>
          <w:kern w:val="2"/>
          <w:sz w:val="32"/>
          <w:szCs w:val="32"/>
          <w:lang w:val="en-US" w:eastAsia="zh-CN" w:bidi="zh-CN"/>
        </w:rPr>
        <w:t>年</w:t>
      </w:r>
      <w:r>
        <w:rPr>
          <w:rFonts w:hint="default" w:ascii="Times New Roman" w:hAnsi="Times New Roman" w:cs="Times New Roman"/>
          <w:kern w:val="2"/>
          <w:sz w:val="32"/>
          <w:szCs w:val="32"/>
          <w:lang w:val="en-US" w:eastAsia="zh-CN" w:bidi="zh-CN"/>
        </w:rPr>
        <w:t>10月</w:t>
      </w:r>
    </w:p>
    <w:p>
      <w:pPr>
        <w:rPr>
          <w:rFonts w:hint="eastAsia" w:ascii="仿宋" w:hAnsi="仿宋" w:eastAsia="仿宋" w:cs="仿宋"/>
          <w:sz w:val="32"/>
          <w:szCs w:val="32"/>
          <w:lang w:val="en-US"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附件</w:t>
      </w:r>
      <w:r>
        <w:rPr>
          <w:rFonts w:hint="eastAsia" w:ascii="Times New Roman" w:hAnsi="Times New Roman" w:eastAsia="仿宋" w:cs="Times New Roman"/>
          <w:b w:val="0"/>
          <w:bCs w:val="0"/>
          <w:color w:val="auto"/>
          <w:sz w:val="32"/>
          <w:szCs w:val="32"/>
          <w:lang w:val="en-US" w:eastAsia="zh-CN"/>
        </w:rPr>
        <w:t>1</w:t>
      </w:r>
      <w:r>
        <w:rPr>
          <w:rFonts w:hint="default" w:ascii="Times New Roman" w:hAnsi="Times New Roman" w:eastAsia="仿宋" w:cs="Times New Roman"/>
          <w:b/>
          <w:bCs/>
          <w:color w:val="auto"/>
          <w:sz w:val="32"/>
          <w:szCs w:val="32"/>
          <w:lang w:val="en-US" w:eastAsia="zh-CN"/>
        </w:rPr>
        <w:t>：</w:t>
      </w:r>
      <w:r>
        <w:rPr>
          <w:rFonts w:hint="eastAsia"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b/>
          <w:bCs/>
          <w:color w:val="auto"/>
          <w:sz w:val="32"/>
          <w:szCs w:val="32"/>
          <w:lang w:val="en-US" w:eastAsia="zh-CN"/>
        </w:rPr>
        <w:t>岳阳楼区城乡居民基本养老保险基金绩效评价指标体系</w:t>
      </w:r>
    </w:p>
    <w:p>
      <w:pPr>
        <w:pStyle w:val="11"/>
        <w:rPr>
          <w:rFonts w:hint="default" w:ascii="Times New Roman" w:hAnsi="Times New Roman" w:eastAsia="仿宋" w:cs="Times New Roman"/>
          <w:lang w:val="en-US" w:eastAsia="zh-CN"/>
        </w:rPr>
      </w:pPr>
    </w:p>
    <w:tbl>
      <w:tblPr>
        <w:tblStyle w:val="14"/>
        <w:tblW w:w="139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1110"/>
        <w:gridCol w:w="1070"/>
        <w:gridCol w:w="3774"/>
        <w:gridCol w:w="3136"/>
        <w:gridCol w:w="494"/>
        <w:gridCol w:w="3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一级指标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三级指标</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指标解释</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评价标准与评分方法</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得分</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得分及扣分原因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决策</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7</w:t>
            </w:r>
            <w:r>
              <w:rPr>
                <w:rStyle w:val="30"/>
                <w:rFonts w:hint="default" w:ascii="Times New Roman" w:hAnsi="Times New Roman" w:eastAsia="仿宋" w:cs="Times New Roman"/>
                <w:sz w:val="21"/>
                <w:szCs w:val="21"/>
                <w:lang w:val="en-US" w:eastAsia="zh-CN" w:bidi="ar"/>
              </w:rPr>
              <w:t>分）</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绩效目标（</w:t>
            </w:r>
            <w:r>
              <w:rPr>
                <w:rFonts w:hint="default" w:ascii="Times New Roman" w:hAnsi="Times New Roman" w:eastAsia="仿宋" w:cs="Times New Roman"/>
                <w:i w:val="0"/>
                <w:iCs w:val="0"/>
                <w:color w:val="000000"/>
                <w:kern w:val="0"/>
                <w:sz w:val="21"/>
                <w:szCs w:val="21"/>
                <w:u w:val="none"/>
                <w:lang w:val="en-US" w:eastAsia="zh-CN" w:bidi="ar"/>
              </w:rPr>
              <w:t>4</w:t>
            </w:r>
            <w:r>
              <w:rPr>
                <w:rStyle w:val="30"/>
                <w:rFonts w:hint="default" w:ascii="Times New Roman" w:hAnsi="Times New Roman" w:eastAsia="仿宋" w:cs="Times New Roman"/>
                <w:sz w:val="21"/>
                <w:szCs w:val="21"/>
                <w:lang w:val="en-US" w:eastAsia="zh-CN" w:bidi="ar"/>
              </w:rPr>
              <w:t>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0"/>
                <w:rFonts w:hint="default" w:ascii="Times New Roman" w:hAnsi="Times New Roman" w:eastAsia="仿宋" w:cs="Times New Roman"/>
                <w:sz w:val="21"/>
                <w:szCs w:val="21"/>
                <w:lang w:val="en-US" w:eastAsia="zh-CN" w:bidi="ar"/>
              </w:rPr>
            </w:pPr>
            <w:r>
              <w:rPr>
                <w:rStyle w:val="30"/>
                <w:rFonts w:hint="default" w:ascii="Times New Roman" w:hAnsi="Times New Roman" w:eastAsia="仿宋" w:cs="Times New Roman"/>
                <w:sz w:val="21"/>
                <w:szCs w:val="21"/>
                <w:lang w:val="en-US" w:eastAsia="zh-CN" w:bidi="ar"/>
              </w:rPr>
              <w:t>绩效目标</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合理性</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所设定的绩效目标是否依据充分，是否符合客观实际，用以反映绩效目标的有效性</w:t>
            </w:r>
            <w:r>
              <w:rPr>
                <w:rStyle w:val="30"/>
                <w:rFonts w:hint="eastAsia"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①项目是否有绩效目标；</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②项目绩效目标与实际工作内容是否具有相关性；</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③项目预期产出效益和效果是否符合正常业绩水平；</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满足①、②和③，得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分；满足①和②，或满足①和③，得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分；不满足①，得</w:t>
            </w:r>
            <w:r>
              <w:rPr>
                <w:rFonts w:hint="default" w:ascii="Times New Roman" w:hAnsi="Times New Roman" w:eastAsia="仿宋" w:cs="Times New Roman"/>
                <w:i w:val="0"/>
                <w:iCs w:val="0"/>
                <w:color w:val="000000"/>
                <w:kern w:val="0"/>
                <w:sz w:val="21"/>
                <w:szCs w:val="21"/>
                <w:u w:val="none"/>
                <w:lang w:val="en-US" w:eastAsia="zh-CN" w:bidi="ar"/>
              </w:rPr>
              <w:t>0</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基金制定了绩效目标表，绩效目标与实际工作内容具有相关性，产出效益和效果符合正常的业绩水平。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0"/>
                <w:rFonts w:hint="default" w:ascii="Times New Roman" w:hAnsi="Times New Roman" w:eastAsia="仿宋" w:cs="Times New Roman"/>
                <w:sz w:val="21"/>
                <w:szCs w:val="21"/>
                <w:lang w:val="en-US" w:eastAsia="zh-CN" w:bidi="ar"/>
              </w:rPr>
            </w:pPr>
            <w:r>
              <w:rPr>
                <w:rStyle w:val="30"/>
                <w:rFonts w:hint="default" w:ascii="Times New Roman" w:hAnsi="Times New Roman" w:eastAsia="仿宋" w:cs="Times New Roman"/>
                <w:sz w:val="21"/>
                <w:szCs w:val="21"/>
                <w:lang w:val="en-US" w:eastAsia="zh-CN" w:bidi="ar"/>
              </w:rPr>
              <w:t>绩效指标</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明确性</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依据绩效目标设定的绩效指标是否清晰、细化、可衡量，用以反映绩效目标的明确性。</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①是否将绩效目标细化分解为具体的绩效指标；</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②是否通过清晰、可衡量的指标值予以体现；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满足①和②，得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分；满仅足①或②，得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分；均不满足，得</w:t>
            </w:r>
            <w:r>
              <w:rPr>
                <w:rFonts w:hint="default" w:ascii="Times New Roman" w:hAnsi="Times New Roman" w:eastAsia="仿宋" w:cs="Times New Roman"/>
                <w:i w:val="0"/>
                <w:iCs w:val="0"/>
                <w:color w:val="000000"/>
                <w:kern w:val="0"/>
                <w:sz w:val="21"/>
                <w:szCs w:val="21"/>
                <w:u w:val="none"/>
                <w:lang w:val="en-US" w:eastAsia="zh-CN" w:bidi="ar"/>
              </w:rPr>
              <w:t>0</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绩效目标表确定了总体目标，没有制定年度目标。绩效目标已部分细化的绩效指标中，产出数量指标过于简单，未包括支出和结余以及扩面指标。已细化的指标中已通过清晰、可衡量性的指标值体现。根据评分标准，本项指标扣</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资金投入</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预算编制科学性</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预算编制是否经过科学论证、有明确标准，用以反映预算编制的科学性。</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①预算内容与基金任务是否匹配；</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②预算投资额是否与年度任务相匹配；</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满足①和②，得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分；仅满足①或②，得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分；均不满足，得</w:t>
            </w:r>
            <w:r>
              <w:rPr>
                <w:rFonts w:hint="default" w:ascii="Times New Roman" w:hAnsi="Times New Roman" w:eastAsia="仿宋" w:cs="Times New Roman"/>
                <w:i w:val="0"/>
                <w:iCs w:val="0"/>
                <w:color w:val="000000"/>
                <w:kern w:val="0"/>
                <w:sz w:val="21"/>
                <w:szCs w:val="21"/>
                <w:u w:val="none"/>
                <w:lang w:val="en-US" w:eastAsia="zh-CN" w:bidi="ar"/>
              </w:rPr>
              <w:t>0</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经查阅基金预算公开信息，预算内容与基金任务相匹配，涵盖收入、支出和结余，并对预算收支结余数据进行了必要的审核。预算确定的投资额与年度任务匹配，主要支出为养老待遇支出。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预算编制合理性</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预算编制是否有测算依据，用以反映预算编制的合理性情况。</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①预算编制依据是否充分。</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②测算标准是否合理。</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满足①和②，得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分；仅满足①或②，得</w:t>
            </w:r>
            <w:r>
              <w:rPr>
                <w:rFonts w:hint="default" w:ascii="Times New Roman" w:hAnsi="Times New Roman" w:eastAsia="仿宋" w:cs="Times New Roman"/>
                <w:i w:val="0"/>
                <w:iCs w:val="0"/>
                <w:color w:val="000000"/>
                <w:kern w:val="0"/>
                <w:sz w:val="21"/>
                <w:szCs w:val="21"/>
                <w:u w:val="none"/>
                <w:lang w:val="en-US" w:eastAsia="zh-CN" w:bidi="ar"/>
              </w:rPr>
              <w:t>0.5</w:t>
            </w:r>
            <w:r>
              <w:rPr>
                <w:rStyle w:val="30"/>
                <w:rFonts w:hint="default" w:ascii="Times New Roman" w:hAnsi="Times New Roman" w:eastAsia="仿宋" w:cs="Times New Roman"/>
                <w:sz w:val="21"/>
                <w:szCs w:val="21"/>
                <w:lang w:val="en-US" w:eastAsia="zh-CN" w:bidi="ar"/>
              </w:rPr>
              <w:t>分；均不满足，得</w:t>
            </w:r>
            <w:r>
              <w:rPr>
                <w:rFonts w:hint="default" w:ascii="Times New Roman" w:hAnsi="Times New Roman" w:eastAsia="仿宋" w:cs="Times New Roman"/>
                <w:i w:val="0"/>
                <w:iCs w:val="0"/>
                <w:color w:val="000000"/>
                <w:kern w:val="0"/>
                <w:sz w:val="21"/>
                <w:szCs w:val="21"/>
                <w:u w:val="none"/>
                <w:lang w:val="en-US" w:eastAsia="zh-CN" w:bidi="ar"/>
              </w:rPr>
              <w:t>0</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预算收入基于来源分别预测，预算支出基于支出目的和用途预测。预算编制的基础是基于历史数据谨慎编制，依据较为充分。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0"/>
                <w:rFonts w:hint="default" w:ascii="Times New Roman" w:hAnsi="Times New Roman" w:eastAsia="仿宋" w:cs="Times New Roman"/>
                <w:sz w:val="21"/>
                <w:szCs w:val="21"/>
                <w:lang w:val="en-US" w:eastAsia="zh-CN" w:bidi="ar"/>
              </w:rPr>
            </w:pPr>
          </w:p>
          <w:p>
            <w:pPr>
              <w:keepNext w:val="0"/>
              <w:keepLines w:val="0"/>
              <w:widowControl/>
              <w:suppressLineNumbers w:val="0"/>
              <w:jc w:val="center"/>
              <w:textAlignment w:val="center"/>
              <w:rPr>
                <w:rStyle w:val="30"/>
                <w:rFonts w:hint="default" w:ascii="Times New Roman" w:hAnsi="Times New Roman" w:eastAsia="仿宋" w:cs="Times New Roman"/>
                <w:sz w:val="21"/>
                <w:szCs w:val="21"/>
                <w:lang w:val="en-US" w:eastAsia="zh-CN" w:bidi="ar"/>
              </w:rPr>
            </w:pPr>
          </w:p>
          <w:p>
            <w:pPr>
              <w:keepNext w:val="0"/>
              <w:keepLines w:val="0"/>
              <w:widowControl/>
              <w:suppressLineNumbers w:val="0"/>
              <w:jc w:val="center"/>
              <w:textAlignment w:val="center"/>
              <w:rPr>
                <w:rStyle w:val="30"/>
                <w:rFonts w:hint="default" w:ascii="Times New Roman" w:hAnsi="Times New Roman" w:eastAsia="仿宋" w:cs="Times New Roman"/>
                <w:sz w:val="21"/>
                <w:szCs w:val="21"/>
                <w:lang w:val="en-US" w:eastAsia="zh-CN" w:bidi="ar"/>
              </w:rPr>
            </w:pPr>
          </w:p>
          <w:p>
            <w:pPr>
              <w:keepNext w:val="0"/>
              <w:keepLines w:val="0"/>
              <w:widowControl/>
              <w:suppressLineNumbers w:val="0"/>
              <w:jc w:val="center"/>
              <w:textAlignment w:val="center"/>
              <w:rPr>
                <w:rStyle w:val="30"/>
                <w:rFonts w:hint="default" w:ascii="Times New Roman" w:hAnsi="Times New Roman" w:eastAsia="仿宋" w:cs="Times New Roman"/>
                <w:sz w:val="21"/>
                <w:szCs w:val="21"/>
                <w:lang w:val="en-US" w:eastAsia="zh-CN" w:bidi="ar"/>
              </w:rPr>
            </w:pPr>
          </w:p>
          <w:p>
            <w:pPr>
              <w:keepNext w:val="0"/>
              <w:keepLines w:val="0"/>
              <w:widowControl/>
              <w:suppressLineNumbers w:val="0"/>
              <w:jc w:val="center"/>
              <w:textAlignment w:val="center"/>
              <w:rPr>
                <w:rStyle w:val="30"/>
                <w:rFonts w:hint="default" w:ascii="Times New Roman" w:hAnsi="Times New Roman" w:eastAsia="仿宋" w:cs="Times New Roman"/>
                <w:sz w:val="21"/>
                <w:szCs w:val="21"/>
                <w:lang w:val="en-US" w:eastAsia="zh-CN" w:bidi="ar"/>
              </w:rPr>
            </w:pPr>
          </w:p>
          <w:p>
            <w:pPr>
              <w:keepNext w:val="0"/>
              <w:keepLines w:val="0"/>
              <w:widowControl/>
              <w:suppressLineNumbers w:val="0"/>
              <w:jc w:val="center"/>
              <w:textAlignment w:val="center"/>
              <w:rPr>
                <w:rStyle w:val="30"/>
                <w:rFonts w:hint="default" w:ascii="Times New Roman" w:hAnsi="Times New Roman" w:eastAsia="仿宋" w:cs="Times New Roman"/>
                <w:sz w:val="21"/>
                <w:szCs w:val="21"/>
                <w:lang w:val="en-US" w:eastAsia="zh-CN" w:bidi="ar"/>
              </w:rPr>
            </w:pPr>
          </w:p>
          <w:p>
            <w:pPr>
              <w:keepNext w:val="0"/>
              <w:keepLines w:val="0"/>
              <w:widowControl/>
              <w:suppressLineNumbers w:val="0"/>
              <w:jc w:val="center"/>
              <w:textAlignment w:val="center"/>
              <w:rPr>
                <w:rStyle w:val="30"/>
                <w:rFonts w:hint="default" w:ascii="Times New Roman" w:hAnsi="Times New Roman" w:eastAsia="仿宋" w:cs="Times New Roman"/>
                <w:sz w:val="21"/>
                <w:szCs w:val="21"/>
                <w:lang w:val="en-US" w:eastAsia="zh-CN" w:bidi="ar"/>
              </w:rPr>
            </w:pPr>
          </w:p>
          <w:p>
            <w:pPr>
              <w:keepNext w:val="0"/>
              <w:keepLines w:val="0"/>
              <w:widowControl/>
              <w:suppressLineNumbers w:val="0"/>
              <w:jc w:val="center"/>
              <w:textAlignment w:val="center"/>
              <w:rPr>
                <w:rStyle w:val="30"/>
                <w:rFonts w:hint="default" w:ascii="Times New Roman" w:hAnsi="Times New Roman" w:eastAsia="仿宋" w:cs="Times New Roman"/>
                <w:sz w:val="21"/>
                <w:szCs w:val="21"/>
                <w:lang w:val="en-US" w:eastAsia="zh-CN" w:bidi="ar"/>
              </w:rPr>
            </w:pPr>
          </w:p>
          <w:p>
            <w:pPr>
              <w:keepNext w:val="0"/>
              <w:keepLines w:val="0"/>
              <w:widowControl/>
              <w:suppressLineNumbers w:val="0"/>
              <w:jc w:val="center"/>
              <w:textAlignment w:val="center"/>
              <w:rPr>
                <w:rStyle w:val="30"/>
                <w:rFonts w:hint="default" w:ascii="Times New Roman" w:hAnsi="Times New Roman" w:eastAsia="仿宋" w:cs="Times New Roman"/>
                <w:sz w:val="21"/>
                <w:szCs w:val="21"/>
                <w:lang w:val="en-US" w:eastAsia="zh-CN" w:bidi="ar"/>
              </w:rPr>
            </w:pPr>
            <w:r>
              <w:rPr>
                <w:rStyle w:val="30"/>
                <w:rFonts w:hint="default" w:ascii="Times New Roman" w:hAnsi="Times New Roman" w:eastAsia="仿宋" w:cs="Times New Roman"/>
                <w:sz w:val="21"/>
                <w:szCs w:val="21"/>
                <w:lang w:val="en-US" w:eastAsia="zh-CN" w:bidi="ar"/>
              </w:rPr>
              <w:t>过程</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23</w:t>
            </w:r>
            <w:r>
              <w:rPr>
                <w:rStyle w:val="30"/>
                <w:rFonts w:hint="default" w:ascii="Times New Roman" w:hAnsi="Times New Roman" w:eastAsia="仿宋" w:cs="Times New Roman"/>
                <w:sz w:val="21"/>
                <w:szCs w:val="21"/>
                <w:lang w:val="en-US" w:eastAsia="zh-CN" w:bidi="ar"/>
              </w:rPr>
              <w:t>分）</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规范管理（</w:t>
            </w:r>
            <w:r>
              <w:rPr>
                <w:rFonts w:hint="default" w:ascii="Times New Roman" w:hAnsi="Times New Roman" w:eastAsia="仿宋" w:cs="Times New Roman"/>
                <w:i w:val="0"/>
                <w:iCs w:val="0"/>
                <w:color w:val="000000"/>
                <w:kern w:val="0"/>
                <w:sz w:val="21"/>
                <w:szCs w:val="21"/>
                <w:u w:val="none"/>
                <w:lang w:val="en-US" w:eastAsia="zh-CN" w:bidi="ar"/>
              </w:rPr>
              <w:t>7</w:t>
            </w:r>
            <w:r>
              <w:rPr>
                <w:rStyle w:val="30"/>
                <w:rFonts w:hint="default" w:ascii="Times New Roman" w:hAnsi="Times New Roman" w:eastAsia="仿宋" w:cs="Times New Roman"/>
                <w:sz w:val="21"/>
                <w:szCs w:val="21"/>
                <w:lang w:val="en-US" w:eastAsia="zh-CN" w:bidi="ar"/>
              </w:rPr>
              <w:t>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0"/>
                <w:rFonts w:hint="default" w:ascii="Times New Roman" w:hAnsi="Times New Roman" w:eastAsia="仿宋" w:cs="Times New Roman"/>
                <w:sz w:val="21"/>
                <w:szCs w:val="21"/>
                <w:lang w:val="en-US" w:eastAsia="zh-CN" w:bidi="ar"/>
              </w:rPr>
            </w:pPr>
            <w:r>
              <w:rPr>
                <w:rStyle w:val="30"/>
                <w:rFonts w:hint="default" w:ascii="Times New Roman" w:hAnsi="Times New Roman" w:eastAsia="仿宋" w:cs="Times New Roman"/>
                <w:sz w:val="21"/>
                <w:szCs w:val="21"/>
                <w:lang w:val="en-US" w:eastAsia="zh-CN" w:bidi="ar"/>
              </w:rPr>
              <w:t>管理制度健全性</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基金财务和业务管理制度是否健全，用以反映基金财务和业务管理制度对稳健运行的保障情况。</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①是否已制定或具有相应的财务和业务管理制度；</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②财务和业务管理制度是否合法、合规、完整。</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满足①和②，得2分；仅满足①，或仅满足②，得1分；均不满足，得0分。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经过查阅岳阳楼区社会保险服务中心关制度文件，已制定财务内控及业务制度（内控管理操作规定、资金管理制度、票据管理制度、检查核对制度、审批制度、印鉴密码管理制度）等管理制度，比较健全，内容合法、合规和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资金使用合规性</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资金使用是否符合相关的财务管理制度规定，用以反映资金使用的规范性。</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①是否符合国家法规和财务管理制度以及有关专项资金管理办法的规定；</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②资金拨付是否有完整审批程序和手续；</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③是否符合项目预算批复或合同规定的用途；</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④是否存在截留、挤占、挪用、虚列支出等情况。</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满足①、②和③，得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分；满足④</w:t>
            </w:r>
            <w:r>
              <w:rPr>
                <w:rStyle w:val="30"/>
                <w:rFonts w:hint="eastAsia" w:ascii="Times New Roman" w:hAnsi="Times New Roman" w:eastAsia="仿宋" w:cs="Times New Roman"/>
                <w:sz w:val="21"/>
                <w:szCs w:val="21"/>
                <w:lang w:val="en-US" w:eastAsia="zh-CN" w:bidi="ar"/>
              </w:rPr>
              <w:t>，</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0</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经过查阅各项基金</w:t>
            </w: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预决算、财务报告以及财务凭证，资金使用符合国家财经法规和财务管理制度以及有关专项资金管理办法的规定，具有完整的审批程序和手续，符合预算批复的用途，未发现资金使用存在截留、挤占、挪用、虚列支出等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参保扩面宣传</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（4分）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基金政策宣传是否有效触达参保人群或拟参保人员，用以反映政策宣传到位情况。</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宣传到位，得4分；宣传基本到位，得</w:t>
            </w:r>
            <w:r>
              <w:rPr>
                <w:rFonts w:hint="eastAsia" w:ascii="Times New Roman" w:hAnsi="Times New Roman" w:eastAsia="仿宋" w:cs="Times New Roman"/>
                <w:i w:val="0"/>
                <w:iCs w:val="0"/>
                <w:color w:val="000000"/>
                <w:kern w:val="0"/>
                <w:sz w:val="21"/>
                <w:szCs w:val="21"/>
                <w:u w:val="none"/>
                <w:lang w:val="en-US" w:eastAsia="zh-CN" w:bidi="ar"/>
              </w:rPr>
              <w:t>3</w:t>
            </w:r>
            <w:r>
              <w:rPr>
                <w:rFonts w:hint="default" w:ascii="Times New Roman" w:hAnsi="Times New Roman" w:eastAsia="仿宋" w:cs="Times New Roman"/>
                <w:i w:val="0"/>
                <w:iCs w:val="0"/>
                <w:color w:val="000000"/>
                <w:kern w:val="0"/>
                <w:sz w:val="21"/>
                <w:szCs w:val="21"/>
                <w:u w:val="none"/>
                <w:lang w:val="en-US" w:eastAsia="zh-CN" w:bidi="ar"/>
              </w:rPr>
              <w:t>分；宣传不到位，得1分；未开展宣传，得0分。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kern w:val="0"/>
                <w:sz w:val="21"/>
                <w:szCs w:val="21"/>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经过访谈了解到，岳阳楼区社会保险服务中心非常重视扩面宣传，通过开展现场咨询、上门慰问、发放宣传彩页、宣传抽纸、宣传纸杯、短信等方式开展多种形式的宣传类活动，积极引导和鼓励年轻人参保。从问卷调研情况看，比较了解和非常了解的人数占比为79.05%，宣传基本到位。形式内容方面有待提升，可以采取年轻人喜闻乐见的短视频等形式进行宣传。根据评分标准，本项指标扣</w:t>
            </w:r>
            <w:r>
              <w:rPr>
                <w:rFonts w:hint="eastAsia" w:ascii="Times New Roman" w:hAnsi="Times New Roman" w:eastAsia="仿宋" w:cs="Times New Roman"/>
                <w:i w:val="0"/>
                <w:iCs w:val="0"/>
                <w:color w:val="000000"/>
                <w:kern w:val="0"/>
                <w:sz w:val="21"/>
                <w:szCs w:val="21"/>
                <w:u w:val="none"/>
                <w:lang w:val="en-US" w:eastAsia="zh-CN" w:bidi="ar"/>
              </w:rPr>
              <w:t>1</w:t>
            </w:r>
            <w:r>
              <w:rPr>
                <w:rFonts w:hint="default" w:ascii="Times New Roman" w:hAnsi="Times New Roman" w:eastAsia="仿宋" w:cs="Times New Roman"/>
                <w:i w:val="0"/>
                <w:iCs w:val="0"/>
                <w:color w:val="000000"/>
                <w:kern w:val="0"/>
                <w:sz w:val="21"/>
                <w:szCs w:val="21"/>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资金到位（</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财政资金到位率</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（5分）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实际到位财政资金是否按预算安排到位，用以反映资金落实情况对基金运行的总体保障程度。</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①财政资金拨付到位率</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实际到位财政资金</w:t>
            </w:r>
            <w:r>
              <w:rPr>
                <w:rFonts w:hint="default" w:ascii="Times New Roman" w:hAnsi="Times New Roman" w:eastAsia="仿宋" w:cs="Times New Roman"/>
                <w:i w:val="0"/>
                <w:iCs w:val="0"/>
                <w:color w:val="000000"/>
                <w:kern w:val="0"/>
                <w:sz w:val="21"/>
                <w:szCs w:val="21"/>
                <w:u w:val="none"/>
                <w:lang w:val="en-US" w:eastAsia="zh-CN" w:bidi="ar"/>
              </w:rPr>
              <w:t>/</w:t>
            </w:r>
            <w:r>
              <w:rPr>
                <w:rStyle w:val="31"/>
                <w:rFonts w:hint="default" w:ascii="Times New Roman" w:hAnsi="Times New Roman" w:eastAsia="仿宋" w:cs="Times New Roman"/>
                <w:sz w:val="21"/>
                <w:szCs w:val="21"/>
                <w:lang w:val="en-US" w:eastAsia="zh-CN" w:bidi="ar"/>
              </w:rPr>
              <w:t>财政</w:t>
            </w:r>
            <w:r>
              <w:rPr>
                <w:rStyle w:val="30"/>
                <w:rFonts w:hint="default" w:ascii="Times New Roman" w:hAnsi="Times New Roman" w:eastAsia="仿宋" w:cs="Times New Roman"/>
                <w:sz w:val="21"/>
                <w:szCs w:val="21"/>
                <w:lang w:val="en-US" w:eastAsia="zh-CN" w:bidi="ar"/>
              </w:rPr>
              <w:t>预算支出</w:t>
            </w:r>
            <w:r>
              <w:rPr>
                <w:rFonts w:hint="default" w:ascii="Times New Roman" w:hAnsi="Times New Roman" w:eastAsia="仿宋" w:cs="Times New Roman"/>
                <w:i w:val="0"/>
                <w:iCs w:val="0"/>
                <w:color w:val="000000"/>
                <w:kern w:val="0"/>
                <w:sz w:val="21"/>
                <w:szCs w:val="21"/>
                <w:u w:val="none"/>
                <w:lang w:val="en-US" w:eastAsia="zh-CN" w:bidi="ar"/>
              </w:rPr>
              <w:t>×100%</w:t>
            </w:r>
            <w:r>
              <w:rPr>
                <w:rStyle w:val="30"/>
                <w:rFonts w:hint="default" w:ascii="Times New Roman" w:hAnsi="Times New Roman" w:eastAsia="仿宋" w:cs="Times New Roman"/>
                <w:sz w:val="21"/>
                <w:szCs w:val="21"/>
                <w:lang w:val="en-US" w:eastAsia="zh-CN" w:bidi="ar"/>
              </w:rPr>
              <w:t>。</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资金拨付到位率</w:t>
            </w:r>
            <w:r>
              <w:rPr>
                <w:rFonts w:hint="default" w:ascii="Times New Roman" w:hAnsi="Times New Roman" w:eastAsia="仿宋" w:cs="Times New Roman"/>
                <w:i w:val="0"/>
                <w:iCs w:val="0"/>
                <w:color w:val="000000"/>
                <w:kern w:val="0"/>
                <w:sz w:val="21"/>
                <w:szCs w:val="21"/>
                <w:u w:val="none"/>
                <w:lang w:val="en-US" w:eastAsia="zh-CN" w:bidi="ar"/>
              </w:rPr>
              <w:t>≥100%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95%≤</w:t>
            </w:r>
            <w:r>
              <w:rPr>
                <w:rStyle w:val="30"/>
                <w:rFonts w:hint="default" w:ascii="Times New Roman" w:hAnsi="Times New Roman" w:eastAsia="仿宋" w:cs="Times New Roman"/>
                <w:sz w:val="21"/>
                <w:szCs w:val="21"/>
                <w:lang w:val="en-US" w:eastAsia="zh-CN" w:bidi="ar"/>
              </w:rPr>
              <w:t>资金拨付到位率</w:t>
            </w:r>
            <w:r>
              <w:rPr>
                <w:rFonts w:hint="default" w:ascii="Times New Roman" w:hAnsi="Times New Roman" w:eastAsia="仿宋" w:cs="Times New Roman"/>
                <w:i w:val="0"/>
                <w:iCs w:val="0"/>
                <w:color w:val="000000"/>
                <w:kern w:val="0"/>
                <w:sz w:val="21"/>
                <w:szCs w:val="21"/>
                <w:u w:val="none"/>
                <w:lang w:val="en-US" w:eastAsia="zh-CN" w:bidi="ar"/>
              </w:rPr>
              <w:t>&lt;100%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分；资金拨付到位率</w:t>
            </w:r>
            <w:r>
              <w:rPr>
                <w:rFonts w:hint="default" w:ascii="Times New Roman" w:hAnsi="Times New Roman" w:eastAsia="仿宋" w:cs="Times New Roman"/>
                <w:i w:val="0"/>
                <w:iCs w:val="0"/>
                <w:color w:val="000000"/>
                <w:kern w:val="0"/>
                <w:sz w:val="21"/>
                <w:szCs w:val="21"/>
                <w:u w:val="none"/>
                <w:lang w:val="en-US" w:eastAsia="zh-CN" w:bidi="ar"/>
              </w:rPr>
              <w:t>&lt;95%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财政资金有个人缴费补贴、基础养老金补贴、代缴保费、丧葬补助、被征地农民保费补贴及退捕渔民养老金补贴，2022年上述财政到位资金为2</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144.90万元，财政预算资金为1</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187.26万元，财政资金到位率为180.66%。财政资金到位率高的原因是年初预算没有考虑被征地农民保费补贴和退捕渔民养老金补贴。2022年财政补助资金中中央到位759.30万元、省级到位94.90万元、市级到位78.49万元以及县级到位350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基金监管</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（5分）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待遇资格认定</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养老待遇领取资格认定是否有效落实，用以反映基金风控的有效性。</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待遇资格认定措施有效且执行到位，得</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分；措施基本有效且基本执行到位，得</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分；措施基本有效但执行不到位，得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分；出现系统性风险漏洞，不得分。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监管工作中养老待遇领取资格认定制度规定是每年认定一次，客观上存在参保人员联系不上导致认定不及时的情形。由于认定的频次低，存在参保人员死亡以及刑事案件发生时，待遇多发的情况（事后人工追回）。目前的措施是根据社保系统下发的疑点数据，由稽核人员联系街道（网格人员）和乡村相关负责人去查实疑点数据。实际工作中，目前下发疑点数据的准确性不是很高，有赖于基层核查人员细致工作。现实中存在经办人员疏忽的情况，但没有发现系统性风险漏洞。措施基本有效且基本执行到位，根据评分标准，本项指标扣</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数据分析</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（5分）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业财一体化分析</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基金管理是否定期开展运行分析，用以反映基金管理可视化水平。</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按年度整合业务和财务数据进行分析，决策实现数据化，得</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分；按年度进行业务数据分析或者财务数据分析，部分实现数据化决策，得</w:t>
            </w:r>
            <w:r>
              <w:rPr>
                <w:rFonts w:hint="default" w:ascii="Times New Roman" w:hAnsi="Times New Roman" w:eastAsia="仿宋" w:cs="Times New Roman"/>
                <w:i w:val="0"/>
                <w:iCs w:val="0"/>
                <w:color w:val="000000"/>
                <w:kern w:val="0"/>
                <w:sz w:val="21"/>
                <w:szCs w:val="21"/>
                <w:u w:val="none"/>
                <w:lang w:val="en-US" w:eastAsia="zh-CN" w:bidi="ar"/>
              </w:rPr>
              <w:t>4</w:t>
            </w:r>
            <w:r>
              <w:rPr>
                <w:rStyle w:val="30"/>
                <w:rFonts w:hint="default" w:ascii="Times New Roman" w:hAnsi="Times New Roman" w:eastAsia="仿宋" w:cs="Times New Roman"/>
                <w:sz w:val="21"/>
                <w:szCs w:val="21"/>
                <w:lang w:val="en-US" w:eastAsia="zh-CN" w:bidi="ar"/>
              </w:rPr>
              <w:t>分；就掌握的数据颗粒度基本上能够与财政部门有效沟通，得</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分；其它情况在上述情形下酌情扣分。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经过访谈了解，财务部门编写了</w:t>
            </w: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基金运行报告，就基金收入和支出以及变化原因进行了分析，但该报告缺乏业务数据有力支撑，分析的颗粒度不够细，由于日常管理中业务和财务数据没有有效融合，客观上导致基金与区财政局的沟通缺乏详实数据。根据评分标准，本项指标扣</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产出</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（40分）</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产出数量</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（30分）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收入预算完成率</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项目预算收入是否按照计划执行，用以反映社保基金收入预算执行情况。</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①收入预算完成率</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决算收入</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预算收入</w:t>
            </w:r>
            <w:r>
              <w:rPr>
                <w:rFonts w:hint="default" w:ascii="Times New Roman" w:hAnsi="Times New Roman" w:eastAsia="仿宋" w:cs="Times New Roman"/>
                <w:i w:val="0"/>
                <w:iCs w:val="0"/>
                <w:color w:val="000000"/>
                <w:kern w:val="0"/>
                <w:sz w:val="21"/>
                <w:szCs w:val="21"/>
                <w:u w:val="none"/>
                <w:lang w:val="en-US" w:eastAsia="zh-CN" w:bidi="ar"/>
              </w:rPr>
              <w:t>×100%</w:t>
            </w:r>
            <w:r>
              <w:rPr>
                <w:rStyle w:val="30"/>
                <w:rFonts w:hint="default" w:ascii="Times New Roman" w:hAnsi="Times New Roman" w:eastAsia="仿宋" w:cs="Times New Roman"/>
                <w:sz w:val="21"/>
                <w:szCs w:val="21"/>
                <w:lang w:val="en-US" w:eastAsia="zh-CN" w:bidi="ar"/>
              </w:rPr>
              <w:t>。</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收入预算完成率</w:t>
            </w:r>
            <w:r>
              <w:rPr>
                <w:rFonts w:hint="default" w:ascii="Times New Roman" w:hAnsi="Times New Roman" w:eastAsia="仿宋" w:cs="Times New Roman"/>
                <w:i w:val="0"/>
                <w:iCs w:val="0"/>
                <w:color w:val="000000"/>
                <w:kern w:val="0"/>
                <w:sz w:val="21"/>
                <w:szCs w:val="21"/>
                <w:u w:val="none"/>
                <w:lang w:val="en-US" w:eastAsia="zh-CN" w:bidi="ar"/>
              </w:rPr>
              <w:t>≥100%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95%≤</w:t>
            </w:r>
            <w:r>
              <w:rPr>
                <w:rStyle w:val="30"/>
                <w:rFonts w:hint="default" w:ascii="Times New Roman" w:hAnsi="Times New Roman" w:eastAsia="仿宋" w:cs="Times New Roman"/>
                <w:sz w:val="21"/>
                <w:szCs w:val="21"/>
                <w:lang w:val="en-US" w:eastAsia="zh-CN" w:bidi="ar"/>
              </w:rPr>
              <w:t>收入预算完成率</w:t>
            </w:r>
            <w:r>
              <w:rPr>
                <w:rFonts w:hint="default" w:ascii="Times New Roman" w:hAnsi="Times New Roman" w:eastAsia="仿宋" w:cs="Times New Roman"/>
                <w:i w:val="0"/>
                <w:iCs w:val="0"/>
                <w:color w:val="000000"/>
                <w:kern w:val="0"/>
                <w:sz w:val="21"/>
                <w:szCs w:val="21"/>
                <w:u w:val="none"/>
                <w:lang w:val="en-US" w:eastAsia="zh-CN" w:bidi="ar"/>
              </w:rPr>
              <w:t>&lt;100%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分；收入预算完成率</w:t>
            </w:r>
            <w:r>
              <w:rPr>
                <w:rFonts w:hint="default" w:ascii="Times New Roman" w:hAnsi="Times New Roman" w:eastAsia="仿宋" w:cs="Times New Roman"/>
                <w:i w:val="0"/>
                <w:iCs w:val="0"/>
                <w:color w:val="000000"/>
                <w:kern w:val="0"/>
                <w:sz w:val="21"/>
                <w:szCs w:val="21"/>
                <w:u w:val="none"/>
                <w:lang w:val="en-US" w:eastAsia="zh-CN" w:bidi="ar"/>
              </w:rPr>
              <w:t>&lt;95%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年基金决算收入为</w:t>
            </w:r>
            <w:r>
              <w:rPr>
                <w:rFonts w:hint="default" w:ascii="Times New Roman" w:hAnsi="Times New Roman" w:eastAsia="仿宋" w:cs="Times New Roman"/>
                <w:i w:val="0"/>
                <w:iCs w:val="0"/>
                <w:color w:val="000000"/>
                <w:kern w:val="0"/>
                <w:sz w:val="21"/>
                <w:szCs w:val="21"/>
                <w:u w:val="none"/>
                <w:lang w:val="en-US" w:eastAsia="zh-CN" w:bidi="ar"/>
              </w:rPr>
              <w:t>3</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945.74</w:t>
            </w:r>
            <w:r>
              <w:rPr>
                <w:rStyle w:val="30"/>
                <w:rFonts w:hint="default" w:ascii="Times New Roman" w:hAnsi="Times New Roman" w:eastAsia="仿宋" w:cs="Times New Roman"/>
                <w:sz w:val="21"/>
                <w:szCs w:val="21"/>
                <w:lang w:val="en-US" w:eastAsia="zh-CN" w:bidi="ar"/>
              </w:rPr>
              <w:t>万元，预算收入为</w:t>
            </w:r>
            <w:r>
              <w:rPr>
                <w:rFonts w:hint="default" w:ascii="Times New Roman" w:hAnsi="Times New Roman" w:eastAsia="仿宋" w:cs="Times New Roman"/>
                <w:i w:val="0"/>
                <w:iCs w:val="0"/>
                <w:color w:val="000000"/>
                <w:kern w:val="0"/>
                <w:sz w:val="21"/>
                <w:szCs w:val="21"/>
                <w:u w:val="none"/>
                <w:lang w:val="en-US" w:eastAsia="zh-CN" w:bidi="ar"/>
              </w:rPr>
              <w:t>2</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831.16</w:t>
            </w:r>
            <w:r>
              <w:rPr>
                <w:rStyle w:val="30"/>
                <w:rFonts w:hint="default" w:ascii="Times New Roman" w:hAnsi="Times New Roman" w:eastAsia="仿宋" w:cs="Times New Roman"/>
                <w:sz w:val="21"/>
                <w:szCs w:val="21"/>
                <w:lang w:val="en-US" w:eastAsia="zh-CN" w:bidi="ar"/>
              </w:rPr>
              <w:t>万元，收入预算完成率为</w:t>
            </w:r>
            <w:r>
              <w:rPr>
                <w:rFonts w:hint="default" w:ascii="Times New Roman" w:hAnsi="Times New Roman" w:eastAsia="仿宋" w:cs="Times New Roman"/>
                <w:i w:val="0"/>
                <w:iCs w:val="0"/>
                <w:color w:val="000000"/>
                <w:kern w:val="0"/>
                <w:sz w:val="21"/>
                <w:szCs w:val="21"/>
                <w:u w:val="none"/>
                <w:lang w:val="en-US" w:eastAsia="zh-CN" w:bidi="ar"/>
              </w:rPr>
              <w:t>139.37%</w:t>
            </w:r>
            <w:r>
              <w:rPr>
                <w:rStyle w:val="30"/>
                <w:rFonts w:hint="default" w:ascii="Times New Roman" w:hAnsi="Times New Roman" w:eastAsia="仿宋" w:cs="Times New Roman"/>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基金收入增长率</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4</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基金决算收入是否较</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年实现增长，用以反映基金收入的提升状况。</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①</w:t>
            </w:r>
            <w:r>
              <w:rPr>
                <w:rStyle w:val="30"/>
                <w:rFonts w:hint="default" w:ascii="Times New Roman" w:hAnsi="Times New Roman" w:eastAsia="仿宋" w:cs="Times New Roman"/>
                <w:sz w:val="21"/>
                <w:szCs w:val="21"/>
                <w:lang w:val="en-US" w:eastAsia="zh-CN" w:bidi="ar"/>
              </w:rPr>
              <w:t>基金收入增长率</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年决算收入</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年决算收入</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年决算收入</w:t>
            </w:r>
            <w:r>
              <w:rPr>
                <w:rFonts w:hint="default" w:ascii="Times New Roman" w:hAnsi="Times New Roman" w:eastAsia="仿宋" w:cs="Times New Roman"/>
                <w:i w:val="0"/>
                <w:iCs w:val="0"/>
                <w:color w:val="000000"/>
                <w:kern w:val="0"/>
                <w:sz w:val="21"/>
                <w:szCs w:val="21"/>
                <w:u w:val="none"/>
                <w:lang w:val="en-US" w:eastAsia="zh-CN" w:bidi="ar"/>
              </w:rPr>
              <w:t>×100%</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基金收入增长率</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4</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基金收入增长率</w:t>
            </w:r>
            <w:r>
              <w:rPr>
                <w:rFonts w:hint="default" w:ascii="Times New Roman" w:hAnsi="Times New Roman" w:eastAsia="仿宋" w:cs="Times New Roman"/>
                <w:i w:val="0"/>
                <w:iCs w:val="0"/>
                <w:color w:val="000000"/>
                <w:kern w:val="0"/>
                <w:sz w:val="21"/>
                <w:szCs w:val="21"/>
                <w:u w:val="none"/>
                <w:lang w:val="en-US" w:eastAsia="zh-CN" w:bidi="ar"/>
              </w:rPr>
              <w:t>&lt;5%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0≤</w:t>
            </w:r>
            <w:r>
              <w:rPr>
                <w:rStyle w:val="30"/>
                <w:rFonts w:hint="default" w:ascii="Times New Roman" w:hAnsi="Times New Roman" w:eastAsia="仿宋" w:cs="Times New Roman"/>
                <w:sz w:val="21"/>
                <w:szCs w:val="21"/>
                <w:lang w:val="en-US" w:eastAsia="zh-CN" w:bidi="ar"/>
              </w:rPr>
              <w:t>基金收入增长率</w:t>
            </w:r>
            <w:r>
              <w:rPr>
                <w:rFonts w:hint="default" w:ascii="Times New Roman" w:hAnsi="Times New Roman" w:eastAsia="仿宋" w:cs="Times New Roman"/>
                <w:i w:val="0"/>
                <w:iCs w:val="0"/>
                <w:color w:val="000000"/>
                <w:kern w:val="0"/>
                <w:sz w:val="21"/>
                <w:szCs w:val="21"/>
                <w:u w:val="none"/>
                <w:lang w:val="en-US" w:eastAsia="zh-CN" w:bidi="ar"/>
              </w:rPr>
              <w:t>&lt;1%</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年基金收入为</w:t>
            </w:r>
            <w:r>
              <w:rPr>
                <w:rFonts w:hint="default" w:ascii="Times New Roman" w:hAnsi="Times New Roman" w:eastAsia="仿宋" w:cs="Times New Roman"/>
                <w:i w:val="0"/>
                <w:iCs w:val="0"/>
                <w:color w:val="000000"/>
                <w:kern w:val="0"/>
                <w:sz w:val="21"/>
                <w:szCs w:val="21"/>
                <w:u w:val="none"/>
                <w:lang w:val="en-US" w:eastAsia="zh-CN" w:bidi="ar"/>
              </w:rPr>
              <w:t>3</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945.74</w:t>
            </w:r>
            <w:r>
              <w:rPr>
                <w:rStyle w:val="30"/>
                <w:rFonts w:hint="default" w:ascii="Times New Roman" w:hAnsi="Times New Roman" w:eastAsia="仿宋" w:cs="Times New Roman"/>
                <w:sz w:val="21"/>
                <w:szCs w:val="21"/>
                <w:lang w:val="en-US" w:eastAsia="zh-CN" w:bidi="ar"/>
              </w:rPr>
              <w:t>万元，较</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w:t>
            </w:r>
            <w:r>
              <w:rPr>
                <w:rFonts w:hint="default" w:ascii="Times New Roman" w:hAnsi="Times New Roman" w:eastAsia="仿宋" w:cs="Times New Roman"/>
                <w:i w:val="0"/>
                <w:iCs w:val="0"/>
                <w:color w:val="000000"/>
                <w:kern w:val="0"/>
                <w:sz w:val="21"/>
                <w:szCs w:val="21"/>
                <w:u w:val="none"/>
                <w:lang w:val="en-US" w:eastAsia="zh-CN" w:bidi="ar"/>
              </w:rPr>
              <w:t>3</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173.06</w:t>
            </w:r>
            <w:r>
              <w:rPr>
                <w:rStyle w:val="30"/>
                <w:rFonts w:hint="default" w:ascii="Times New Roman" w:hAnsi="Times New Roman" w:eastAsia="仿宋" w:cs="Times New Roman"/>
                <w:sz w:val="21"/>
                <w:szCs w:val="21"/>
                <w:lang w:val="en-US" w:eastAsia="zh-CN" w:bidi="ar"/>
              </w:rPr>
              <w:t>万元）增长</w:t>
            </w:r>
            <w:r>
              <w:rPr>
                <w:rFonts w:hint="default" w:ascii="Times New Roman" w:hAnsi="Times New Roman" w:eastAsia="仿宋" w:cs="Times New Roman"/>
                <w:i w:val="0"/>
                <w:iCs w:val="0"/>
                <w:color w:val="000000"/>
                <w:kern w:val="0"/>
                <w:sz w:val="21"/>
                <w:szCs w:val="21"/>
                <w:u w:val="none"/>
                <w:lang w:val="en-US" w:eastAsia="zh-CN" w:bidi="ar"/>
              </w:rPr>
              <w:t>24.35%</w:t>
            </w:r>
            <w:r>
              <w:rPr>
                <w:rStyle w:val="30"/>
                <w:rFonts w:hint="default" w:ascii="Times New Roman" w:hAnsi="Times New Roman" w:eastAsia="仿宋" w:cs="Times New Roman"/>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支出预算完成率</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（3分）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项目预算支出是否按照计划执行，用以反映项目预算支出执行情况</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①支出预算完成率=决算支出/预算支出×100%。</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支出预算完成率</w:t>
            </w:r>
            <w:r>
              <w:rPr>
                <w:rFonts w:hint="default" w:ascii="Times New Roman" w:hAnsi="Times New Roman" w:eastAsia="仿宋" w:cs="Times New Roman"/>
                <w:i w:val="0"/>
                <w:iCs w:val="0"/>
                <w:color w:val="000000"/>
                <w:kern w:val="0"/>
                <w:sz w:val="21"/>
                <w:szCs w:val="21"/>
                <w:u w:val="none"/>
                <w:lang w:val="en-US" w:eastAsia="zh-CN" w:bidi="ar"/>
              </w:rPr>
              <w:t>≥100%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95%≤</w:t>
            </w:r>
            <w:r>
              <w:rPr>
                <w:rStyle w:val="30"/>
                <w:rFonts w:hint="default" w:ascii="Times New Roman" w:hAnsi="Times New Roman" w:eastAsia="仿宋" w:cs="Times New Roman"/>
                <w:sz w:val="21"/>
                <w:szCs w:val="21"/>
                <w:lang w:val="en-US" w:eastAsia="zh-CN" w:bidi="ar"/>
              </w:rPr>
              <w:t>支出预算完成率</w:t>
            </w:r>
            <w:r>
              <w:rPr>
                <w:rFonts w:hint="default" w:ascii="Times New Roman" w:hAnsi="Times New Roman" w:eastAsia="仿宋" w:cs="Times New Roman"/>
                <w:i w:val="0"/>
                <w:iCs w:val="0"/>
                <w:color w:val="000000"/>
                <w:kern w:val="0"/>
                <w:sz w:val="21"/>
                <w:szCs w:val="21"/>
                <w:u w:val="none"/>
                <w:lang w:val="en-US" w:eastAsia="zh-CN" w:bidi="ar"/>
              </w:rPr>
              <w:t>&lt;100%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分；支出预算完成率</w:t>
            </w:r>
            <w:r>
              <w:rPr>
                <w:rFonts w:hint="default" w:ascii="Times New Roman" w:hAnsi="Times New Roman" w:eastAsia="仿宋" w:cs="Times New Roman"/>
                <w:i w:val="0"/>
                <w:iCs w:val="0"/>
                <w:color w:val="000000"/>
                <w:kern w:val="0"/>
                <w:sz w:val="21"/>
                <w:szCs w:val="21"/>
                <w:u w:val="none"/>
                <w:lang w:val="en-US" w:eastAsia="zh-CN" w:bidi="ar"/>
              </w:rPr>
              <w:t>&lt;95%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年预算支出为</w:t>
            </w:r>
            <w:r>
              <w:rPr>
                <w:rFonts w:hint="default" w:ascii="Times New Roman" w:hAnsi="Times New Roman" w:eastAsia="仿宋" w:cs="Times New Roman"/>
                <w:i w:val="0"/>
                <w:iCs w:val="0"/>
                <w:color w:val="000000"/>
                <w:kern w:val="0"/>
                <w:sz w:val="21"/>
                <w:szCs w:val="21"/>
                <w:u w:val="none"/>
                <w:lang w:val="en-US" w:eastAsia="zh-CN" w:bidi="ar"/>
              </w:rPr>
              <w:t>1</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958.64</w:t>
            </w:r>
            <w:r>
              <w:rPr>
                <w:rStyle w:val="30"/>
                <w:rFonts w:hint="default" w:ascii="Times New Roman" w:hAnsi="Times New Roman" w:eastAsia="仿宋" w:cs="Times New Roman"/>
                <w:sz w:val="21"/>
                <w:szCs w:val="21"/>
                <w:lang w:val="en-US" w:eastAsia="zh-CN" w:bidi="ar"/>
              </w:rPr>
              <w:t>万元，决算支出为</w:t>
            </w:r>
            <w:r>
              <w:rPr>
                <w:rFonts w:hint="default" w:ascii="Times New Roman" w:hAnsi="Times New Roman" w:eastAsia="仿宋" w:cs="Times New Roman"/>
                <w:i w:val="0"/>
                <w:iCs w:val="0"/>
                <w:color w:val="000000"/>
                <w:kern w:val="0"/>
                <w:sz w:val="21"/>
                <w:szCs w:val="21"/>
                <w:u w:val="none"/>
                <w:lang w:val="en-US" w:eastAsia="zh-CN" w:bidi="ar"/>
              </w:rPr>
              <w:t>2</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349.17</w:t>
            </w:r>
            <w:r>
              <w:rPr>
                <w:rStyle w:val="30"/>
                <w:rFonts w:hint="default" w:ascii="Times New Roman" w:hAnsi="Times New Roman" w:eastAsia="仿宋" w:cs="Times New Roman"/>
                <w:sz w:val="21"/>
                <w:szCs w:val="21"/>
                <w:lang w:val="en-US" w:eastAsia="zh-CN" w:bidi="ar"/>
              </w:rPr>
              <w:t>万元，支出预算完成率为</w:t>
            </w:r>
            <w:r>
              <w:rPr>
                <w:rFonts w:hint="default" w:ascii="Times New Roman" w:hAnsi="Times New Roman" w:eastAsia="仿宋" w:cs="Times New Roman"/>
                <w:i w:val="0"/>
                <w:iCs w:val="0"/>
                <w:color w:val="000000"/>
                <w:kern w:val="0"/>
                <w:sz w:val="21"/>
                <w:szCs w:val="21"/>
                <w:u w:val="none"/>
                <w:lang w:val="en-US" w:eastAsia="zh-CN" w:bidi="ar"/>
              </w:rPr>
              <w:t>119.94%</w:t>
            </w:r>
            <w:r>
              <w:rPr>
                <w:rStyle w:val="30"/>
                <w:rFonts w:hint="default" w:ascii="Times New Roman" w:hAnsi="Times New Roman" w:eastAsia="仿宋" w:cs="Times New Roman"/>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基金支出增长率</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基金决算支出是否较</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年有效降低，用以反映基金支出的控制力度。</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①</w:t>
            </w:r>
            <w:r>
              <w:rPr>
                <w:rStyle w:val="30"/>
                <w:rFonts w:hint="default" w:ascii="Times New Roman" w:hAnsi="Times New Roman" w:eastAsia="仿宋" w:cs="Times New Roman"/>
                <w:sz w:val="21"/>
                <w:szCs w:val="21"/>
                <w:lang w:val="en-US" w:eastAsia="zh-CN" w:bidi="ar"/>
              </w:rPr>
              <w:t>基金支出增长率</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年决算支出</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年决算支出</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年决算制支出</w:t>
            </w:r>
            <w:r>
              <w:rPr>
                <w:rFonts w:hint="default" w:ascii="Times New Roman" w:hAnsi="Times New Roman" w:eastAsia="仿宋" w:cs="Times New Roman"/>
                <w:i w:val="0"/>
                <w:iCs w:val="0"/>
                <w:color w:val="000000"/>
                <w:kern w:val="0"/>
                <w:sz w:val="21"/>
                <w:szCs w:val="21"/>
                <w:u w:val="none"/>
                <w:lang w:val="en-US" w:eastAsia="zh-CN" w:bidi="ar"/>
              </w:rPr>
              <w:t>×100%</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基金支出增长率</w:t>
            </w:r>
            <w:r>
              <w:rPr>
                <w:rFonts w:hint="default" w:ascii="Times New Roman" w:hAnsi="Times New Roman" w:eastAsia="仿宋" w:cs="Times New Roman"/>
                <w:i w:val="0"/>
                <w:iCs w:val="0"/>
                <w:color w:val="000000"/>
                <w:kern w:val="0"/>
                <w:sz w:val="21"/>
                <w:szCs w:val="21"/>
                <w:u w:val="none"/>
                <w:lang w:val="en-US" w:eastAsia="zh-CN" w:bidi="ar"/>
              </w:rPr>
              <w:t>&lt;10%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10%≤</w:t>
            </w:r>
            <w:r>
              <w:rPr>
                <w:rStyle w:val="30"/>
                <w:rFonts w:hint="default" w:ascii="Times New Roman" w:hAnsi="Times New Roman" w:eastAsia="仿宋" w:cs="Times New Roman"/>
                <w:sz w:val="21"/>
                <w:szCs w:val="21"/>
                <w:lang w:val="en-US" w:eastAsia="zh-CN" w:bidi="ar"/>
              </w:rPr>
              <w:t>基金支出增长率</w:t>
            </w:r>
            <w:r>
              <w:rPr>
                <w:rFonts w:hint="default" w:ascii="Times New Roman" w:hAnsi="Times New Roman" w:eastAsia="仿宋" w:cs="Times New Roman"/>
                <w:i w:val="0"/>
                <w:iCs w:val="0"/>
                <w:color w:val="000000"/>
                <w:kern w:val="0"/>
                <w:sz w:val="21"/>
                <w:szCs w:val="21"/>
                <w:u w:val="none"/>
                <w:lang w:val="en-US" w:eastAsia="zh-CN" w:bidi="ar"/>
              </w:rPr>
              <w:t>&lt;15%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15%≤</w:t>
            </w:r>
            <w:r>
              <w:rPr>
                <w:rStyle w:val="30"/>
                <w:rFonts w:hint="default" w:ascii="Times New Roman" w:hAnsi="Times New Roman" w:eastAsia="仿宋" w:cs="Times New Roman"/>
                <w:sz w:val="21"/>
                <w:szCs w:val="21"/>
                <w:lang w:val="en-US" w:eastAsia="zh-CN" w:bidi="ar"/>
              </w:rPr>
              <w:t>基金支出增长率，得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年基金支出</w:t>
            </w:r>
            <w:r>
              <w:rPr>
                <w:rFonts w:hint="default" w:ascii="Times New Roman" w:hAnsi="Times New Roman" w:eastAsia="仿宋" w:cs="Times New Roman"/>
                <w:i w:val="0"/>
                <w:iCs w:val="0"/>
                <w:color w:val="000000"/>
                <w:kern w:val="0"/>
                <w:sz w:val="21"/>
                <w:szCs w:val="21"/>
                <w:u w:val="none"/>
                <w:lang w:val="en-US" w:eastAsia="zh-CN" w:bidi="ar"/>
              </w:rPr>
              <w:t>2</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349.17</w:t>
            </w:r>
            <w:r>
              <w:rPr>
                <w:rStyle w:val="30"/>
                <w:rFonts w:hint="default" w:ascii="Times New Roman" w:hAnsi="Times New Roman" w:eastAsia="仿宋" w:cs="Times New Roman"/>
                <w:sz w:val="21"/>
                <w:szCs w:val="21"/>
                <w:lang w:val="en-US" w:eastAsia="zh-CN" w:bidi="ar"/>
              </w:rPr>
              <w:t>万元，较</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w:t>
            </w:r>
            <w:r>
              <w:rPr>
                <w:rFonts w:hint="default" w:ascii="Times New Roman" w:hAnsi="Times New Roman" w:eastAsia="仿宋" w:cs="Times New Roman"/>
                <w:i w:val="0"/>
                <w:iCs w:val="0"/>
                <w:color w:val="000000"/>
                <w:kern w:val="0"/>
                <w:sz w:val="21"/>
                <w:szCs w:val="21"/>
                <w:u w:val="none"/>
                <w:lang w:val="en-US" w:eastAsia="zh-CN" w:bidi="ar"/>
              </w:rPr>
              <w:t>2</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108.71</w:t>
            </w:r>
            <w:r>
              <w:rPr>
                <w:rStyle w:val="30"/>
                <w:rFonts w:hint="default" w:ascii="Times New Roman" w:hAnsi="Times New Roman" w:eastAsia="仿宋" w:cs="Times New Roman"/>
                <w:sz w:val="21"/>
                <w:szCs w:val="21"/>
                <w:lang w:val="en-US" w:eastAsia="zh-CN" w:bidi="ar"/>
              </w:rPr>
              <w:t>万元）增长</w:t>
            </w:r>
            <w:r>
              <w:rPr>
                <w:rFonts w:hint="default" w:ascii="Times New Roman" w:hAnsi="Times New Roman" w:eastAsia="仿宋" w:cs="Times New Roman"/>
                <w:i w:val="0"/>
                <w:iCs w:val="0"/>
                <w:color w:val="000000"/>
                <w:kern w:val="0"/>
                <w:sz w:val="21"/>
                <w:szCs w:val="21"/>
                <w:u w:val="none"/>
                <w:lang w:val="en-US" w:eastAsia="zh-CN" w:bidi="ar"/>
              </w:rPr>
              <w:t>11.40%</w:t>
            </w:r>
            <w:r>
              <w:rPr>
                <w:rStyle w:val="30"/>
                <w:rFonts w:hint="default" w:ascii="Times New Roman" w:hAnsi="Times New Roman" w:eastAsia="仿宋" w:cs="Times New Roman"/>
                <w:sz w:val="21"/>
                <w:szCs w:val="21"/>
                <w:lang w:val="en-US" w:eastAsia="zh-CN" w:bidi="ar"/>
              </w:rPr>
              <w:t>，根据评分标准，本项指标扣</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基金年度结余率</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4</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基金年度资金结余是否实现增长，用以反映基金年度收支平衡情况。</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①基金年度结余率</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基金年度资金结余</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决算收入</w:t>
            </w:r>
            <w:r>
              <w:rPr>
                <w:rFonts w:hint="default" w:ascii="Times New Roman" w:hAnsi="Times New Roman" w:eastAsia="仿宋" w:cs="Times New Roman"/>
                <w:i w:val="0"/>
                <w:iCs w:val="0"/>
                <w:color w:val="000000"/>
                <w:kern w:val="0"/>
                <w:sz w:val="21"/>
                <w:szCs w:val="21"/>
                <w:u w:val="none"/>
                <w:lang w:val="en-US" w:eastAsia="zh-CN" w:bidi="ar"/>
              </w:rPr>
              <w:t>×100%</w:t>
            </w:r>
            <w:r>
              <w:rPr>
                <w:rStyle w:val="30"/>
                <w:rFonts w:hint="default" w:ascii="Times New Roman" w:hAnsi="Times New Roman" w:eastAsia="仿宋" w:cs="Times New Roman"/>
                <w:sz w:val="21"/>
                <w:szCs w:val="21"/>
                <w:lang w:val="en-US" w:eastAsia="zh-CN" w:bidi="ar"/>
              </w:rPr>
              <w:t>。</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基金年度结余率</w:t>
            </w:r>
            <w:r>
              <w:rPr>
                <w:rFonts w:hint="default" w:ascii="Times New Roman" w:hAnsi="Times New Roman" w:eastAsia="仿宋" w:cs="Times New Roman"/>
                <w:i w:val="0"/>
                <w:iCs w:val="0"/>
                <w:color w:val="000000"/>
                <w:kern w:val="0"/>
                <w:sz w:val="21"/>
                <w:szCs w:val="21"/>
                <w:u w:val="none"/>
                <w:lang w:val="en-US" w:eastAsia="zh-CN" w:bidi="ar"/>
              </w:rPr>
              <w:t>≥10%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4</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基金年度结余率</w:t>
            </w:r>
            <w:r>
              <w:rPr>
                <w:rFonts w:hint="default" w:ascii="Times New Roman" w:hAnsi="Times New Roman" w:eastAsia="仿宋" w:cs="Times New Roman"/>
                <w:i w:val="0"/>
                <w:iCs w:val="0"/>
                <w:color w:val="000000"/>
                <w:kern w:val="0"/>
                <w:sz w:val="21"/>
                <w:szCs w:val="21"/>
                <w:u w:val="none"/>
                <w:lang w:val="en-US" w:eastAsia="zh-CN" w:bidi="ar"/>
              </w:rPr>
              <w:t>&lt;10%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基金年度结余率</w:t>
            </w:r>
            <w:r>
              <w:rPr>
                <w:rFonts w:hint="default" w:ascii="Times New Roman" w:hAnsi="Times New Roman" w:eastAsia="仿宋" w:cs="Times New Roman"/>
                <w:i w:val="0"/>
                <w:iCs w:val="0"/>
                <w:color w:val="000000"/>
                <w:kern w:val="0"/>
                <w:sz w:val="21"/>
                <w:szCs w:val="21"/>
                <w:u w:val="none"/>
                <w:lang w:val="en-US" w:eastAsia="zh-CN" w:bidi="ar"/>
              </w:rPr>
              <w:t>&lt;5%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分；基金年度结余率</w:t>
            </w:r>
            <w:r>
              <w:rPr>
                <w:rFonts w:hint="default" w:ascii="Times New Roman" w:hAnsi="Times New Roman" w:eastAsia="仿宋" w:cs="Times New Roman"/>
                <w:i w:val="0"/>
                <w:iCs w:val="0"/>
                <w:color w:val="000000"/>
                <w:kern w:val="0"/>
                <w:sz w:val="21"/>
                <w:szCs w:val="21"/>
                <w:u w:val="none"/>
                <w:lang w:val="en-US" w:eastAsia="zh-CN" w:bidi="ar"/>
              </w:rPr>
              <w:t>&lt;1%</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基金年度结余为</w:t>
            </w:r>
            <w:r>
              <w:rPr>
                <w:rFonts w:hint="default" w:ascii="Times New Roman" w:hAnsi="Times New Roman" w:eastAsia="仿宋" w:cs="Times New Roman"/>
                <w:i w:val="0"/>
                <w:iCs w:val="0"/>
                <w:color w:val="000000"/>
                <w:kern w:val="0"/>
                <w:sz w:val="21"/>
                <w:szCs w:val="21"/>
                <w:u w:val="none"/>
                <w:lang w:val="en-US" w:eastAsia="zh-CN" w:bidi="ar"/>
              </w:rPr>
              <w:t>1</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596.57</w:t>
            </w:r>
            <w:r>
              <w:rPr>
                <w:rStyle w:val="30"/>
                <w:rFonts w:hint="default" w:ascii="Times New Roman" w:hAnsi="Times New Roman" w:eastAsia="仿宋" w:cs="Times New Roman"/>
                <w:sz w:val="21"/>
                <w:szCs w:val="21"/>
                <w:lang w:val="en-US" w:eastAsia="zh-CN" w:bidi="ar"/>
              </w:rPr>
              <w:t>万元，当年基金收入为</w:t>
            </w:r>
            <w:r>
              <w:rPr>
                <w:rFonts w:hint="default" w:ascii="Times New Roman" w:hAnsi="Times New Roman" w:eastAsia="仿宋" w:cs="Times New Roman"/>
                <w:i w:val="0"/>
                <w:iCs w:val="0"/>
                <w:color w:val="000000"/>
                <w:kern w:val="0"/>
                <w:sz w:val="21"/>
                <w:szCs w:val="21"/>
                <w:u w:val="none"/>
                <w:lang w:val="en-US" w:eastAsia="zh-CN" w:bidi="ar"/>
              </w:rPr>
              <w:t>3</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945.74</w:t>
            </w:r>
            <w:r>
              <w:rPr>
                <w:rStyle w:val="30"/>
                <w:rFonts w:hint="default" w:ascii="Times New Roman" w:hAnsi="Times New Roman" w:eastAsia="仿宋" w:cs="Times New Roman"/>
                <w:sz w:val="21"/>
                <w:szCs w:val="21"/>
                <w:lang w:val="en-US" w:eastAsia="zh-CN" w:bidi="ar"/>
              </w:rPr>
              <w:t>万元，基金年度结余率为</w:t>
            </w:r>
            <w:r>
              <w:rPr>
                <w:rFonts w:hint="default" w:ascii="Times New Roman" w:hAnsi="Times New Roman" w:eastAsia="仿宋" w:cs="Times New Roman"/>
                <w:i w:val="0"/>
                <w:iCs w:val="0"/>
                <w:color w:val="000000"/>
                <w:kern w:val="0"/>
                <w:sz w:val="21"/>
                <w:szCs w:val="21"/>
                <w:u w:val="none"/>
                <w:lang w:val="en-US" w:eastAsia="zh-CN" w:bidi="ar"/>
              </w:rPr>
              <w:t>40.46%</w:t>
            </w:r>
            <w:r>
              <w:rPr>
                <w:rStyle w:val="30"/>
                <w:rFonts w:hint="default" w:ascii="Times New Roman" w:hAnsi="Times New Roman" w:eastAsia="仿宋" w:cs="Times New Roman"/>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滚动结余增长率</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4</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滚动结余是否较</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年实现增长，用以反映基金结余增长情况。</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①</w:t>
            </w:r>
            <w:r>
              <w:rPr>
                <w:rStyle w:val="30"/>
                <w:rFonts w:hint="default" w:ascii="Times New Roman" w:hAnsi="Times New Roman" w:eastAsia="仿宋" w:cs="Times New Roman"/>
                <w:sz w:val="21"/>
                <w:szCs w:val="21"/>
                <w:lang w:val="en-US" w:eastAsia="zh-CN" w:bidi="ar"/>
              </w:rPr>
              <w:t>滚动结余增长率</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年底滚动结余</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年底滚动结余</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年底滚动结余</w:t>
            </w:r>
            <w:r>
              <w:rPr>
                <w:rFonts w:hint="default" w:ascii="Times New Roman" w:hAnsi="Times New Roman" w:eastAsia="仿宋" w:cs="Times New Roman"/>
                <w:i w:val="0"/>
                <w:iCs w:val="0"/>
                <w:color w:val="000000"/>
                <w:kern w:val="0"/>
                <w:sz w:val="21"/>
                <w:szCs w:val="21"/>
                <w:u w:val="none"/>
                <w:lang w:val="en-US" w:eastAsia="zh-CN" w:bidi="ar"/>
              </w:rPr>
              <w:t>×100%</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滚动结余增长率</w:t>
            </w:r>
            <w:r>
              <w:rPr>
                <w:rFonts w:hint="default" w:ascii="Times New Roman" w:hAnsi="Times New Roman" w:eastAsia="仿宋" w:cs="Times New Roman"/>
                <w:i w:val="0"/>
                <w:iCs w:val="0"/>
                <w:color w:val="000000"/>
                <w:kern w:val="0"/>
                <w:sz w:val="21"/>
                <w:szCs w:val="21"/>
                <w:u w:val="none"/>
                <w:lang w:val="en-US" w:eastAsia="zh-CN" w:bidi="ar"/>
              </w:rPr>
              <w:t>≥10%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4</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滚动结余增长率</w:t>
            </w:r>
            <w:r>
              <w:rPr>
                <w:rFonts w:hint="default" w:ascii="Times New Roman" w:hAnsi="Times New Roman" w:eastAsia="仿宋" w:cs="Times New Roman"/>
                <w:i w:val="0"/>
                <w:iCs w:val="0"/>
                <w:color w:val="000000"/>
                <w:kern w:val="0"/>
                <w:sz w:val="21"/>
                <w:szCs w:val="21"/>
                <w:u w:val="none"/>
                <w:lang w:val="en-US" w:eastAsia="zh-CN" w:bidi="ar"/>
              </w:rPr>
              <w:t>&lt;10%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滚动结余增长率</w:t>
            </w:r>
            <w:r>
              <w:rPr>
                <w:rFonts w:hint="default" w:ascii="Times New Roman" w:hAnsi="Times New Roman" w:eastAsia="仿宋" w:cs="Times New Roman"/>
                <w:i w:val="0"/>
                <w:iCs w:val="0"/>
                <w:color w:val="000000"/>
                <w:kern w:val="0"/>
                <w:sz w:val="21"/>
                <w:szCs w:val="21"/>
                <w:u w:val="none"/>
                <w:lang w:val="en-US" w:eastAsia="zh-CN" w:bidi="ar"/>
              </w:rPr>
              <w:t>&lt;5%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分；滚动结余增长率</w:t>
            </w:r>
            <w:r>
              <w:rPr>
                <w:rFonts w:hint="default" w:ascii="Times New Roman" w:hAnsi="Times New Roman" w:eastAsia="仿宋" w:cs="Times New Roman"/>
                <w:i w:val="0"/>
                <w:iCs w:val="0"/>
                <w:color w:val="000000"/>
                <w:kern w:val="0"/>
                <w:sz w:val="21"/>
                <w:szCs w:val="21"/>
                <w:u w:val="none"/>
                <w:lang w:val="en-US" w:eastAsia="zh-CN" w:bidi="ar"/>
              </w:rPr>
              <w:t>&lt;1%</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年期末累计结余为</w:t>
            </w:r>
            <w:r>
              <w:rPr>
                <w:rFonts w:hint="default" w:ascii="Times New Roman" w:hAnsi="Times New Roman" w:eastAsia="仿宋" w:cs="Times New Roman"/>
                <w:i w:val="0"/>
                <w:iCs w:val="0"/>
                <w:color w:val="000000"/>
                <w:kern w:val="0"/>
                <w:sz w:val="21"/>
                <w:szCs w:val="21"/>
                <w:u w:val="none"/>
                <w:lang w:val="en-US" w:eastAsia="zh-CN" w:bidi="ar"/>
              </w:rPr>
              <w:t>16</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735.86</w:t>
            </w:r>
            <w:r>
              <w:rPr>
                <w:rStyle w:val="30"/>
                <w:rFonts w:hint="default" w:ascii="Times New Roman" w:hAnsi="Times New Roman" w:eastAsia="仿宋" w:cs="Times New Roman"/>
                <w:sz w:val="21"/>
                <w:szCs w:val="21"/>
                <w:lang w:val="en-US" w:eastAsia="zh-CN" w:bidi="ar"/>
              </w:rPr>
              <w:t>万元，较</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w:t>
            </w:r>
            <w:r>
              <w:rPr>
                <w:rFonts w:hint="default" w:ascii="Times New Roman" w:hAnsi="Times New Roman" w:eastAsia="仿宋" w:cs="Times New Roman"/>
                <w:i w:val="0"/>
                <w:iCs w:val="0"/>
                <w:color w:val="000000"/>
                <w:kern w:val="0"/>
                <w:sz w:val="21"/>
                <w:szCs w:val="21"/>
                <w:u w:val="none"/>
                <w:lang w:val="en-US" w:eastAsia="zh-CN" w:bidi="ar"/>
              </w:rPr>
              <w:t>15</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139.29</w:t>
            </w:r>
            <w:r>
              <w:rPr>
                <w:rStyle w:val="30"/>
                <w:rFonts w:hint="default" w:ascii="Times New Roman" w:hAnsi="Times New Roman" w:eastAsia="仿宋" w:cs="Times New Roman"/>
                <w:sz w:val="21"/>
                <w:szCs w:val="21"/>
                <w:lang w:val="en-US" w:eastAsia="zh-CN" w:bidi="ar"/>
              </w:rPr>
              <w:t>万元）滚动结余增长</w:t>
            </w:r>
            <w:r>
              <w:rPr>
                <w:rFonts w:hint="default" w:ascii="Times New Roman" w:hAnsi="Times New Roman" w:eastAsia="仿宋" w:cs="Times New Roman"/>
                <w:i w:val="0"/>
                <w:iCs w:val="0"/>
                <w:color w:val="000000"/>
                <w:kern w:val="0"/>
                <w:sz w:val="21"/>
                <w:szCs w:val="21"/>
                <w:u w:val="none"/>
                <w:lang w:val="en-US" w:eastAsia="zh-CN" w:bidi="ar"/>
              </w:rPr>
              <w:t>10.55%</w:t>
            </w:r>
            <w:r>
              <w:rPr>
                <w:rStyle w:val="30"/>
                <w:rFonts w:hint="default" w:ascii="Times New Roman" w:hAnsi="Times New Roman" w:eastAsia="仿宋" w:cs="Times New Roman"/>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参保人数完成率</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4</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基金年度实际参保人数是否达到计划参保人数，用以反映年度参保人数目标完成情况。</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①参保人数完成率</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实际参保人数</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计划参保人数</w:t>
            </w:r>
            <w:r>
              <w:rPr>
                <w:rFonts w:hint="default" w:ascii="Times New Roman" w:hAnsi="Times New Roman" w:eastAsia="仿宋" w:cs="Times New Roman"/>
                <w:i w:val="0"/>
                <w:iCs w:val="0"/>
                <w:color w:val="000000"/>
                <w:kern w:val="0"/>
                <w:sz w:val="21"/>
                <w:szCs w:val="21"/>
                <w:u w:val="none"/>
                <w:lang w:val="en-US" w:eastAsia="zh-CN" w:bidi="ar"/>
              </w:rPr>
              <w:t>×100%</w:t>
            </w:r>
            <w:r>
              <w:rPr>
                <w:rStyle w:val="30"/>
                <w:rFonts w:hint="default" w:ascii="Times New Roman" w:hAnsi="Times New Roman" w:eastAsia="仿宋" w:cs="Times New Roman"/>
                <w:sz w:val="21"/>
                <w:szCs w:val="21"/>
                <w:lang w:val="en-US" w:eastAsia="zh-CN" w:bidi="ar"/>
              </w:rPr>
              <w:t>。</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参保人数完成率</w:t>
            </w:r>
            <w:r>
              <w:rPr>
                <w:rFonts w:hint="default" w:ascii="Times New Roman" w:hAnsi="Times New Roman" w:eastAsia="仿宋" w:cs="Times New Roman"/>
                <w:i w:val="0"/>
                <w:iCs w:val="0"/>
                <w:color w:val="000000"/>
                <w:kern w:val="0"/>
                <w:sz w:val="21"/>
                <w:szCs w:val="21"/>
                <w:u w:val="none"/>
                <w:lang w:val="en-US" w:eastAsia="zh-CN" w:bidi="ar"/>
              </w:rPr>
              <w:t>≥100%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4</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95%≤</w:t>
            </w:r>
            <w:r>
              <w:rPr>
                <w:rStyle w:val="30"/>
                <w:rFonts w:hint="default" w:ascii="Times New Roman" w:hAnsi="Times New Roman" w:eastAsia="仿宋" w:cs="Times New Roman"/>
                <w:sz w:val="21"/>
                <w:szCs w:val="21"/>
                <w:lang w:val="en-US" w:eastAsia="zh-CN" w:bidi="ar"/>
              </w:rPr>
              <w:t>参保人数完成率</w:t>
            </w:r>
            <w:r>
              <w:rPr>
                <w:rFonts w:hint="default" w:ascii="Times New Roman" w:hAnsi="Times New Roman" w:eastAsia="仿宋" w:cs="Times New Roman"/>
                <w:i w:val="0"/>
                <w:iCs w:val="0"/>
                <w:color w:val="000000"/>
                <w:kern w:val="0"/>
                <w:sz w:val="21"/>
                <w:szCs w:val="21"/>
                <w:u w:val="none"/>
                <w:lang w:val="en-US" w:eastAsia="zh-CN" w:bidi="ar"/>
              </w:rPr>
              <w:t>&lt;100%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90%≤</w:t>
            </w:r>
            <w:r>
              <w:rPr>
                <w:rStyle w:val="30"/>
                <w:rFonts w:hint="default" w:ascii="Times New Roman" w:hAnsi="Times New Roman" w:eastAsia="仿宋" w:cs="Times New Roman"/>
                <w:sz w:val="21"/>
                <w:szCs w:val="21"/>
                <w:lang w:val="en-US" w:eastAsia="zh-CN" w:bidi="ar"/>
              </w:rPr>
              <w:t>参保人数完成率</w:t>
            </w:r>
            <w:r>
              <w:rPr>
                <w:rFonts w:hint="default" w:ascii="Times New Roman" w:hAnsi="Times New Roman" w:eastAsia="仿宋" w:cs="Times New Roman"/>
                <w:i w:val="0"/>
                <w:iCs w:val="0"/>
                <w:color w:val="000000"/>
                <w:kern w:val="0"/>
                <w:sz w:val="21"/>
                <w:szCs w:val="21"/>
                <w:u w:val="none"/>
                <w:lang w:val="en-US" w:eastAsia="zh-CN" w:bidi="ar"/>
              </w:rPr>
              <w:t>&lt;95%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分；参保人数完成率</w:t>
            </w:r>
            <w:r>
              <w:rPr>
                <w:rFonts w:hint="default" w:ascii="Times New Roman" w:hAnsi="Times New Roman" w:eastAsia="仿宋" w:cs="Times New Roman"/>
                <w:i w:val="0"/>
                <w:iCs w:val="0"/>
                <w:color w:val="000000"/>
                <w:kern w:val="0"/>
                <w:sz w:val="21"/>
                <w:szCs w:val="21"/>
                <w:u w:val="none"/>
                <w:lang w:val="en-US" w:eastAsia="zh-CN" w:bidi="ar"/>
              </w:rPr>
              <w:t>&lt;90%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年基金计划参保人数为</w:t>
            </w:r>
            <w:r>
              <w:rPr>
                <w:rFonts w:hint="default" w:ascii="Times New Roman" w:hAnsi="Times New Roman" w:eastAsia="仿宋" w:cs="Times New Roman"/>
                <w:i w:val="0"/>
                <w:iCs w:val="0"/>
                <w:color w:val="000000"/>
                <w:kern w:val="0"/>
                <w:sz w:val="21"/>
                <w:szCs w:val="21"/>
                <w:u w:val="none"/>
                <w:lang w:val="en-US" w:eastAsia="zh-CN" w:bidi="ar"/>
              </w:rPr>
              <w:t>37000</w:t>
            </w:r>
            <w:r>
              <w:rPr>
                <w:rStyle w:val="30"/>
                <w:rFonts w:hint="default" w:ascii="Times New Roman" w:hAnsi="Times New Roman" w:eastAsia="仿宋" w:cs="Times New Roman"/>
                <w:sz w:val="21"/>
                <w:szCs w:val="21"/>
                <w:lang w:val="en-US" w:eastAsia="zh-CN" w:bidi="ar"/>
              </w:rPr>
              <w:t>人，实际参保人数为</w:t>
            </w:r>
            <w:r>
              <w:rPr>
                <w:rFonts w:hint="default" w:ascii="Times New Roman" w:hAnsi="Times New Roman" w:eastAsia="仿宋" w:cs="Times New Roman"/>
                <w:i w:val="0"/>
                <w:iCs w:val="0"/>
                <w:color w:val="000000"/>
                <w:kern w:val="0"/>
                <w:sz w:val="21"/>
                <w:szCs w:val="21"/>
                <w:u w:val="none"/>
                <w:lang w:val="en-US" w:eastAsia="zh-CN" w:bidi="ar"/>
              </w:rPr>
              <w:t>37231</w:t>
            </w:r>
            <w:r>
              <w:rPr>
                <w:rStyle w:val="30"/>
                <w:rFonts w:hint="default" w:ascii="Times New Roman" w:hAnsi="Times New Roman" w:eastAsia="仿宋" w:cs="Times New Roman"/>
                <w:sz w:val="21"/>
                <w:szCs w:val="21"/>
                <w:lang w:val="en-US" w:eastAsia="zh-CN" w:bidi="ar"/>
              </w:rPr>
              <w:t>人，参保人数完成率为</w:t>
            </w:r>
            <w:r>
              <w:rPr>
                <w:rFonts w:hint="default" w:ascii="Times New Roman" w:hAnsi="Times New Roman" w:eastAsia="仿宋" w:cs="Times New Roman"/>
                <w:i w:val="0"/>
                <w:iCs w:val="0"/>
                <w:color w:val="000000"/>
                <w:kern w:val="0"/>
                <w:sz w:val="21"/>
                <w:szCs w:val="21"/>
                <w:u w:val="none"/>
                <w:lang w:val="en-US" w:eastAsia="zh-CN" w:bidi="ar"/>
              </w:rPr>
              <w:t>100.62%</w:t>
            </w:r>
            <w:r>
              <w:rPr>
                <w:rStyle w:val="30"/>
                <w:rFonts w:hint="default" w:ascii="Times New Roman" w:hAnsi="Times New Roman" w:eastAsia="仿宋" w:cs="Times New Roman"/>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参保人数增长率</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参保人数是否较</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年实现增长，用以反映基金保障覆盖面的扩大情况。</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①参保人数增长率</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年底参保人数</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年底参保人数</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年底参保人数</w:t>
            </w:r>
            <w:r>
              <w:rPr>
                <w:rFonts w:hint="default" w:ascii="Times New Roman" w:hAnsi="Times New Roman" w:eastAsia="仿宋" w:cs="Times New Roman"/>
                <w:i w:val="0"/>
                <w:iCs w:val="0"/>
                <w:color w:val="000000"/>
                <w:kern w:val="0"/>
                <w:sz w:val="21"/>
                <w:szCs w:val="21"/>
                <w:u w:val="none"/>
                <w:lang w:val="en-US" w:eastAsia="zh-CN" w:bidi="ar"/>
              </w:rPr>
              <w:t>×100%</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参保人数增长率</w:t>
            </w:r>
            <w:r>
              <w:rPr>
                <w:rFonts w:hint="default" w:ascii="Times New Roman" w:hAnsi="Times New Roman" w:eastAsia="仿宋" w:cs="Times New Roman"/>
                <w:i w:val="0"/>
                <w:iCs w:val="0"/>
                <w:color w:val="000000"/>
                <w:kern w:val="0"/>
                <w:sz w:val="21"/>
                <w:szCs w:val="21"/>
                <w:u w:val="none"/>
                <w:lang w:val="en-US" w:eastAsia="zh-CN" w:bidi="ar"/>
              </w:rPr>
              <w:t>≥</w:t>
            </w:r>
            <w:r>
              <w:rPr>
                <w:rFonts w:hint="eastAsia" w:ascii="Times New Roman" w:hAnsi="Times New Roman" w:eastAsia="仿宋" w:cs="Times New Roman"/>
                <w:i w:val="0"/>
                <w:iCs w:val="0"/>
                <w:color w:val="000000"/>
                <w:kern w:val="0"/>
                <w:sz w:val="21"/>
                <w:szCs w:val="21"/>
                <w:u w:val="none"/>
                <w:lang w:val="en-US" w:eastAsia="zh-CN" w:bidi="ar"/>
              </w:rPr>
              <w:t>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分；参保人数增长率</w:t>
            </w:r>
            <w:r>
              <w:rPr>
                <w:rFonts w:hint="default" w:ascii="Times New Roman" w:hAnsi="Times New Roman" w:eastAsia="仿宋" w:cs="Times New Roman"/>
                <w:i w:val="0"/>
                <w:iCs w:val="0"/>
                <w:color w:val="000000"/>
                <w:kern w:val="0"/>
                <w:sz w:val="21"/>
                <w:szCs w:val="21"/>
                <w:u w:val="none"/>
                <w:lang w:val="en-US" w:eastAsia="zh-CN" w:bidi="ar"/>
              </w:rPr>
              <w:t>&lt;0</w:t>
            </w:r>
            <w:r>
              <w:rPr>
                <w:rStyle w:val="30"/>
                <w:rFonts w:hint="default" w:ascii="Times New Roman" w:hAnsi="Times New Roman" w:eastAsia="仿宋" w:cs="Times New Roman"/>
                <w:sz w:val="21"/>
                <w:szCs w:val="21"/>
                <w:lang w:val="en-US" w:eastAsia="zh-CN" w:bidi="ar"/>
              </w:rPr>
              <w:t>，</w:t>
            </w:r>
            <w:r>
              <w:rPr>
                <w:rStyle w:val="30"/>
                <w:rFonts w:hint="eastAsia" w:ascii="Times New Roman" w:hAnsi="Times New Roman" w:eastAsia="仿宋" w:cs="Times New Roman"/>
                <w:sz w:val="21"/>
                <w:szCs w:val="21"/>
                <w:lang w:val="en-US" w:eastAsia="zh-CN" w:bidi="ar"/>
              </w:rPr>
              <w:t>不得</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kern w:val="0"/>
                <w:sz w:val="21"/>
                <w:szCs w:val="21"/>
                <w:u w:val="none"/>
                <w:lang w:val="en-US" w:eastAsia="zh-CN" w:bidi="ar"/>
              </w:rPr>
              <w:t>5</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年基金参保人数为</w:t>
            </w:r>
            <w:r>
              <w:rPr>
                <w:rFonts w:hint="default" w:ascii="Times New Roman" w:hAnsi="Times New Roman" w:eastAsia="仿宋" w:cs="Times New Roman"/>
                <w:i w:val="0"/>
                <w:iCs w:val="0"/>
                <w:color w:val="000000"/>
                <w:kern w:val="0"/>
                <w:sz w:val="21"/>
                <w:szCs w:val="21"/>
                <w:u w:val="none"/>
                <w:lang w:val="en-US" w:eastAsia="zh-CN" w:bidi="ar"/>
              </w:rPr>
              <w:t>37231</w:t>
            </w:r>
            <w:r>
              <w:rPr>
                <w:rStyle w:val="30"/>
                <w:rFonts w:hint="default" w:ascii="Times New Roman" w:hAnsi="Times New Roman" w:eastAsia="仿宋" w:cs="Times New Roman"/>
                <w:sz w:val="21"/>
                <w:szCs w:val="21"/>
                <w:lang w:val="en-US" w:eastAsia="zh-CN" w:bidi="ar"/>
              </w:rPr>
              <w:t>人，较</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w:t>
            </w:r>
            <w:r>
              <w:rPr>
                <w:rFonts w:hint="default" w:ascii="Times New Roman" w:hAnsi="Times New Roman" w:eastAsia="仿宋" w:cs="Times New Roman"/>
                <w:i w:val="0"/>
                <w:iCs w:val="0"/>
                <w:color w:val="000000"/>
                <w:kern w:val="0"/>
                <w:sz w:val="21"/>
                <w:szCs w:val="21"/>
                <w:u w:val="none"/>
                <w:lang w:val="en-US" w:eastAsia="zh-CN" w:bidi="ar"/>
              </w:rPr>
              <w:t>36528</w:t>
            </w:r>
            <w:r>
              <w:rPr>
                <w:rStyle w:val="30"/>
                <w:rFonts w:hint="default" w:ascii="Times New Roman" w:hAnsi="Times New Roman" w:eastAsia="仿宋" w:cs="Times New Roman"/>
                <w:sz w:val="21"/>
                <w:szCs w:val="21"/>
                <w:lang w:val="en-US" w:eastAsia="zh-CN" w:bidi="ar"/>
              </w:rPr>
              <w:t>人）增长</w:t>
            </w:r>
            <w:r>
              <w:rPr>
                <w:rFonts w:hint="default" w:ascii="Times New Roman" w:hAnsi="Times New Roman" w:eastAsia="仿宋" w:cs="Times New Roman"/>
                <w:i w:val="0"/>
                <w:iCs w:val="0"/>
                <w:color w:val="000000"/>
                <w:kern w:val="0"/>
                <w:sz w:val="21"/>
                <w:szCs w:val="21"/>
                <w:u w:val="none"/>
                <w:lang w:val="en-US" w:eastAsia="zh-CN" w:bidi="ar"/>
              </w:rPr>
              <w:t>1.92%</w:t>
            </w:r>
            <w:r>
              <w:rPr>
                <w:rStyle w:val="30"/>
                <w:rFonts w:hint="default" w:ascii="Times New Roman" w:hAnsi="Times New Roman" w:eastAsia="仿宋" w:cs="Times New Roman"/>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产出质量</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待遇足额发放</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实际待遇与应发待遇的比率，用以反映参保人员当年实际享受的社保待遇。</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①待遇足额发放率</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（全年实际发放待遇</w:t>
            </w:r>
            <w:r>
              <w:rPr>
                <w:rFonts w:hint="default" w:ascii="Times New Roman" w:hAnsi="Times New Roman" w:eastAsia="仿宋" w:cs="Times New Roman"/>
                <w:i w:val="0"/>
                <w:iCs w:val="0"/>
                <w:color w:val="000000"/>
                <w:kern w:val="0"/>
                <w:sz w:val="21"/>
                <w:szCs w:val="21"/>
                <w:u w:val="none"/>
                <w:lang w:val="en-US" w:eastAsia="zh-CN" w:bidi="ar"/>
              </w:rPr>
              <w:t xml:space="preserve"> /</w:t>
            </w:r>
            <w:r>
              <w:rPr>
                <w:rStyle w:val="30"/>
                <w:rFonts w:hint="default" w:ascii="Times New Roman" w:hAnsi="Times New Roman" w:eastAsia="仿宋" w:cs="Times New Roman"/>
                <w:sz w:val="21"/>
                <w:szCs w:val="21"/>
                <w:lang w:val="en-US" w:eastAsia="zh-CN" w:bidi="ar"/>
              </w:rPr>
              <w:t>全年应发放待遇）</w:t>
            </w:r>
            <w:r>
              <w:rPr>
                <w:rFonts w:hint="default" w:ascii="Times New Roman" w:hAnsi="Times New Roman" w:eastAsia="仿宋" w:cs="Times New Roman"/>
                <w:i w:val="0"/>
                <w:iCs w:val="0"/>
                <w:color w:val="000000"/>
                <w:kern w:val="0"/>
                <w:sz w:val="21"/>
                <w:szCs w:val="21"/>
                <w:u w:val="none"/>
                <w:lang w:val="en-US" w:eastAsia="zh-CN" w:bidi="ar"/>
              </w:rPr>
              <w:t>×100%</w:t>
            </w:r>
            <w:r>
              <w:rPr>
                <w:rStyle w:val="30"/>
                <w:rFonts w:hint="default" w:ascii="Times New Roman" w:hAnsi="Times New Roman" w:eastAsia="仿宋" w:cs="Times New Roman"/>
                <w:sz w:val="21"/>
                <w:szCs w:val="21"/>
                <w:lang w:val="en-US" w:eastAsia="zh-CN" w:bidi="ar"/>
              </w:rPr>
              <w:t>。</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待遇足额发放率</w:t>
            </w:r>
            <w:r>
              <w:rPr>
                <w:rFonts w:hint="default" w:ascii="Times New Roman" w:hAnsi="Times New Roman" w:eastAsia="仿宋" w:cs="Times New Roman"/>
                <w:i w:val="0"/>
                <w:iCs w:val="0"/>
                <w:color w:val="000000"/>
                <w:kern w:val="0"/>
                <w:sz w:val="21"/>
                <w:szCs w:val="21"/>
                <w:u w:val="none"/>
                <w:lang w:val="en-US" w:eastAsia="zh-CN" w:bidi="ar"/>
              </w:rPr>
              <w:t>≥100%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95%≤</w:t>
            </w:r>
            <w:r>
              <w:rPr>
                <w:rStyle w:val="30"/>
                <w:rFonts w:hint="default" w:ascii="Times New Roman" w:hAnsi="Times New Roman" w:eastAsia="仿宋" w:cs="Times New Roman"/>
                <w:sz w:val="21"/>
                <w:szCs w:val="21"/>
                <w:lang w:val="en-US" w:eastAsia="zh-CN" w:bidi="ar"/>
              </w:rPr>
              <w:t>待遇足额发放率</w:t>
            </w:r>
            <w:r>
              <w:rPr>
                <w:rFonts w:hint="default" w:ascii="Times New Roman" w:hAnsi="Times New Roman" w:eastAsia="仿宋" w:cs="Times New Roman"/>
                <w:i w:val="0"/>
                <w:iCs w:val="0"/>
                <w:color w:val="000000"/>
                <w:kern w:val="0"/>
                <w:sz w:val="21"/>
                <w:szCs w:val="21"/>
                <w:u w:val="none"/>
                <w:lang w:val="en-US" w:eastAsia="zh-CN" w:bidi="ar"/>
              </w:rPr>
              <w:t>&lt;100%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90%≤</w:t>
            </w:r>
            <w:r>
              <w:rPr>
                <w:rStyle w:val="30"/>
                <w:rFonts w:hint="default" w:ascii="Times New Roman" w:hAnsi="Times New Roman" w:eastAsia="仿宋" w:cs="Times New Roman"/>
                <w:sz w:val="21"/>
                <w:szCs w:val="21"/>
                <w:lang w:val="en-US" w:eastAsia="zh-CN" w:bidi="ar"/>
              </w:rPr>
              <w:t>待遇足额发放率</w:t>
            </w:r>
            <w:r>
              <w:rPr>
                <w:rFonts w:hint="default" w:ascii="Times New Roman" w:hAnsi="Times New Roman" w:eastAsia="仿宋" w:cs="Times New Roman"/>
                <w:i w:val="0"/>
                <w:iCs w:val="0"/>
                <w:color w:val="000000"/>
                <w:kern w:val="0"/>
                <w:sz w:val="21"/>
                <w:szCs w:val="21"/>
                <w:u w:val="none"/>
                <w:lang w:val="en-US" w:eastAsia="zh-CN" w:bidi="ar"/>
              </w:rPr>
              <w:t>&lt;95%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0.5</w:t>
            </w:r>
            <w:r>
              <w:rPr>
                <w:rStyle w:val="30"/>
                <w:rFonts w:hint="default" w:ascii="Times New Roman" w:hAnsi="Times New Roman" w:eastAsia="仿宋" w:cs="Times New Roman"/>
                <w:sz w:val="21"/>
                <w:szCs w:val="21"/>
                <w:lang w:val="en-US" w:eastAsia="zh-CN" w:bidi="ar"/>
              </w:rPr>
              <w:t>分；待遇足额发放率</w:t>
            </w:r>
            <w:r>
              <w:rPr>
                <w:rFonts w:hint="default" w:ascii="Times New Roman" w:hAnsi="Times New Roman" w:eastAsia="仿宋" w:cs="Times New Roman"/>
                <w:i w:val="0"/>
                <w:iCs w:val="0"/>
                <w:color w:val="000000"/>
                <w:kern w:val="0"/>
                <w:sz w:val="21"/>
                <w:szCs w:val="21"/>
                <w:u w:val="none"/>
                <w:lang w:val="en-US" w:eastAsia="zh-CN" w:bidi="ar"/>
              </w:rPr>
              <w:t>&lt;90%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0</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年预算应发待遇（社会保险金）</w:t>
            </w:r>
            <w:r>
              <w:rPr>
                <w:rFonts w:hint="default" w:ascii="Times New Roman" w:hAnsi="Times New Roman" w:eastAsia="仿宋" w:cs="Times New Roman"/>
                <w:i w:val="0"/>
                <w:iCs w:val="0"/>
                <w:color w:val="000000"/>
                <w:kern w:val="0"/>
                <w:sz w:val="21"/>
                <w:szCs w:val="21"/>
                <w:u w:val="none"/>
                <w:lang w:val="en-US" w:eastAsia="zh-CN" w:bidi="ar"/>
              </w:rPr>
              <w:t>1</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856.64</w:t>
            </w:r>
            <w:r>
              <w:rPr>
                <w:rStyle w:val="30"/>
                <w:rFonts w:hint="default" w:ascii="Times New Roman" w:hAnsi="Times New Roman" w:eastAsia="仿宋" w:cs="Times New Roman"/>
                <w:sz w:val="21"/>
                <w:szCs w:val="21"/>
                <w:lang w:val="en-US" w:eastAsia="zh-CN" w:bidi="ar"/>
              </w:rPr>
              <w:t>万元，实际发放待遇</w:t>
            </w:r>
            <w:r>
              <w:rPr>
                <w:rFonts w:hint="default" w:ascii="Times New Roman" w:hAnsi="Times New Roman" w:eastAsia="仿宋" w:cs="Times New Roman"/>
                <w:i w:val="0"/>
                <w:iCs w:val="0"/>
                <w:color w:val="000000"/>
                <w:kern w:val="0"/>
                <w:sz w:val="21"/>
                <w:szCs w:val="21"/>
                <w:u w:val="none"/>
                <w:lang w:val="en-US" w:eastAsia="zh-CN" w:bidi="ar"/>
              </w:rPr>
              <w:t>2</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207.26</w:t>
            </w:r>
            <w:r>
              <w:rPr>
                <w:rStyle w:val="30"/>
                <w:rFonts w:hint="default" w:ascii="Times New Roman" w:hAnsi="Times New Roman" w:eastAsia="仿宋" w:cs="Times New Roman"/>
                <w:sz w:val="21"/>
                <w:szCs w:val="21"/>
                <w:lang w:val="en-US" w:eastAsia="zh-CN" w:bidi="ar"/>
              </w:rPr>
              <w:t>万元，待遇足额发放率为</w:t>
            </w:r>
            <w:r>
              <w:rPr>
                <w:rFonts w:hint="default" w:ascii="Times New Roman" w:hAnsi="Times New Roman" w:eastAsia="仿宋" w:cs="Times New Roman"/>
                <w:i w:val="0"/>
                <w:iCs w:val="0"/>
                <w:color w:val="000000"/>
                <w:kern w:val="0"/>
                <w:sz w:val="21"/>
                <w:szCs w:val="21"/>
                <w:u w:val="none"/>
                <w:lang w:val="en-US" w:eastAsia="zh-CN" w:bidi="ar"/>
              </w:rPr>
              <w:t>118.88%</w:t>
            </w:r>
            <w:r>
              <w:rPr>
                <w:rStyle w:val="30"/>
                <w:rFonts w:hint="default" w:ascii="Times New Roman" w:hAnsi="Times New Roman" w:eastAsia="仿宋" w:cs="Times New Roman"/>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待遇准确发放</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社保待遇是否按规定准确发放，用以反映待遇发放的准确性。</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待遇全部准确发放，得</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分；基本准确；得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分；不准确发放，得</w:t>
            </w:r>
            <w:r>
              <w:rPr>
                <w:rFonts w:hint="default" w:ascii="Times New Roman" w:hAnsi="Times New Roman" w:eastAsia="仿宋" w:cs="Times New Roman"/>
                <w:i w:val="0"/>
                <w:iCs w:val="0"/>
                <w:color w:val="000000"/>
                <w:kern w:val="0"/>
                <w:sz w:val="21"/>
                <w:szCs w:val="21"/>
                <w:u w:val="none"/>
                <w:lang w:val="en-US" w:eastAsia="zh-CN" w:bidi="ar"/>
              </w:rPr>
              <w:t>0</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经过查阅基金</w:t>
            </w: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年的明细账，待遇发放财务人员根据业务部门提供的数据进行发放，但在</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回头看</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专项整治中发现多起多稽核需退回情形，总体基本准确发放，根据评分标准，本项指标扣</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产出成本</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0"/>
                <w:rFonts w:hint="default" w:ascii="Times New Roman" w:hAnsi="Times New Roman" w:eastAsia="仿宋" w:cs="Times New Roman"/>
                <w:sz w:val="21"/>
                <w:szCs w:val="21"/>
                <w:lang w:val="en-US" w:eastAsia="zh-CN" w:bidi="ar"/>
              </w:rPr>
            </w:pPr>
            <w:r>
              <w:rPr>
                <w:rStyle w:val="30"/>
                <w:rFonts w:hint="default" w:ascii="Times New Roman" w:hAnsi="Times New Roman" w:eastAsia="仿宋" w:cs="Times New Roman"/>
                <w:sz w:val="21"/>
                <w:szCs w:val="21"/>
                <w:lang w:val="en-US" w:eastAsia="zh-CN" w:bidi="ar"/>
              </w:rPr>
              <w:t>成本</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节约率</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基金为实现年度绩效目标是否有效降低成本，用以反映基金成本节约程度。</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①成本节约率</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（计划成本</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实际成本）</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计划成本</w:t>
            </w:r>
            <w:r>
              <w:rPr>
                <w:rFonts w:hint="default" w:ascii="Times New Roman" w:hAnsi="Times New Roman" w:eastAsia="仿宋" w:cs="Times New Roman"/>
                <w:i w:val="0"/>
                <w:iCs w:val="0"/>
                <w:color w:val="000000"/>
                <w:kern w:val="0"/>
                <w:sz w:val="21"/>
                <w:szCs w:val="21"/>
                <w:u w:val="none"/>
                <w:lang w:val="en-US" w:eastAsia="zh-CN" w:bidi="ar"/>
              </w:rPr>
              <w:t>×100%</w:t>
            </w:r>
            <w:r>
              <w:rPr>
                <w:rStyle w:val="30"/>
                <w:rFonts w:hint="default" w:ascii="Times New Roman" w:hAnsi="Times New Roman" w:eastAsia="仿宋" w:cs="Times New Roman"/>
                <w:sz w:val="21"/>
                <w:szCs w:val="21"/>
                <w:lang w:val="en-US" w:eastAsia="zh-CN" w:bidi="ar"/>
              </w:rPr>
              <w:t>。</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成本节约率</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成本节约率</w:t>
            </w:r>
            <w:r>
              <w:rPr>
                <w:rFonts w:hint="default" w:ascii="Times New Roman" w:hAnsi="Times New Roman" w:eastAsia="仿宋" w:cs="Times New Roman"/>
                <w:i w:val="0"/>
                <w:iCs w:val="0"/>
                <w:color w:val="000000"/>
                <w:kern w:val="0"/>
                <w:sz w:val="21"/>
                <w:szCs w:val="21"/>
                <w:u w:val="none"/>
                <w:lang w:val="en-US" w:eastAsia="zh-CN" w:bidi="ar"/>
              </w:rPr>
              <w:t>&lt;5%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0≤</w:t>
            </w:r>
            <w:r>
              <w:rPr>
                <w:rStyle w:val="30"/>
                <w:rFonts w:hint="default" w:ascii="Times New Roman" w:hAnsi="Times New Roman" w:eastAsia="仿宋" w:cs="Times New Roman"/>
                <w:sz w:val="21"/>
                <w:szCs w:val="21"/>
                <w:lang w:val="en-US" w:eastAsia="zh-CN" w:bidi="ar"/>
              </w:rPr>
              <w:t>成本节约率</w:t>
            </w:r>
            <w:r>
              <w:rPr>
                <w:rFonts w:hint="default" w:ascii="Times New Roman" w:hAnsi="Times New Roman" w:eastAsia="仿宋" w:cs="Times New Roman"/>
                <w:i w:val="0"/>
                <w:iCs w:val="0"/>
                <w:color w:val="000000"/>
                <w:kern w:val="0"/>
                <w:sz w:val="21"/>
                <w:szCs w:val="21"/>
                <w:u w:val="none"/>
                <w:lang w:val="en-US" w:eastAsia="zh-CN" w:bidi="ar"/>
              </w:rPr>
              <w:t>&lt;1%</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分；成本节约率</w:t>
            </w:r>
            <w:r>
              <w:rPr>
                <w:rFonts w:hint="default" w:ascii="Times New Roman" w:hAnsi="Times New Roman" w:eastAsia="仿宋" w:cs="Times New Roman"/>
                <w:i w:val="0"/>
                <w:iCs w:val="0"/>
                <w:color w:val="000000"/>
                <w:kern w:val="0"/>
                <w:sz w:val="21"/>
                <w:szCs w:val="21"/>
                <w:u w:val="none"/>
                <w:lang w:val="en-US" w:eastAsia="zh-CN" w:bidi="ar"/>
              </w:rPr>
              <w:t>&lt;0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0.5</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年基金的计划成本为</w:t>
            </w:r>
            <w:r>
              <w:rPr>
                <w:rFonts w:hint="default" w:ascii="Times New Roman" w:hAnsi="Times New Roman" w:eastAsia="仿宋" w:cs="Times New Roman"/>
                <w:i w:val="0"/>
                <w:iCs w:val="0"/>
                <w:color w:val="000000"/>
                <w:kern w:val="0"/>
                <w:sz w:val="21"/>
                <w:szCs w:val="21"/>
                <w:u w:val="none"/>
                <w:lang w:val="en-US" w:eastAsia="zh-CN" w:bidi="ar"/>
              </w:rPr>
              <w:t>1</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958.64</w:t>
            </w:r>
            <w:r>
              <w:rPr>
                <w:rStyle w:val="30"/>
                <w:rFonts w:hint="default" w:ascii="Times New Roman" w:hAnsi="Times New Roman" w:eastAsia="仿宋" w:cs="Times New Roman"/>
                <w:sz w:val="21"/>
                <w:szCs w:val="21"/>
                <w:lang w:val="en-US" w:eastAsia="zh-CN" w:bidi="ar"/>
              </w:rPr>
              <w:t>万元，实际成本为</w:t>
            </w:r>
            <w:r>
              <w:rPr>
                <w:rFonts w:hint="default" w:ascii="Times New Roman" w:hAnsi="Times New Roman" w:eastAsia="仿宋" w:cs="Times New Roman"/>
                <w:i w:val="0"/>
                <w:iCs w:val="0"/>
                <w:color w:val="000000"/>
                <w:kern w:val="0"/>
                <w:sz w:val="21"/>
                <w:szCs w:val="21"/>
                <w:u w:val="none"/>
                <w:lang w:val="en-US" w:eastAsia="zh-CN" w:bidi="ar"/>
              </w:rPr>
              <w:t>2</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349.17</w:t>
            </w:r>
            <w:r>
              <w:rPr>
                <w:rStyle w:val="30"/>
                <w:rFonts w:hint="default" w:ascii="Times New Roman" w:hAnsi="Times New Roman" w:eastAsia="仿宋" w:cs="Times New Roman"/>
                <w:sz w:val="21"/>
                <w:szCs w:val="21"/>
                <w:lang w:val="en-US" w:eastAsia="zh-CN" w:bidi="ar"/>
              </w:rPr>
              <w:t>万元，成本节约率为</w:t>
            </w:r>
            <w:r>
              <w:rPr>
                <w:rFonts w:hint="default" w:ascii="Times New Roman" w:hAnsi="Times New Roman" w:eastAsia="仿宋" w:cs="Times New Roman"/>
                <w:i w:val="0"/>
                <w:iCs w:val="0"/>
                <w:color w:val="000000"/>
                <w:kern w:val="0"/>
                <w:sz w:val="21"/>
                <w:szCs w:val="21"/>
                <w:u w:val="none"/>
                <w:lang w:val="en-US" w:eastAsia="zh-CN" w:bidi="ar"/>
              </w:rPr>
              <w:t>-19.94%</w:t>
            </w:r>
            <w:r>
              <w:rPr>
                <w:rStyle w:val="30"/>
                <w:rFonts w:hint="default" w:ascii="Times New Roman" w:hAnsi="Times New Roman" w:eastAsia="仿宋" w:cs="Times New Roman"/>
                <w:sz w:val="21"/>
                <w:szCs w:val="21"/>
                <w:lang w:val="en-US" w:eastAsia="zh-CN" w:bidi="ar"/>
              </w:rPr>
              <w:t>，实际成本超过计划成本。根据评分标准，本项指标扣</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产出时效</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待遇及时发放</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社保待遇是否按规定时限发放，用以反映待遇发放的及时性。</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待遇全部及时发放，得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分；基本及时；得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分；不及时发放，得</w:t>
            </w:r>
            <w:r>
              <w:rPr>
                <w:rFonts w:hint="default" w:ascii="Times New Roman" w:hAnsi="Times New Roman" w:eastAsia="仿宋" w:cs="Times New Roman"/>
                <w:i w:val="0"/>
                <w:iCs w:val="0"/>
                <w:color w:val="000000"/>
                <w:kern w:val="0"/>
                <w:sz w:val="21"/>
                <w:szCs w:val="21"/>
                <w:u w:val="none"/>
                <w:lang w:val="en-US" w:eastAsia="zh-CN" w:bidi="ar"/>
              </w:rPr>
              <w:t>0</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经过查阅基金</w:t>
            </w: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年的明细账，月度养老待遇发放的记账日期分别为</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月的</w:t>
            </w:r>
            <w:r>
              <w:rPr>
                <w:rFonts w:hint="default" w:ascii="Times New Roman" w:hAnsi="Times New Roman" w:eastAsia="仿宋" w:cs="Times New Roman"/>
                <w:i w:val="0"/>
                <w:iCs w:val="0"/>
                <w:color w:val="000000"/>
                <w:kern w:val="0"/>
                <w:sz w:val="21"/>
                <w:szCs w:val="21"/>
                <w:u w:val="none"/>
                <w:lang w:val="en-US" w:eastAsia="zh-CN" w:bidi="ar"/>
              </w:rPr>
              <w:t>24</w:t>
            </w:r>
            <w:r>
              <w:rPr>
                <w:rStyle w:val="30"/>
                <w:rFonts w:hint="default" w:ascii="Times New Roman" w:hAnsi="Times New Roman" w:eastAsia="仿宋" w:cs="Times New Roman"/>
                <w:sz w:val="21"/>
                <w:szCs w:val="21"/>
                <w:lang w:val="en-US" w:eastAsia="zh-CN" w:bidi="ar"/>
              </w:rPr>
              <w:t>日、</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月的</w:t>
            </w:r>
            <w:r>
              <w:rPr>
                <w:rFonts w:hint="default" w:ascii="Times New Roman" w:hAnsi="Times New Roman" w:eastAsia="仿宋" w:cs="Times New Roman"/>
                <w:i w:val="0"/>
                <w:iCs w:val="0"/>
                <w:color w:val="000000"/>
                <w:kern w:val="0"/>
                <w:sz w:val="21"/>
                <w:szCs w:val="21"/>
                <w:u w:val="none"/>
                <w:lang w:val="en-US" w:eastAsia="zh-CN" w:bidi="ar"/>
              </w:rPr>
              <w:t>25</w:t>
            </w:r>
            <w:r>
              <w:rPr>
                <w:rStyle w:val="30"/>
                <w:rFonts w:hint="default" w:ascii="Times New Roman" w:hAnsi="Times New Roman" w:eastAsia="仿宋" w:cs="Times New Roman"/>
                <w:sz w:val="21"/>
                <w:szCs w:val="21"/>
                <w:lang w:val="en-US" w:eastAsia="zh-CN" w:bidi="ar"/>
              </w:rPr>
              <w:t>日、</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月的</w:t>
            </w:r>
            <w:r>
              <w:rPr>
                <w:rFonts w:hint="default" w:ascii="Times New Roman" w:hAnsi="Times New Roman" w:eastAsia="仿宋" w:cs="Times New Roman"/>
                <w:i w:val="0"/>
                <w:iCs w:val="0"/>
                <w:color w:val="000000"/>
                <w:kern w:val="0"/>
                <w:sz w:val="21"/>
                <w:szCs w:val="21"/>
                <w:u w:val="none"/>
                <w:lang w:val="en-US" w:eastAsia="zh-CN" w:bidi="ar"/>
              </w:rPr>
              <w:t>28</w:t>
            </w:r>
            <w:r>
              <w:rPr>
                <w:rStyle w:val="30"/>
                <w:rFonts w:hint="default" w:ascii="Times New Roman" w:hAnsi="Times New Roman" w:eastAsia="仿宋" w:cs="Times New Roman"/>
                <w:sz w:val="21"/>
                <w:szCs w:val="21"/>
                <w:lang w:val="en-US" w:eastAsia="zh-CN" w:bidi="ar"/>
              </w:rPr>
              <w:t>日、</w:t>
            </w:r>
            <w:r>
              <w:rPr>
                <w:rFonts w:hint="default" w:ascii="Times New Roman" w:hAnsi="Times New Roman" w:eastAsia="仿宋" w:cs="Times New Roman"/>
                <w:i w:val="0"/>
                <w:iCs w:val="0"/>
                <w:color w:val="000000"/>
                <w:kern w:val="0"/>
                <w:sz w:val="21"/>
                <w:szCs w:val="21"/>
                <w:u w:val="none"/>
                <w:lang w:val="en-US" w:eastAsia="zh-CN" w:bidi="ar"/>
              </w:rPr>
              <w:t>4</w:t>
            </w:r>
            <w:r>
              <w:rPr>
                <w:rStyle w:val="30"/>
                <w:rFonts w:hint="default" w:ascii="Times New Roman" w:hAnsi="Times New Roman" w:eastAsia="仿宋" w:cs="Times New Roman"/>
                <w:sz w:val="21"/>
                <w:szCs w:val="21"/>
                <w:lang w:val="en-US" w:eastAsia="zh-CN" w:bidi="ar"/>
              </w:rPr>
              <w:t>月的</w:t>
            </w:r>
            <w:r>
              <w:rPr>
                <w:rFonts w:hint="default" w:ascii="Times New Roman" w:hAnsi="Times New Roman" w:eastAsia="仿宋" w:cs="Times New Roman"/>
                <w:i w:val="0"/>
                <w:iCs w:val="0"/>
                <w:color w:val="000000"/>
                <w:kern w:val="0"/>
                <w:sz w:val="21"/>
                <w:szCs w:val="21"/>
                <w:u w:val="none"/>
                <w:lang w:val="en-US" w:eastAsia="zh-CN" w:bidi="ar"/>
              </w:rPr>
              <w:t>27</w:t>
            </w:r>
            <w:r>
              <w:rPr>
                <w:rStyle w:val="30"/>
                <w:rFonts w:hint="default" w:ascii="Times New Roman" w:hAnsi="Times New Roman" w:eastAsia="仿宋" w:cs="Times New Roman"/>
                <w:sz w:val="21"/>
                <w:szCs w:val="21"/>
                <w:lang w:val="en-US" w:eastAsia="zh-CN" w:bidi="ar"/>
              </w:rPr>
              <w:t>日、</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月的</w:t>
            </w:r>
            <w:r>
              <w:rPr>
                <w:rFonts w:hint="default" w:ascii="Times New Roman" w:hAnsi="Times New Roman" w:eastAsia="仿宋" w:cs="Times New Roman"/>
                <w:i w:val="0"/>
                <w:iCs w:val="0"/>
                <w:color w:val="000000"/>
                <w:kern w:val="0"/>
                <w:sz w:val="21"/>
                <w:szCs w:val="21"/>
                <w:u w:val="none"/>
                <w:lang w:val="en-US" w:eastAsia="zh-CN" w:bidi="ar"/>
              </w:rPr>
              <w:t>30</w:t>
            </w:r>
            <w:r>
              <w:rPr>
                <w:rStyle w:val="30"/>
                <w:rFonts w:hint="default" w:ascii="Times New Roman" w:hAnsi="Times New Roman" w:eastAsia="仿宋" w:cs="Times New Roman"/>
                <w:sz w:val="21"/>
                <w:szCs w:val="21"/>
                <w:lang w:val="en-US" w:eastAsia="zh-CN" w:bidi="ar"/>
              </w:rPr>
              <w:t>日、</w:t>
            </w:r>
            <w:r>
              <w:rPr>
                <w:rFonts w:hint="default" w:ascii="Times New Roman" w:hAnsi="Times New Roman" w:eastAsia="仿宋" w:cs="Times New Roman"/>
                <w:i w:val="0"/>
                <w:iCs w:val="0"/>
                <w:color w:val="000000"/>
                <w:kern w:val="0"/>
                <w:sz w:val="21"/>
                <w:szCs w:val="21"/>
                <w:u w:val="none"/>
                <w:lang w:val="en-US" w:eastAsia="zh-CN" w:bidi="ar"/>
              </w:rPr>
              <w:t>6</w:t>
            </w:r>
            <w:r>
              <w:rPr>
                <w:rStyle w:val="30"/>
                <w:rFonts w:hint="default" w:ascii="Times New Roman" w:hAnsi="Times New Roman" w:eastAsia="仿宋" w:cs="Times New Roman"/>
                <w:sz w:val="21"/>
                <w:szCs w:val="21"/>
                <w:lang w:val="en-US" w:eastAsia="zh-CN" w:bidi="ar"/>
              </w:rPr>
              <w:t>月的</w:t>
            </w:r>
            <w:r>
              <w:rPr>
                <w:rFonts w:hint="default" w:ascii="Times New Roman" w:hAnsi="Times New Roman" w:eastAsia="仿宋" w:cs="Times New Roman"/>
                <w:i w:val="0"/>
                <w:iCs w:val="0"/>
                <w:color w:val="000000"/>
                <w:kern w:val="0"/>
                <w:sz w:val="21"/>
                <w:szCs w:val="21"/>
                <w:u w:val="none"/>
                <w:lang w:val="en-US" w:eastAsia="zh-CN" w:bidi="ar"/>
              </w:rPr>
              <w:t>29</w:t>
            </w:r>
            <w:r>
              <w:rPr>
                <w:rStyle w:val="30"/>
                <w:rFonts w:hint="default" w:ascii="Times New Roman" w:hAnsi="Times New Roman" w:eastAsia="仿宋" w:cs="Times New Roman"/>
                <w:sz w:val="21"/>
                <w:szCs w:val="21"/>
                <w:lang w:val="en-US" w:eastAsia="zh-CN" w:bidi="ar"/>
              </w:rPr>
              <w:t>日、</w:t>
            </w:r>
            <w:r>
              <w:rPr>
                <w:rFonts w:hint="default" w:ascii="Times New Roman" w:hAnsi="Times New Roman" w:eastAsia="仿宋" w:cs="Times New Roman"/>
                <w:i w:val="0"/>
                <w:iCs w:val="0"/>
                <w:color w:val="000000"/>
                <w:kern w:val="0"/>
                <w:sz w:val="21"/>
                <w:szCs w:val="21"/>
                <w:u w:val="none"/>
                <w:lang w:val="en-US" w:eastAsia="zh-CN" w:bidi="ar"/>
              </w:rPr>
              <w:t>7</w:t>
            </w:r>
            <w:r>
              <w:rPr>
                <w:rStyle w:val="30"/>
                <w:rFonts w:hint="default" w:ascii="Times New Roman" w:hAnsi="Times New Roman" w:eastAsia="仿宋" w:cs="Times New Roman"/>
                <w:sz w:val="21"/>
                <w:szCs w:val="21"/>
                <w:lang w:val="en-US" w:eastAsia="zh-CN" w:bidi="ar"/>
              </w:rPr>
              <w:t>月的</w:t>
            </w:r>
            <w:r>
              <w:rPr>
                <w:rFonts w:hint="default" w:ascii="Times New Roman" w:hAnsi="Times New Roman" w:eastAsia="仿宋" w:cs="Times New Roman"/>
                <w:i w:val="0"/>
                <w:iCs w:val="0"/>
                <w:color w:val="000000"/>
                <w:kern w:val="0"/>
                <w:sz w:val="21"/>
                <w:szCs w:val="21"/>
                <w:u w:val="none"/>
                <w:lang w:val="en-US" w:eastAsia="zh-CN" w:bidi="ar"/>
              </w:rPr>
              <w:t>27</w:t>
            </w:r>
            <w:r>
              <w:rPr>
                <w:rStyle w:val="30"/>
                <w:rFonts w:hint="default" w:ascii="Times New Roman" w:hAnsi="Times New Roman" w:eastAsia="仿宋" w:cs="Times New Roman"/>
                <w:sz w:val="21"/>
                <w:szCs w:val="21"/>
                <w:lang w:val="en-US" w:eastAsia="zh-CN" w:bidi="ar"/>
              </w:rPr>
              <w:t>日、</w:t>
            </w:r>
            <w:r>
              <w:rPr>
                <w:rFonts w:hint="default" w:ascii="Times New Roman" w:hAnsi="Times New Roman" w:eastAsia="仿宋" w:cs="Times New Roman"/>
                <w:i w:val="0"/>
                <w:iCs w:val="0"/>
                <w:color w:val="000000"/>
                <w:kern w:val="0"/>
                <w:sz w:val="21"/>
                <w:szCs w:val="21"/>
                <w:u w:val="none"/>
                <w:lang w:val="en-US" w:eastAsia="zh-CN" w:bidi="ar"/>
              </w:rPr>
              <w:t>8</w:t>
            </w:r>
            <w:r>
              <w:rPr>
                <w:rStyle w:val="30"/>
                <w:rFonts w:hint="default" w:ascii="Times New Roman" w:hAnsi="Times New Roman" w:eastAsia="仿宋" w:cs="Times New Roman"/>
                <w:sz w:val="21"/>
                <w:szCs w:val="21"/>
                <w:lang w:val="en-US" w:eastAsia="zh-CN" w:bidi="ar"/>
              </w:rPr>
              <w:t>月的</w:t>
            </w:r>
            <w:r>
              <w:rPr>
                <w:rFonts w:hint="default" w:ascii="Times New Roman" w:hAnsi="Times New Roman" w:eastAsia="仿宋" w:cs="Times New Roman"/>
                <w:i w:val="0"/>
                <w:iCs w:val="0"/>
                <w:color w:val="000000"/>
                <w:kern w:val="0"/>
                <w:sz w:val="21"/>
                <w:szCs w:val="21"/>
                <w:u w:val="none"/>
                <w:lang w:val="en-US" w:eastAsia="zh-CN" w:bidi="ar"/>
              </w:rPr>
              <w:t>30</w:t>
            </w:r>
            <w:r>
              <w:rPr>
                <w:rStyle w:val="30"/>
                <w:rFonts w:hint="default" w:ascii="Times New Roman" w:hAnsi="Times New Roman" w:eastAsia="仿宋" w:cs="Times New Roman"/>
                <w:sz w:val="21"/>
                <w:szCs w:val="21"/>
                <w:lang w:val="en-US" w:eastAsia="zh-CN" w:bidi="ar"/>
              </w:rPr>
              <w:t>日、</w:t>
            </w:r>
            <w:r>
              <w:rPr>
                <w:rFonts w:hint="default" w:ascii="Times New Roman" w:hAnsi="Times New Roman" w:eastAsia="仿宋" w:cs="Times New Roman"/>
                <w:i w:val="0"/>
                <w:iCs w:val="0"/>
                <w:color w:val="000000"/>
                <w:kern w:val="0"/>
                <w:sz w:val="21"/>
                <w:szCs w:val="21"/>
                <w:u w:val="none"/>
                <w:lang w:val="en-US" w:eastAsia="zh-CN" w:bidi="ar"/>
              </w:rPr>
              <w:t>9</w:t>
            </w:r>
            <w:r>
              <w:rPr>
                <w:rStyle w:val="30"/>
                <w:rFonts w:hint="default" w:ascii="Times New Roman" w:hAnsi="Times New Roman" w:eastAsia="仿宋" w:cs="Times New Roman"/>
                <w:sz w:val="21"/>
                <w:szCs w:val="21"/>
                <w:lang w:val="en-US" w:eastAsia="zh-CN" w:bidi="ar"/>
              </w:rPr>
              <w:t>月的</w:t>
            </w:r>
            <w:r>
              <w:rPr>
                <w:rFonts w:hint="default" w:ascii="Times New Roman" w:hAnsi="Times New Roman" w:eastAsia="仿宋" w:cs="Times New Roman"/>
                <w:i w:val="0"/>
                <w:iCs w:val="0"/>
                <w:color w:val="000000"/>
                <w:kern w:val="0"/>
                <w:sz w:val="21"/>
                <w:szCs w:val="21"/>
                <w:u w:val="none"/>
                <w:lang w:val="en-US" w:eastAsia="zh-CN" w:bidi="ar"/>
              </w:rPr>
              <w:t>28</w:t>
            </w:r>
            <w:r>
              <w:rPr>
                <w:rStyle w:val="30"/>
                <w:rFonts w:hint="default" w:ascii="Times New Roman" w:hAnsi="Times New Roman" w:eastAsia="仿宋" w:cs="Times New Roman"/>
                <w:sz w:val="21"/>
                <w:szCs w:val="21"/>
                <w:lang w:val="en-US" w:eastAsia="zh-CN" w:bidi="ar"/>
              </w:rPr>
              <w:t>日、</w:t>
            </w:r>
            <w:r>
              <w:rPr>
                <w:rFonts w:hint="default" w:ascii="Times New Roman" w:hAnsi="Times New Roman" w:eastAsia="仿宋" w:cs="Times New Roman"/>
                <w:i w:val="0"/>
                <w:iCs w:val="0"/>
                <w:color w:val="000000"/>
                <w:kern w:val="0"/>
                <w:sz w:val="21"/>
                <w:szCs w:val="21"/>
                <w:u w:val="none"/>
                <w:lang w:val="en-US" w:eastAsia="zh-CN" w:bidi="ar"/>
              </w:rPr>
              <w:t>10</w:t>
            </w:r>
            <w:r>
              <w:rPr>
                <w:rStyle w:val="30"/>
                <w:rFonts w:hint="default" w:ascii="Times New Roman" w:hAnsi="Times New Roman" w:eastAsia="仿宋" w:cs="Times New Roman"/>
                <w:sz w:val="21"/>
                <w:szCs w:val="21"/>
                <w:lang w:val="en-US" w:eastAsia="zh-CN" w:bidi="ar"/>
              </w:rPr>
              <w:t>月的</w:t>
            </w:r>
            <w:r>
              <w:rPr>
                <w:rFonts w:hint="default" w:ascii="Times New Roman" w:hAnsi="Times New Roman" w:eastAsia="仿宋" w:cs="Times New Roman"/>
                <w:i w:val="0"/>
                <w:iCs w:val="0"/>
                <w:color w:val="000000"/>
                <w:kern w:val="0"/>
                <w:sz w:val="21"/>
                <w:szCs w:val="21"/>
                <w:u w:val="none"/>
                <w:lang w:val="en-US" w:eastAsia="zh-CN" w:bidi="ar"/>
              </w:rPr>
              <w:t>26</w:t>
            </w:r>
            <w:r>
              <w:rPr>
                <w:rStyle w:val="30"/>
                <w:rFonts w:hint="default" w:ascii="Times New Roman" w:hAnsi="Times New Roman" w:eastAsia="仿宋" w:cs="Times New Roman"/>
                <w:sz w:val="21"/>
                <w:szCs w:val="21"/>
                <w:lang w:val="en-US" w:eastAsia="zh-CN" w:bidi="ar"/>
              </w:rPr>
              <w:t>日、</w:t>
            </w:r>
            <w:r>
              <w:rPr>
                <w:rFonts w:hint="default" w:ascii="Times New Roman" w:hAnsi="Times New Roman" w:eastAsia="仿宋" w:cs="Times New Roman"/>
                <w:i w:val="0"/>
                <w:iCs w:val="0"/>
                <w:color w:val="000000"/>
                <w:kern w:val="0"/>
                <w:sz w:val="21"/>
                <w:szCs w:val="21"/>
                <w:u w:val="none"/>
                <w:lang w:val="en-US" w:eastAsia="zh-CN" w:bidi="ar"/>
              </w:rPr>
              <w:t>11</w:t>
            </w:r>
            <w:r>
              <w:rPr>
                <w:rStyle w:val="30"/>
                <w:rFonts w:hint="default" w:ascii="Times New Roman" w:hAnsi="Times New Roman" w:eastAsia="仿宋" w:cs="Times New Roman"/>
                <w:sz w:val="21"/>
                <w:szCs w:val="21"/>
                <w:lang w:val="en-US" w:eastAsia="zh-CN" w:bidi="ar"/>
              </w:rPr>
              <w:t>月的</w:t>
            </w:r>
            <w:r>
              <w:rPr>
                <w:rFonts w:hint="default" w:ascii="Times New Roman" w:hAnsi="Times New Roman" w:eastAsia="仿宋" w:cs="Times New Roman"/>
                <w:i w:val="0"/>
                <w:iCs w:val="0"/>
                <w:color w:val="000000"/>
                <w:kern w:val="0"/>
                <w:sz w:val="21"/>
                <w:szCs w:val="21"/>
                <w:u w:val="none"/>
                <w:lang w:val="en-US" w:eastAsia="zh-CN" w:bidi="ar"/>
              </w:rPr>
              <w:t>25</w:t>
            </w:r>
            <w:r>
              <w:rPr>
                <w:rStyle w:val="30"/>
                <w:rFonts w:hint="default" w:ascii="Times New Roman" w:hAnsi="Times New Roman" w:eastAsia="仿宋" w:cs="Times New Roman"/>
                <w:sz w:val="21"/>
                <w:szCs w:val="21"/>
                <w:lang w:val="en-US" w:eastAsia="zh-CN" w:bidi="ar"/>
              </w:rPr>
              <w:t>日以及</w:t>
            </w:r>
            <w:r>
              <w:rPr>
                <w:rFonts w:hint="default" w:ascii="Times New Roman" w:hAnsi="Times New Roman" w:eastAsia="仿宋" w:cs="Times New Roman"/>
                <w:i w:val="0"/>
                <w:iCs w:val="0"/>
                <w:color w:val="000000"/>
                <w:kern w:val="0"/>
                <w:sz w:val="21"/>
                <w:szCs w:val="21"/>
                <w:u w:val="none"/>
                <w:lang w:val="en-US" w:eastAsia="zh-CN" w:bidi="ar"/>
              </w:rPr>
              <w:t>12</w:t>
            </w:r>
            <w:r>
              <w:rPr>
                <w:rStyle w:val="30"/>
                <w:rFonts w:hint="default" w:ascii="Times New Roman" w:hAnsi="Times New Roman" w:eastAsia="仿宋" w:cs="Times New Roman"/>
                <w:sz w:val="21"/>
                <w:szCs w:val="21"/>
                <w:lang w:val="en-US" w:eastAsia="zh-CN" w:bidi="ar"/>
              </w:rPr>
              <w:t>月的</w:t>
            </w:r>
            <w:r>
              <w:rPr>
                <w:rFonts w:hint="default" w:ascii="Times New Roman" w:hAnsi="Times New Roman" w:eastAsia="仿宋" w:cs="Times New Roman"/>
                <w:i w:val="0"/>
                <w:iCs w:val="0"/>
                <w:color w:val="000000"/>
                <w:kern w:val="0"/>
                <w:sz w:val="21"/>
                <w:szCs w:val="21"/>
                <w:u w:val="none"/>
                <w:lang w:val="en-US" w:eastAsia="zh-CN" w:bidi="ar"/>
              </w:rPr>
              <w:t>15</w:t>
            </w:r>
            <w:r>
              <w:rPr>
                <w:rStyle w:val="30"/>
                <w:rFonts w:hint="default" w:ascii="Times New Roman" w:hAnsi="Times New Roman" w:eastAsia="仿宋" w:cs="Times New Roman"/>
                <w:sz w:val="21"/>
                <w:szCs w:val="21"/>
                <w:lang w:val="en-US" w:eastAsia="zh-CN" w:bidi="ar"/>
              </w:rPr>
              <w:t>日。访谈了解到制度规定是每个月25日前将待遇资金汇付到开户行交通银行，到达参保人员的时间会有不同，如果是同行最快，城商行或者信用社最慢，但一般都会在月底到达个人账户。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jc w:val="center"/>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效益</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（30分）</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社会效益</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（15分）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养老待遇水平提升</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10</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30"/>
                <w:rFonts w:hint="default" w:ascii="Times New Roman" w:hAnsi="Times New Roman" w:eastAsia="仿宋" w:cs="Times New Roman"/>
                <w:sz w:val="21"/>
                <w:szCs w:val="21"/>
                <w:lang w:val="en-US" w:eastAsia="zh-CN" w:bidi="ar"/>
              </w:rPr>
            </w:pPr>
            <w:r>
              <w:rPr>
                <w:rStyle w:val="30"/>
                <w:rFonts w:hint="default" w:ascii="Times New Roman" w:hAnsi="Times New Roman" w:eastAsia="仿宋" w:cs="Times New Roman"/>
                <w:sz w:val="21"/>
                <w:szCs w:val="21"/>
                <w:lang w:val="en-US" w:eastAsia="zh-CN" w:bidi="ar"/>
              </w:rPr>
              <w:t>参保人员养老待遇水平是否提升，用以反映保险保障力度。</w:t>
            </w:r>
          </w:p>
          <w:p>
            <w:pPr>
              <w:pStyle w:val="11"/>
              <w:rPr>
                <w:rFonts w:hint="default"/>
              </w:rPr>
            </w:pPr>
            <w:r>
              <w:rPr>
                <w:rStyle w:val="30"/>
                <w:rFonts w:hint="default" w:ascii="Times New Roman" w:hAnsi="Times New Roman" w:eastAsia="仿宋" w:cs="Times New Roman"/>
                <w:sz w:val="21"/>
                <w:szCs w:val="21"/>
                <w:lang w:val="en-US" w:eastAsia="zh-CN" w:bidi="ar"/>
              </w:rPr>
              <w:t>①月人均养老金增长率</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年月人均养老金</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年月人均养老金）</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年月人均养老金</w:t>
            </w:r>
            <w:r>
              <w:rPr>
                <w:rFonts w:hint="default" w:ascii="Times New Roman" w:hAnsi="Times New Roman" w:eastAsia="仿宋" w:cs="Times New Roman"/>
                <w:i w:val="0"/>
                <w:iCs w:val="0"/>
                <w:color w:val="000000"/>
                <w:kern w:val="0"/>
                <w:sz w:val="21"/>
                <w:szCs w:val="21"/>
                <w:u w:val="none"/>
                <w:lang w:val="en-US" w:eastAsia="zh-CN" w:bidi="ar"/>
              </w:rPr>
              <w:t>×100%</w:t>
            </w:r>
            <w:r>
              <w:rPr>
                <w:rStyle w:val="30"/>
                <w:rFonts w:hint="default" w:ascii="Times New Roman" w:hAnsi="Times New Roman" w:eastAsia="仿宋" w:cs="Times New Roman"/>
                <w:sz w:val="21"/>
                <w:szCs w:val="21"/>
                <w:lang w:val="en-US" w:eastAsia="zh-CN" w:bidi="ar"/>
              </w:rPr>
              <w:t>。</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月人均养老金增长率</w:t>
            </w:r>
            <w:r>
              <w:rPr>
                <w:rFonts w:hint="default" w:ascii="Times New Roman" w:hAnsi="Times New Roman" w:eastAsia="仿宋" w:cs="Times New Roman"/>
                <w:i w:val="0"/>
                <w:iCs w:val="0"/>
                <w:color w:val="000000"/>
                <w:kern w:val="0"/>
                <w:sz w:val="21"/>
                <w:szCs w:val="21"/>
                <w:u w:val="none"/>
                <w:lang w:val="en-US" w:eastAsia="zh-CN" w:bidi="ar"/>
              </w:rPr>
              <w:t>≥1</w:t>
            </w:r>
            <w:r>
              <w:rPr>
                <w:rFonts w:hint="eastAsia" w:ascii="Times New Roman" w:hAnsi="Times New Roman" w:eastAsia="仿宋" w:cs="Times New Roman"/>
                <w:i w:val="0"/>
                <w:iCs w:val="0"/>
                <w:color w:val="000000"/>
                <w:kern w:val="0"/>
                <w:sz w:val="21"/>
                <w:szCs w:val="21"/>
                <w:u w:val="none"/>
                <w:lang w:val="en-US" w:eastAsia="zh-CN" w:bidi="ar"/>
              </w:rPr>
              <w:t>0</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10</w:t>
            </w:r>
            <w:r>
              <w:rPr>
                <w:rStyle w:val="30"/>
                <w:rFonts w:hint="default" w:ascii="Times New Roman" w:hAnsi="Times New Roman" w:eastAsia="仿宋" w:cs="Times New Roman"/>
                <w:sz w:val="21"/>
                <w:szCs w:val="21"/>
                <w:lang w:val="en-US" w:eastAsia="zh-CN" w:bidi="ar"/>
              </w:rPr>
              <w:t>分；</w:t>
            </w:r>
            <w:r>
              <w:rPr>
                <w:rFonts w:hint="eastAsia" w:ascii="Times New Roman" w:hAnsi="Times New Roman" w:eastAsia="仿宋" w:cs="Times New Roman"/>
                <w:i w:val="0"/>
                <w:iCs w:val="0"/>
                <w:color w:val="000000"/>
                <w:kern w:val="0"/>
                <w:sz w:val="21"/>
                <w:szCs w:val="21"/>
                <w:u w:val="none"/>
                <w:lang w:val="en-US" w:eastAsia="zh-CN" w:bidi="ar"/>
              </w:rPr>
              <w:t>5</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月人均养老金增长率</w:t>
            </w:r>
            <w:r>
              <w:rPr>
                <w:rFonts w:hint="default" w:ascii="Times New Roman" w:hAnsi="Times New Roman" w:eastAsia="仿宋" w:cs="Times New Roman"/>
                <w:i w:val="0"/>
                <w:iCs w:val="0"/>
                <w:color w:val="000000"/>
                <w:kern w:val="0"/>
                <w:sz w:val="21"/>
                <w:szCs w:val="21"/>
                <w:u w:val="none"/>
                <w:lang w:val="en-US" w:eastAsia="zh-CN" w:bidi="ar"/>
              </w:rPr>
              <w:t>&lt;1</w:t>
            </w:r>
            <w:r>
              <w:rPr>
                <w:rFonts w:hint="eastAsia" w:ascii="Times New Roman" w:hAnsi="Times New Roman" w:eastAsia="仿宋" w:cs="Times New Roman"/>
                <w:i w:val="0"/>
                <w:iCs w:val="0"/>
                <w:color w:val="000000"/>
                <w:kern w:val="0"/>
                <w:sz w:val="21"/>
                <w:szCs w:val="21"/>
                <w:u w:val="none"/>
                <w:lang w:val="en-US" w:eastAsia="zh-CN" w:bidi="ar"/>
              </w:rPr>
              <w:t>0</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8</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月人均养老金增长率</w:t>
            </w:r>
            <w:r>
              <w:rPr>
                <w:rFonts w:hint="default" w:ascii="Times New Roman" w:hAnsi="Times New Roman" w:eastAsia="仿宋" w:cs="Times New Roman"/>
                <w:i w:val="0"/>
                <w:iCs w:val="0"/>
                <w:color w:val="000000"/>
                <w:kern w:val="0"/>
                <w:sz w:val="21"/>
                <w:szCs w:val="21"/>
                <w:u w:val="none"/>
                <w:lang w:val="en-US" w:eastAsia="zh-CN" w:bidi="ar"/>
              </w:rPr>
              <w:t>&lt;5%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6</w:t>
            </w:r>
            <w:r>
              <w:rPr>
                <w:rStyle w:val="30"/>
                <w:rFonts w:hint="default" w:ascii="Times New Roman" w:hAnsi="Times New Roman" w:eastAsia="仿宋" w:cs="Times New Roman"/>
                <w:sz w:val="21"/>
                <w:szCs w:val="21"/>
                <w:lang w:val="en-US" w:eastAsia="zh-CN" w:bidi="ar"/>
              </w:rPr>
              <w:t>分；月人均养老金增长率</w:t>
            </w:r>
            <w:r>
              <w:rPr>
                <w:rFonts w:hint="default" w:ascii="Times New Roman" w:hAnsi="Times New Roman" w:eastAsia="仿宋" w:cs="Times New Roman"/>
                <w:i w:val="0"/>
                <w:iCs w:val="0"/>
                <w:color w:val="000000"/>
                <w:kern w:val="0"/>
                <w:sz w:val="21"/>
                <w:szCs w:val="21"/>
                <w:u w:val="none"/>
                <w:lang w:val="en-US" w:eastAsia="zh-CN" w:bidi="ar"/>
              </w:rPr>
              <w:t>&lt;</w:t>
            </w:r>
            <w:r>
              <w:rPr>
                <w:rFonts w:hint="eastAsia" w:ascii="Times New Roman" w:hAnsi="Times New Roman" w:eastAsia="仿宋" w:cs="Times New Roman"/>
                <w:i w:val="0"/>
                <w:iCs w:val="0"/>
                <w:color w:val="000000"/>
                <w:kern w:val="0"/>
                <w:sz w:val="21"/>
                <w:szCs w:val="21"/>
                <w:u w:val="none"/>
                <w:lang w:val="en-US" w:eastAsia="zh-CN" w:bidi="ar"/>
              </w:rPr>
              <w:t>0，不得分</w:t>
            </w:r>
            <w:r>
              <w:rPr>
                <w:rStyle w:val="30"/>
                <w:rFonts w:hint="default" w:ascii="Times New Roman" w:hAnsi="Times New Roman" w:eastAsia="仿宋" w:cs="Times New Roman"/>
                <w:sz w:val="21"/>
                <w:szCs w:val="21"/>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kern w:val="0"/>
                <w:sz w:val="21"/>
                <w:szCs w:val="21"/>
                <w:u w:val="none"/>
                <w:lang w:val="en-US" w:eastAsia="zh-CN" w:bidi="ar"/>
              </w:rPr>
              <w:t>8</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年月人均养老金为</w:t>
            </w:r>
            <w:r>
              <w:rPr>
                <w:rFonts w:hint="default" w:ascii="Times New Roman" w:hAnsi="Times New Roman" w:eastAsia="仿宋" w:cs="Times New Roman"/>
                <w:i w:val="0"/>
                <w:iCs w:val="0"/>
                <w:color w:val="000000"/>
                <w:kern w:val="0"/>
                <w:sz w:val="21"/>
                <w:szCs w:val="21"/>
                <w:u w:val="none"/>
                <w:lang w:val="en-US" w:eastAsia="zh-CN" w:bidi="ar"/>
              </w:rPr>
              <w:t>210.29</w:t>
            </w:r>
            <w:r>
              <w:rPr>
                <w:rStyle w:val="30"/>
                <w:rFonts w:hint="default" w:ascii="Times New Roman" w:hAnsi="Times New Roman" w:eastAsia="仿宋" w:cs="Times New Roman"/>
                <w:sz w:val="21"/>
                <w:szCs w:val="21"/>
                <w:lang w:val="en-US" w:eastAsia="zh-CN" w:bidi="ar"/>
              </w:rPr>
              <w:t>元，</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年月人均养老金为</w:t>
            </w:r>
            <w:r>
              <w:rPr>
                <w:rFonts w:hint="default" w:ascii="Times New Roman" w:hAnsi="Times New Roman" w:eastAsia="仿宋" w:cs="Times New Roman"/>
                <w:i w:val="0"/>
                <w:iCs w:val="0"/>
                <w:color w:val="000000"/>
                <w:kern w:val="0"/>
                <w:sz w:val="21"/>
                <w:szCs w:val="21"/>
                <w:u w:val="none"/>
                <w:lang w:val="en-US" w:eastAsia="zh-CN" w:bidi="ar"/>
              </w:rPr>
              <w:t>194.60</w:t>
            </w:r>
            <w:r>
              <w:rPr>
                <w:rStyle w:val="30"/>
                <w:rFonts w:hint="default" w:ascii="Times New Roman" w:hAnsi="Times New Roman" w:eastAsia="仿宋" w:cs="Times New Roman"/>
                <w:sz w:val="21"/>
                <w:szCs w:val="21"/>
                <w:lang w:val="en-US" w:eastAsia="zh-CN" w:bidi="ar"/>
              </w:rPr>
              <w:t>元，月人均养老金增长率为</w:t>
            </w:r>
            <w:r>
              <w:rPr>
                <w:rFonts w:hint="default" w:ascii="Times New Roman" w:hAnsi="Times New Roman" w:eastAsia="仿宋" w:cs="Times New Roman"/>
                <w:i w:val="0"/>
                <w:iCs w:val="0"/>
                <w:color w:val="000000"/>
                <w:kern w:val="0"/>
                <w:sz w:val="21"/>
                <w:szCs w:val="21"/>
                <w:u w:val="none"/>
                <w:lang w:val="en-US" w:eastAsia="zh-CN" w:bidi="ar"/>
              </w:rPr>
              <w:t>8.06%</w:t>
            </w:r>
            <w:r>
              <w:rPr>
                <w:rStyle w:val="30"/>
                <w:rFonts w:hint="default" w:ascii="Times New Roman" w:hAnsi="Times New Roman" w:eastAsia="仿宋" w:cs="Times New Roman"/>
                <w:sz w:val="21"/>
                <w:szCs w:val="21"/>
                <w:lang w:val="en-US" w:eastAsia="zh-CN" w:bidi="ar"/>
              </w:rPr>
              <w:t>，提升不明显，且远低于城市和农村低保</w:t>
            </w:r>
            <w:r>
              <w:rPr>
                <w:rFonts w:hint="default" w:ascii="Times New Roman" w:hAnsi="Times New Roman" w:eastAsia="仿宋" w:cs="Times New Roman"/>
                <w:i w:val="0"/>
                <w:iCs w:val="0"/>
                <w:color w:val="000000"/>
                <w:kern w:val="0"/>
                <w:sz w:val="21"/>
                <w:szCs w:val="21"/>
                <w:u w:val="none"/>
                <w:lang w:val="en-US" w:eastAsia="zh-CN" w:bidi="ar"/>
              </w:rPr>
              <w:t>644</w:t>
            </w:r>
            <w:r>
              <w:rPr>
                <w:rStyle w:val="30"/>
                <w:rFonts w:hint="default" w:ascii="Times New Roman" w:hAnsi="Times New Roman" w:eastAsia="仿宋" w:cs="Times New Roman"/>
                <w:sz w:val="21"/>
                <w:szCs w:val="21"/>
                <w:lang w:val="en-US" w:eastAsia="zh-CN" w:bidi="ar"/>
              </w:rPr>
              <w:t>元月人均标准。根据评分标准，本项指标扣</w:t>
            </w:r>
            <w:r>
              <w:rPr>
                <w:rFonts w:hint="eastAsia"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最低保障扩面力度</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为困难</w:t>
            </w:r>
            <w:r>
              <w:rPr>
                <w:rFonts w:hint="eastAsia" w:ascii="Times New Roman" w:hAnsi="Times New Roman" w:eastAsia="仿宋" w:cs="Times New Roman"/>
                <w:i w:val="0"/>
                <w:iCs w:val="0"/>
                <w:color w:val="000000"/>
                <w:kern w:val="0"/>
                <w:sz w:val="21"/>
                <w:szCs w:val="21"/>
                <w:u w:val="none"/>
                <w:lang w:val="en-US" w:eastAsia="zh-CN" w:bidi="ar"/>
              </w:rPr>
              <w:t>群体</w:t>
            </w:r>
            <w:r>
              <w:rPr>
                <w:rFonts w:hint="default" w:ascii="Times New Roman" w:hAnsi="Times New Roman" w:eastAsia="仿宋" w:cs="Times New Roman"/>
                <w:i w:val="0"/>
                <w:iCs w:val="0"/>
                <w:color w:val="000000"/>
                <w:kern w:val="0"/>
                <w:sz w:val="21"/>
                <w:szCs w:val="21"/>
                <w:u w:val="none"/>
                <w:lang w:val="en-US" w:eastAsia="zh-CN" w:bidi="ar"/>
              </w:rPr>
              <w:t>代缴保费是否在人数方面得以扩大，用以反映保险在最低生活保障方面的扩面效果。</w:t>
            </w:r>
          </w:p>
          <w:p>
            <w:pPr>
              <w:pStyle w:val="11"/>
              <w:rPr>
                <w:rFonts w:hint="default"/>
              </w:rPr>
            </w:pPr>
            <w:r>
              <w:rPr>
                <w:rStyle w:val="30"/>
                <w:rFonts w:hint="default" w:ascii="Times New Roman" w:hAnsi="Times New Roman" w:eastAsia="仿宋" w:cs="Times New Roman"/>
                <w:sz w:val="21"/>
                <w:szCs w:val="21"/>
                <w:lang w:val="en-US" w:eastAsia="zh-CN" w:bidi="ar"/>
              </w:rPr>
              <w:t>①</w:t>
            </w:r>
            <w:r>
              <w:rPr>
                <w:rFonts w:hint="default" w:ascii="Times New Roman" w:hAnsi="Times New Roman" w:eastAsia="仿宋" w:cs="Times New Roman"/>
                <w:i w:val="0"/>
                <w:iCs w:val="0"/>
                <w:color w:val="000000"/>
                <w:kern w:val="0"/>
                <w:sz w:val="21"/>
                <w:szCs w:val="21"/>
                <w:u w:val="none"/>
                <w:lang w:val="en-US" w:eastAsia="zh-CN" w:bidi="ar"/>
              </w:rPr>
              <w:t>代缴人数扩面=（2022年月代缴人数-2021年月代缴人数）/2021年代缴人数×100%。</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代缴人数扩面≥5%，得5分；3%≤代缴人数扩面&lt;5%，得3分；1%≤代缴人数扩面&lt;3%，得1分；代缴人数扩面&lt;1%，不得分。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年代缴人数为</w:t>
            </w:r>
            <w:r>
              <w:rPr>
                <w:rFonts w:hint="default" w:ascii="Times New Roman" w:hAnsi="Times New Roman" w:eastAsia="仿宋" w:cs="Times New Roman"/>
                <w:i w:val="0"/>
                <w:iCs w:val="0"/>
                <w:color w:val="000000"/>
                <w:kern w:val="0"/>
                <w:sz w:val="21"/>
                <w:szCs w:val="21"/>
                <w:u w:val="none"/>
                <w:lang w:val="en-US" w:eastAsia="zh-CN" w:bidi="ar"/>
              </w:rPr>
              <w:t>6712</w:t>
            </w:r>
            <w:r>
              <w:rPr>
                <w:rStyle w:val="30"/>
                <w:rFonts w:hint="default" w:ascii="Times New Roman" w:hAnsi="Times New Roman" w:eastAsia="仿宋" w:cs="Times New Roman"/>
                <w:sz w:val="21"/>
                <w:szCs w:val="21"/>
                <w:lang w:val="en-US" w:eastAsia="zh-CN" w:bidi="ar"/>
              </w:rPr>
              <w:t>人，</w:t>
            </w:r>
            <w:r>
              <w:rPr>
                <w:rFonts w:hint="default" w:ascii="Times New Roman" w:hAnsi="Times New Roman" w:eastAsia="仿宋" w:cs="Times New Roman"/>
                <w:i w:val="0"/>
                <w:iCs w:val="0"/>
                <w:color w:val="000000"/>
                <w:kern w:val="0"/>
                <w:sz w:val="21"/>
                <w:szCs w:val="21"/>
                <w:u w:val="none"/>
                <w:lang w:val="en-US" w:eastAsia="zh-CN" w:bidi="ar"/>
              </w:rPr>
              <w:t>2021</w:t>
            </w:r>
            <w:r>
              <w:rPr>
                <w:rStyle w:val="30"/>
                <w:rFonts w:hint="default" w:ascii="Times New Roman" w:hAnsi="Times New Roman" w:eastAsia="仿宋" w:cs="Times New Roman"/>
                <w:sz w:val="21"/>
                <w:szCs w:val="21"/>
                <w:lang w:val="en-US" w:eastAsia="zh-CN" w:bidi="ar"/>
              </w:rPr>
              <w:t>年代缴人数为</w:t>
            </w:r>
            <w:r>
              <w:rPr>
                <w:rFonts w:hint="default" w:ascii="Times New Roman" w:hAnsi="Times New Roman" w:eastAsia="仿宋" w:cs="Times New Roman"/>
                <w:i w:val="0"/>
                <w:iCs w:val="0"/>
                <w:color w:val="000000"/>
                <w:kern w:val="0"/>
                <w:sz w:val="21"/>
                <w:szCs w:val="21"/>
                <w:u w:val="none"/>
                <w:lang w:val="en-US" w:eastAsia="zh-CN" w:bidi="ar"/>
              </w:rPr>
              <w:t>9386</w:t>
            </w:r>
            <w:r>
              <w:rPr>
                <w:rStyle w:val="30"/>
                <w:rFonts w:hint="default" w:ascii="Times New Roman" w:hAnsi="Times New Roman" w:eastAsia="仿宋" w:cs="Times New Roman"/>
                <w:sz w:val="21"/>
                <w:szCs w:val="21"/>
                <w:lang w:val="en-US" w:eastAsia="zh-CN" w:bidi="ar"/>
              </w:rPr>
              <w:t>人，代缴人数扩面为</w:t>
            </w:r>
            <w:r>
              <w:rPr>
                <w:rFonts w:hint="default" w:ascii="Times New Roman" w:hAnsi="Times New Roman" w:eastAsia="仿宋" w:cs="Times New Roman"/>
                <w:i w:val="0"/>
                <w:iCs w:val="0"/>
                <w:color w:val="000000"/>
                <w:kern w:val="0"/>
                <w:sz w:val="21"/>
                <w:szCs w:val="21"/>
                <w:u w:val="none"/>
                <w:lang w:val="en-US" w:eastAsia="zh-CN" w:bidi="ar"/>
              </w:rPr>
              <w:t>-28.49%</w:t>
            </w:r>
            <w:r>
              <w:rPr>
                <w:rStyle w:val="30"/>
                <w:rFonts w:hint="default" w:ascii="Times New Roman" w:hAnsi="Times New Roman" w:eastAsia="仿宋" w:cs="Times New Roman"/>
                <w:sz w:val="21"/>
                <w:szCs w:val="21"/>
                <w:lang w:val="en-US" w:eastAsia="zh-CN" w:bidi="ar"/>
              </w:rPr>
              <w:t>。根据评分标准，本项指标扣</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0"/>
                <w:rFonts w:hint="default" w:ascii="Times New Roman" w:hAnsi="Times New Roman" w:eastAsia="仿宋" w:cs="Times New Roman"/>
                <w:sz w:val="21"/>
                <w:szCs w:val="21"/>
                <w:lang w:val="en-US" w:eastAsia="zh-CN" w:bidi="ar"/>
              </w:rPr>
            </w:pPr>
            <w:r>
              <w:rPr>
                <w:rStyle w:val="30"/>
                <w:rFonts w:hint="default" w:ascii="Times New Roman" w:hAnsi="Times New Roman" w:eastAsia="仿宋" w:cs="Times New Roman"/>
                <w:sz w:val="21"/>
                <w:szCs w:val="21"/>
                <w:lang w:val="en-US" w:eastAsia="zh-CN" w:bidi="ar"/>
              </w:rPr>
              <w:t>可持续</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影响</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基金支撑能力</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分析社保基金累计结余可支付月数反映社保基金运行的可持续性</w:t>
            </w:r>
            <w:r>
              <w:rPr>
                <w:rStyle w:val="30"/>
                <w:rFonts w:hint="eastAsia"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①基金可支付月数</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基金累计结余</w:t>
            </w: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年月均支出</w:t>
            </w:r>
            <w:r>
              <w:rPr>
                <w:rFonts w:hint="default" w:ascii="Times New Roman" w:hAnsi="Times New Roman" w:eastAsia="仿宋" w:cs="Times New Roman"/>
                <w:i w:val="0"/>
                <w:iCs w:val="0"/>
                <w:color w:val="000000"/>
                <w:kern w:val="0"/>
                <w:sz w:val="21"/>
                <w:szCs w:val="21"/>
                <w:u w:val="none"/>
                <w:lang w:val="en-US" w:eastAsia="zh-CN" w:bidi="ar"/>
              </w:rPr>
              <w:t>×100%</w:t>
            </w:r>
            <w:r>
              <w:rPr>
                <w:rStyle w:val="30"/>
                <w:rFonts w:hint="default" w:ascii="Times New Roman" w:hAnsi="Times New Roman" w:eastAsia="仿宋" w:cs="Times New Roman"/>
                <w:sz w:val="21"/>
                <w:szCs w:val="21"/>
                <w:lang w:val="en-US" w:eastAsia="zh-CN" w:bidi="ar"/>
              </w:rPr>
              <w:t>。</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基金可支付月数</w:t>
            </w:r>
            <w:r>
              <w:rPr>
                <w:rFonts w:hint="default" w:ascii="Times New Roman" w:hAnsi="Times New Roman" w:eastAsia="仿宋" w:cs="Times New Roman"/>
                <w:i w:val="0"/>
                <w:iCs w:val="0"/>
                <w:color w:val="000000"/>
                <w:kern w:val="0"/>
                <w:sz w:val="21"/>
                <w:szCs w:val="21"/>
                <w:u w:val="none"/>
                <w:lang w:val="en-US" w:eastAsia="zh-CN" w:bidi="ar"/>
              </w:rPr>
              <w:t>≥17</w:t>
            </w:r>
            <w:r>
              <w:rPr>
                <w:rStyle w:val="30"/>
                <w:rFonts w:hint="default" w:ascii="Times New Roman" w:hAnsi="Times New Roman" w:eastAsia="仿宋" w:cs="Times New Roman"/>
                <w:sz w:val="21"/>
                <w:szCs w:val="21"/>
                <w:lang w:val="en-US" w:eastAsia="zh-CN" w:bidi="ar"/>
              </w:rPr>
              <w:t>个月，得</w:t>
            </w:r>
            <w:r>
              <w:rPr>
                <w:rFonts w:hint="default" w:ascii="Times New Roman" w:hAnsi="Times New Roman" w:eastAsia="仿宋" w:cs="Times New Roman"/>
                <w:i w:val="0"/>
                <w:iCs w:val="0"/>
                <w:color w:val="000000"/>
                <w:kern w:val="0"/>
                <w:sz w:val="21"/>
                <w:szCs w:val="21"/>
                <w:u w:val="none"/>
                <w:lang w:val="en-US" w:eastAsia="zh-CN" w:bidi="ar"/>
              </w:rPr>
              <w:t>5</w:t>
            </w:r>
            <w:r>
              <w:rPr>
                <w:rStyle w:val="30"/>
                <w:rFonts w:hint="default" w:ascii="Times New Roman" w:hAnsi="Times New Roman" w:eastAsia="仿宋" w:cs="Times New Roman"/>
                <w:sz w:val="21"/>
                <w:szCs w:val="21"/>
                <w:lang w:val="en-US" w:eastAsia="zh-CN" w:bidi="ar"/>
              </w:rPr>
              <w:t>分</w:t>
            </w:r>
            <w:r>
              <w:rPr>
                <w:rStyle w:val="30"/>
                <w:rFonts w:hint="eastAsia"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12</w:t>
            </w:r>
            <w:r>
              <w:rPr>
                <w:rStyle w:val="30"/>
                <w:rFonts w:hint="default" w:ascii="Times New Roman" w:hAnsi="Times New Roman" w:eastAsia="仿宋" w:cs="Times New Roman"/>
                <w:sz w:val="21"/>
                <w:szCs w:val="21"/>
                <w:lang w:val="en-US" w:eastAsia="zh-CN" w:bidi="ar"/>
              </w:rPr>
              <w:t>个月</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基金可支付月数</w:t>
            </w:r>
            <w:r>
              <w:rPr>
                <w:rFonts w:hint="default" w:ascii="Times New Roman" w:hAnsi="Times New Roman" w:eastAsia="仿宋" w:cs="Times New Roman"/>
                <w:i w:val="0"/>
                <w:iCs w:val="0"/>
                <w:color w:val="000000"/>
                <w:kern w:val="0"/>
                <w:sz w:val="21"/>
                <w:szCs w:val="21"/>
                <w:u w:val="none"/>
                <w:lang w:val="en-US" w:eastAsia="zh-CN" w:bidi="ar"/>
              </w:rPr>
              <w:t>&lt;17</w:t>
            </w:r>
            <w:r>
              <w:rPr>
                <w:rStyle w:val="30"/>
                <w:rFonts w:hint="default" w:ascii="Times New Roman" w:hAnsi="Times New Roman" w:eastAsia="仿宋" w:cs="Times New Roman"/>
                <w:sz w:val="21"/>
                <w:szCs w:val="21"/>
                <w:lang w:val="en-US" w:eastAsia="zh-CN" w:bidi="ar"/>
              </w:rPr>
              <w:t>个月，得</w:t>
            </w:r>
            <w:r>
              <w:rPr>
                <w:rFonts w:hint="default" w:ascii="Times New Roman" w:hAnsi="Times New Roman" w:eastAsia="仿宋" w:cs="Times New Roman"/>
                <w:i w:val="0"/>
                <w:iCs w:val="0"/>
                <w:color w:val="000000"/>
                <w:kern w:val="0"/>
                <w:sz w:val="21"/>
                <w:szCs w:val="21"/>
                <w:u w:val="none"/>
                <w:lang w:val="en-US" w:eastAsia="zh-CN" w:bidi="ar"/>
              </w:rPr>
              <w:t>3</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6</w:t>
            </w:r>
            <w:r>
              <w:rPr>
                <w:rStyle w:val="30"/>
                <w:rFonts w:hint="default" w:ascii="Times New Roman" w:hAnsi="Times New Roman" w:eastAsia="仿宋" w:cs="Times New Roman"/>
                <w:sz w:val="21"/>
                <w:szCs w:val="21"/>
                <w:lang w:val="en-US" w:eastAsia="zh-CN" w:bidi="ar"/>
              </w:rPr>
              <w:t>个月</w:t>
            </w:r>
            <w:r>
              <w:rPr>
                <w:rFonts w:hint="default" w:ascii="Times New Roman" w:hAnsi="Times New Roman" w:eastAsia="仿宋" w:cs="Times New Roman"/>
                <w:i w:val="0"/>
                <w:iCs w:val="0"/>
                <w:color w:val="000000"/>
                <w:kern w:val="0"/>
                <w:sz w:val="21"/>
                <w:szCs w:val="21"/>
                <w:u w:val="none"/>
                <w:lang w:val="en-US" w:eastAsia="zh-CN" w:bidi="ar"/>
              </w:rPr>
              <w:t>≤</w:t>
            </w:r>
            <w:r>
              <w:rPr>
                <w:rStyle w:val="30"/>
                <w:rFonts w:hint="default" w:ascii="Times New Roman" w:hAnsi="Times New Roman" w:eastAsia="仿宋" w:cs="Times New Roman"/>
                <w:sz w:val="21"/>
                <w:szCs w:val="21"/>
                <w:lang w:val="en-US" w:eastAsia="zh-CN" w:bidi="ar"/>
              </w:rPr>
              <w:t>基金可支付月数</w:t>
            </w:r>
            <w:r>
              <w:rPr>
                <w:rFonts w:hint="default" w:ascii="Times New Roman" w:hAnsi="Times New Roman" w:eastAsia="仿宋" w:cs="Times New Roman"/>
                <w:i w:val="0"/>
                <w:iCs w:val="0"/>
                <w:color w:val="000000"/>
                <w:kern w:val="0"/>
                <w:sz w:val="21"/>
                <w:szCs w:val="21"/>
                <w:u w:val="none"/>
                <w:lang w:val="en-US" w:eastAsia="zh-CN" w:bidi="ar"/>
              </w:rPr>
              <w:t>&lt;12</w:t>
            </w:r>
            <w:r>
              <w:rPr>
                <w:rStyle w:val="30"/>
                <w:rFonts w:hint="default" w:ascii="Times New Roman" w:hAnsi="Times New Roman" w:eastAsia="仿宋" w:cs="Times New Roman"/>
                <w:sz w:val="21"/>
                <w:szCs w:val="21"/>
                <w:lang w:val="en-US" w:eastAsia="zh-CN" w:bidi="ar"/>
              </w:rPr>
              <w:t>个月，得</w:t>
            </w:r>
            <w:r>
              <w:rPr>
                <w:rFonts w:hint="default" w:ascii="Times New Roman" w:hAnsi="Times New Roman" w:eastAsia="仿宋" w:cs="Times New Roman"/>
                <w:i w:val="0"/>
                <w:iCs w:val="0"/>
                <w:color w:val="000000"/>
                <w:kern w:val="0"/>
                <w:sz w:val="21"/>
                <w:szCs w:val="21"/>
                <w:u w:val="none"/>
                <w:lang w:val="en-US" w:eastAsia="zh-CN" w:bidi="ar"/>
              </w:rPr>
              <w:t>1</w:t>
            </w:r>
            <w:r>
              <w:rPr>
                <w:rStyle w:val="30"/>
                <w:rFonts w:hint="default" w:ascii="Times New Roman" w:hAnsi="Times New Roman" w:eastAsia="仿宋" w:cs="Times New Roman"/>
                <w:sz w:val="21"/>
                <w:szCs w:val="21"/>
                <w:lang w:val="en-US" w:eastAsia="zh-CN" w:bidi="ar"/>
              </w:rPr>
              <w:t>分；基金可支付月数</w:t>
            </w:r>
            <w:r>
              <w:rPr>
                <w:rFonts w:hint="default" w:ascii="Times New Roman" w:hAnsi="Times New Roman" w:eastAsia="仿宋" w:cs="Times New Roman"/>
                <w:i w:val="0"/>
                <w:iCs w:val="0"/>
                <w:color w:val="000000"/>
                <w:kern w:val="0"/>
                <w:sz w:val="21"/>
                <w:szCs w:val="21"/>
                <w:u w:val="none"/>
                <w:lang w:val="en-US" w:eastAsia="zh-CN" w:bidi="ar"/>
              </w:rPr>
              <w:t>&lt;6</w:t>
            </w:r>
            <w:r>
              <w:rPr>
                <w:rStyle w:val="30"/>
                <w:rFonts w:hint="default" w:ascii="Times New Roman" w:hAnsi="Times New Roman" w:eastAsia="仿宋" w:cs="Times New Roman"/>
                <w:sz w:val="21"/>
                <w:szCs w:val="21"/>
                <w:lang w:val="en-US" w:eastAsia="zh-CN" w:bidi="ar"/>
              </w:rPr>
              <w:t>个月，不得分。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2022</w:t>
            </w:r>
            <w:r>
              <w:rPr>
                <w:rStyle w:val="30"/>
                <w:rFonts w:hint="default" w:ascii="Times New Roman" w:hAnsi="Times New Roman" w:eastAsia="仿宋" w:cs="Times New Roman"/>
                <w:sz w:val="21"/>
                <w:szCs w:val="21"/>
                <w:lang w:val="en-US" w:eastAsia="zh-CN" w:bidi="ar"/>
              </w:rPr>
              <w:t>年基金累计结余为</w:t>
            </w:r>
            <w:r>
              <w:rPr>
                <w:rFonts w:hint="default" w:ascii="Times New Roman" w:hAnsi="Times New Roman" w:eastAsia="仿宋" w:cs="Times New Roman"/>
                <w:i w:val="0"/>
                <w:iCs w:val="0"/>
                <w:color w:val="000000"/>
                <w:kern w:val="0"/>
                <w:sz w:val="21"/>
                <w:szCs w:val="21"/>
                <w:u w:val="none"/>
                <w:lang w:val="en-US" w:eastAsia="zh-CN" w:bidi="ar"/>
              </w:rPr>
              <w:t>16</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735.86</w:t>
            </w:r>
            <w:r>
              <w:rPr>
                <w:rStyle w:val="30"/>
                <w:rFonts w:hint="default" w:ascii="Times New Roman" w:hAnsi="Times New Roman" w:eastAsia="仿宋" w:cs="Times New Roman"/>
                <w:sz w:val="21"/>
                <w:szCs w:val="21"/>
                <w:lang w:val="en-US" w:eastAsia="zh-CN" w:bidi="ar"/>
              </w:rPr>
              <w:t>万元（（个人账户结余</w:t>
            </w:r>
            <w:r>
              <w:rPr>
                <w:rFonts w:hint="default" w:ascii="Times New Roman" w:hAnsi="Times New Roman" w:eastAsia="仿宋" w:cs="Times New Roman"/>
                <w:i w:val="0"/>
                <w:iCs w:val="0"/>
                <w:color w:val="000000"/>
                <w:kern w:val="0"/>
                <w:sz w:val="21"/>
                <w:szCs w:val="21"/>
                <w:u w:val="none"/>
                <w:lang w:val="en-US" w:eastAsia="zh-CN" w:bidi="ar"/>
              </w:rPr>
              <w:t>1</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6850</w:t>
            </w:r>
            <w:r>
              <w:rPr>
                <w:rStyle w:val="30"/>
                <w:rFonts w:hint="default" w:ascii="Times New Roman" w:hAnsi="Times New Roman" w:eastAsia="仿宋" w:cs="Times New Roman"/>
                <w:sz w:val="21"/>
                <w:szCs w:val="21"/>
                <w:lang w:val="en-US" w:eastAsia="zh-CN" w:bidi="ar"/>
              </w:rPr>
              <w:t>万元，基础养老金结余</w:t>
            </w:r>
            <w:r>
              <w:rPr>
                <w:rFonts w:hint="default" w:ascii="Times New Roman" w:hAnsi="Times New Roman" w:eastAsia="仿宋" w:cs="Times New Roman"/>
                <w:i w:val="0"/>
                <w:iCs w:val="0"/>
                <w:color w:val="000000"/>
                <w:kern w:val="0"/>
                <w:sz w:val="21"/>
                <w:szCs w:val="21"/>
                <w:u w:val="none"/>
                <w:lang w:val="en-US" w:eastAsia="zh-CN" w:bidi="ar"/>
              </w:rPr>
              <w:t>-114</w:t>
            </w:r>
            <w:r>
              <w:rPr>
                <w:rStyle w:val="30"/>
                <w:rFonts w:hint="default" w:ascii="Times New Roman" w:hAnsi="Times New Roman" w:eastAsia="仿宋" w:cs="Times New Roman"/>
                <w:sz w:val="21"/>
                <w:szCs w:val="21"/>
                <w:lang w:val="en-US" w:eastAsia="zh-CN" w:bidi="ar"/>
              </w:rPr>
              <w:t>万元），当年金支出为</w:t>
            </w:r>
            <w:r>
              <w:rPr>
                <w:rFonts w:hint="default" w:ascii="Times New Roman" w:hAnsi="Times New Roman" w:eastAsia="仿宋" w:cs="Times New Roman"/>
                <w:i w:val="0"/>
                <w:iCs w:val="0"/>
                <w:color w:val="000000"/>
                <w:kern w:val="0"/>
                <w:sz w:val="21"/>
                <w:szCs w:val="21"/>
                <w:u w:val="none"/>
                <w:lang w:val="en-US" w:eastAsia="zh-CN" w:bidi="ar"/>
              </w:rPr>
              <w:t>2</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349.17</w:t>
            </w:r>
            <w:r>
              <w:rPr>
                <w:rStyle w:val="30"/>
                <w:rFonts w:hint="default" w:ascii="Times New Roman" w:hAnsi="Times New Roman" w:eastAsia="仿宋" w:cs="Times New Roman"/>
                <w:sz w:val="21"/>
                <w:szCs w:val="21"/>
                <w:lang w:val="en-US" w:eastAsia="zh-CN" w:bidi="ar"/>
              </w:rPr>
              <w:t>万元，基金可支付月数为</w:t>
            </w:r>
            <w:r>
              <w:rPr>
                <w:rFonts w:hint="default" w:ascii="Times New Roman" w:hAnsi="Times New Roman" w:eastAsia="仿宋" w:cs="Times New Roman"/>
                <w:i w:val="0"/>
                <w:iCs w:val="0"/>
                <w:color w:val="000000"/>
                <w:kern w:val="0"/>
                <w:sz w:val="21"/>
                <w:szCs w:val="21"/>
                <w:u w:val="none"/>
                <w:lang w:val="en-US" w:eastAsia="zh-CN" w:bidi="ar"/>
              </w:rPr>
              <w:t>85.49</w:t>
            </w:r>
            <w:r>
              <w:rPr>
                <w:rStyle w:val="30"/>
                <w:rFonts w:hint="default" w:ascii="Times New Roman" w:hAnsi="Times New Roman" w:eastAsia="仿宋" w:cs="Times New Roman"/>
                <w:sz w:val="21"/>
                <w:szCs w:val="21"/>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满意度</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10</w:t>
            </w:r>
            <w:r>
              <w:rPr>
                <w:rStyle w:val="30"/>
                <w:rFonts w:hint="default" w:ascii="Times New Roman" w:hAnsi="Times New Roman" w:eastAsia="仿宋" w:cs="Times New Roman"/>
                <w:sz w:val="21"/>
                <w:szCs w:val="21"/>
                <w:lang w:val="en-US" w:eastAsia="zh-CN" w:bidi="ar"/>
              </w:rPr>
              <w:t>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0"/>
                <w:rFonts w:hint="default" w:ascii="Times New Roman" w:hAnsi="Times New Roman" w:eastAsia="仿宋" w:cs="Times New Roman"/>
                <w:sz w:val="21"/>
                <w:szCs w:val="21"/>
                <w:lang w:val="en-US" w:eastAsia="zh-CN" w:bidi="ar"/>
              </w:rPr>
            </w:pPr>
            <w:r>
              <w:rPr>
                <w:rStyle w:val="30"/>
                <w:rFonts w:hint="default" w:ascii="Times New Roman" w:hAnsi="Times New Roman" w:eastAsia="仿宋" w:cs="Times New Roman"/>
                <w:sz w:val="21"/>
                <w:szCs w:val="21"/>
                <w:lang w:val="en-US" w:eastAsia="zh-CN" w:bidi="ar"/>
              </w:rPr>
              <w:t>参保</w:t>
            </w:r>
          </w:p>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满意度</w:t>
            </w:r>
            <w:r>
              <w:rPr>
                <w:rFonts w:hint="default" w:ascii="Times New Roman" w:hAnsi="Times New Roman" w:eastAsia="仿宋" w:cs="Times New Roman"/>
                <w:i w:val="0"/>
                <w:iCs w:val="0"/>
                <w:color w:val="000000"/>
                <w:kern w:val="0"/>
                <w:sz w:val="21"/>
                <w:szCs w:val="21"/>
                <w:u w:val="none"/>
                <w:lang w:val="en-US" w:eastAsia="zh-CN" w:bidi="ar"/>
              </w:rPr>
              <w:br w:type="textWrapping"/>
            </w:r>
            <w:r>
              <w:rPr>
                <w:rStyle w:val="30"/>
                <w:rFonts w:hint="default" w:ascii="Times New Roman" w:hAnsi="Times New Roman" w:eastAsia="仿宋" w:cs="Times New Roman"/>
                <w:sz w:val="21"/>
                <w:szCs w:val="21"/>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10</w:t>
            </w:r>
            <w:r>
              <w:rPr>
                <w:rStyle w:val="30"/>
                <w:rFonts w:hint="default" w:ascii="Times New Roman" w:hAnsi="Times New Roman" w:eastAsia="仿宋" w:cs="Times New Roman"/>
                <w:sz w:val="21"/>
                <w:szCs w:val="21"/>
                <w:lang w:val="en-US" w:eastAsia="zh-CN" w:bidi="ar"/>
              </w:rPr>
              <w:t>分）</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通过问卷调查，了解城乡居民养老保险参保人员对经办机构服务态度和经办效率、待遇保障力度等方面的满意度。</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满意度</w:t>
            </w:r>
            <w:r>
              <w:rPr>
                <w:rFonts w:hint="default" w:ascii="Times New Roman" w:hAnsi="Times New Roman" w:eastAsia="仿宋" w:cs="Times New Roman"/>
                <w:i w:val="0"/>
                <w:iCs w:val="0"/>
                <w:color w:val="000000"/>
                <w:kern w:val="0"/>
                <w:sz w:val="21"/>
                <w:szCs w:val="21"/>
                <w:u w:val="none"/>
                <w:lang w:val="en-US" w:eastAsia="zh-CN" w:bidi="ar"/>
              </w:rPr>
              <w:t>≥95%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10</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90%≤</w:t>
            </w:r>
            <w:r>
              <w:rPr>
                <w:rStyle w:val="30"/>
                <w:rFonts w:hint="default" w:ascii="Times New Roman" w:hAnsi="Times New Roman" w:eastAsia="仿宋" w:cs="Times New Roman"/>
                <w:sz w:val="21"/>
                <w:szCs w:val="21"/>
                <w:lang w:val="en-US" w:eastAsia="zh-CN" w:bidi="ar"/>
              </w:rPr>
              <w:t>满意度</w:t>
            </w:r>
            <w:r>
              <w:rPr>
                <w:rFonts w:hint="default" w:ascii="Times New Roman" w:hAnsi="Times New Roman" w:eastAsia="仿宋" w:cs="Times New Roman"/>
                <w:i w:val="0"/>
                <w:iCs w:val="0"/>
                <w:color w:val="000000"/>
                <w:kern w:val="0"/>
                <w:sz w:val="21"/>
                <w:szCs w:val="21"/>
                <w:u w:val="none"/>
                <w:lang w:val="en-US" w:eastAsia="zh-CN" w:bidi="ar"/>
              </w:rPr>
              <w:t>&lt;95%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8</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85%≤</w:t>
            </w:r>
            <w:r>
              <w:rPr>
                <w:rStyle w:val="30"/>
                <w:rFonts w:hint="default" w:ascii="Times New Roman" w:hAnsi="Times New Roman" w:eastAsia="仿宋" w:cs="Times New Roman"/>
                <w:sz w:val="21"/>
                <w:szCs w:val="21"/>
                <w:lang w:val="en-US" w:eastAsia="zh-CN" w:bidi="ar"/>
              </w:rPr>
              <w:t>满意度</w:t>
            </w:r>
            <w:r>
              <w:rPr>
                <w:rFonts w:hint="default" w:ascii="Times New Roman" w:hAnsi="Times New Roman" w:eastAsia="仿宋" w:cs="Times New Roman"/>
                <w:i w:val="0"/>
                <w:iCs w:val="0"/>
                <w:color w:val="000000"/>
                <w:kern w:val="0"/>
                <w:sz w:val="21"/>
                <w:szCs w:val="21"/>
                <w:u w:val="none"/>
                <w:lang w:val="en-US" w:eastAsia="zh-CN" w:bidi="ar"/>
              </w:rPr>
              <w:t>&lt;90%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6</w:t>
            </w:r>
            <w:r>
              <w:rPr>
                <w:rStyle w:val="30"/>
                <w:rFonts w:hint="default" w:ascii="Times New Roman" w:hAnsi="Times New Roman" w:eastAsia="仿宋" w:cs="Times New Roman"/>
                <w:sz w:val="21"/>
                <w:szCs w:val="21"/>
                <w:lang w:val="en-US" w:eastAsia="zh-CN" w:bidi="ar"/>
              </w:rPr>
              <w:t>分；</w:t>
            </w:r>
            <w:r>
              <w:rPr>
                <w:rFonts w:hint="default" w:ascii="Times New Roman" w:hAnsi="Times New Roman" w:eastAsia="仿宋" w:cs="Times New Roman"/>
                <w:i w:val="0"/>
                <w:iCs w:val="0"/>
                <w:color w:val="000000"/>
                <w:kern w:val="0"/>
                <w:sz w:val="21"/>
                <w:szCs w:val="21"/>
                <w:u w:val="none"/>
                <w:lang w:val="en-US" w:eastAsia="zh-CN" w:bidi="ar"/>
              </w:rPr>
              <w:t>80%≤</w:t>
            </w:r>
            <w:r>
              <w:rPr>
                <w:rStyle w:val="30"/>
                <w:rFonts w:hint="default" w:ascii="Times New Roman" w:hAnsi="Times New Roman" w:eastAsia="仿宋" w:cs="Times New Roman"/>
                <w:sz w:val="21"/>
                <w:szCs w:val="21"/>
                <w:lang w:val="en-US" w:eastAsia="zh-CN" w:bidi="ar"/>
              </w:rPr>
              <w:t>满意度</w:t>
            </w:r>
            <w:r>
              <w:rPr>
                <w:rFonts w:hint="default" w:ascii="Times New Roman" w:hAnsi="Times New Roman" w:eastAsia="仿宋" w:cs="Times New Roman"/>
                <w:i w:val="0"/>
                <w:iCs w:val="0"/>
                <w:color w:val="000000"/>
                <w:kern w:val="0"/>
                <w:sz w:val="21"/>
                <w:szCs w:val="21"/>
                <w:u w:val="none"/>
                <w:lang w:val="en-US" w:eastAsia="zh-CN" w:bidi="ar"/>
              </w:rPr>
              <w:t>&lt;85%</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4</w:t>
            </w:r>
            <w:r>
              <w:rPr>
                <w:rStyle w:val="30"/>
                <w:rFonts w:hint="default" w:ascii="Times New Roman" w:hAnsi="Times New Roman" w:eastAsia="仿宋" w:cs="Times New Roman"/>
                <w:sz w:val="21"/>
                <w:szCs w:val="21"/>
                <w:lang w:val="en-US" w:eastAsia="zh-CN" w:bidi="ar"/>
              </w:rPr>
              <w:t>分；满意度</w:t>
            </w:r>
            <w:r>
              <w:rPr>
                <w:rFonts w:hint="default" w:ascii="Times New Roman" w:hAnsi="Times New Roman" w:eastAsia="仿宋" w:cs="Times New Roman"/>
                <w:i w:val="0"/>
                <w:iCs w:val="0"/>
                <w:color w:val="000000"/>
                <w:kern w:val="0"/>
                <w:sz w:val="21"/>
                <w:szCs w:val="21"/>
                <w:u w:val="none"/>
                <w:lang w:val="en-US" w:eastAsia="zh-CN" w:bidi="ar"/>
              </w:rPr>
              <w:t>&lt;80%</w:t>
            </w:r>
            <w:r>
              <w:rPr>
                <w:rStyle w:val="30"/>
                <w:rFonts w:hint="default" w:ascii="Times New Roman" w:hAnsi="Times New Roman" w:eastAsia="仿宋" w:cs="Times New Roman"/>
                <w:sz w:val="21"/>
                <w:szCs w:val="21"/>
                <w:lang w:val="en-US" w:eastAsia="zh-CN" w:bidi="ar"/>
              </w:rPr>
              <w:t>，得</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30"/>
                <w:rFonts w:hint="default" w:ascii="Times New Roman" w:hAnsi="Times New Roman" w:eastAsia="仿宋" w:cs="Times New Roman"/>
                <w:sz w:val="21"/>
                <w:szCs w:val="21"/>
                <w:lang w:val="en-US" w:eastAsia="zh-CN" w:bidi="ar"/>
              </w:rPr>
              <w:t>通过向参保人员发放调研问卷，成功回收</w:t>
            </w:r>
            <w:r>
              <w:rPr>
                <w:rFonts w:hint="default" w:ascii="Times New Roman" w:hAnsi="Times New Roman" w:eastAsia="仿宋" w:cs="Times New Roman"/>
                <w:i w:val="0"/>
                <w:iCs w:val="0"/>
                <w:color w:val="000000"/>
                <w:kern w:val="0"/>
                <w:sz w:val="21"/>
                <w:szCs w:val="21"/>
                <w:u w:val="none"/>
                <w:lang w:val="en-US" w:eastAsia="zh-CN" w:bidi="ar"/>
              </w:rPr>
              <w:t>105</w:t>
            </w:r>
            <w:r>
              <w:rPr>
                <w:rStyle w:val="30"/>
                <w:rFonts w:hint="default" w:ascii="Times New Roman" w:hAnsi="Times New Roman" w:eastAsia="仿宋" w:cs="Times New Roman"/>
                <w:sz w:val="21"/>
                <w:szCs w:val="21"/>
                <w:lang w:val="en-US" w:eastAsia="zh-CN" w:bidi="ar"/>
              </w:rPr>
              <w:t>分。根据调研结果显示，参保人员在待遇保障水平、个人缴费标准、缴费补贴力度、待遇申请便捷性、缴费方式、待遇发放及时性、政策宣传力度、经办人员服务态度以及工作效率方面，非常满意和满意的人数占比平均为</w:t>
            </w:r>
            <w:r>
              <w:rPr>
                <w:rFonts w:hint="default" w:ascii="Times New Roman" w:hAnsi="Times New Roman" w:eastAsia="仿宋" w:cs="Times New Roman"/>
                <w:i w:val="0"/>
                <w:iCs w:val="0"/>
                <w:color w:val="000000"/>
                <w:kern w:val="0"/>
                <w:sz w:val="21"/>
                <w:szCs w:val="21"/>
                <w:u w:val="none"/>
                <w:lang w:val="en-US" w:eastAsia="zh-CN" w:bidi="ar"/>
              </w:rPr>
              <w:t>92.80%</w:t>
            </w:r>
            <w:r>
              <w:rPr>
                <w:rStyle w:val="30"/>
                <w:rFonts w:hint="default" w:ascii="Times New Roman" w:hAnsi="Times New Roman" w:eastAsia="仿宋" w:cs="Times New Roman"/>
                <w:sz w:val="21"/>
                <w:szCs w:val="21"/>
                <w:lang w:val="en-US" w:eastAsia="zh-CN" w:bidi="ar"/>
              </w:rPr>
              <w:t>。根据评分标准，本项指标扣</w:t>
            </w:r>
            <w:r>
              <w:rPr>
                <w:rFonts w:hint="default" w:ascii="Times New Roman" w:hAnsi="Times New Roman" w:eastAsia="仿宋" w:cs="Times New Roman"/>
                <w:i w:val="0"/>
                <w:iCs w:val="0"/>
                <w:color w:val="000000"/>
                <w:kern w:val="0"/>
                <w:sz w:val="21"/>
                <w:szCs w:val="21"/>
                <w:u w:val="none"/>
                <w:lang w:val="en-US" w:eastAsia="zh-CN" w:bidi="ar"/>
              </w:rPr>
              <w:t>2</w:t>
            </w:r>
            <w:r>
              <w:rPr>
                <w:rStyle w:val="30"/>
                <w:rFonts w:hint="default" w:ascii="Times New Roman" w:hAnsi="Times New Roman" w:eastAsia="仿宋" w:cs="Times New Roman"/>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0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Style w:val="32"/>
                <w:rFonts w:hint="default" w:ascii="Times New Roman" w:hAnsi="Times New Roman" w:eastAsia="仿宋" w:cs="Times New Roman"/>
                <w:sz w:val="21"/>
                <w:szCs w:val="21"/>
                <w:lang w:val="en-US" w:eastAsia="zh-CN" w:bidi="ar"/>
              </w:rPr>
              <w:t>合计</w:t>
            </w:r>
            <w:r>
              <w:rPr>
                <w:rStyle w:val="32"/>
                <w:rFonts w:hint="eastAsia" w:ascii="Times New Roman" w:hAnsi="Times New Roman" w:eastAsia="仿宋" w:cs="Times New Roman"/>
                <w:sz w:val="21"/>
                <w:szCs w:val="21"/>
                <w:lang w:val="en-US" w:eastAsia="zh-CN" w:bidi="ar"/>
              </w:rPr>
              <w:t>得分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eastAsia" w:ascii="Times New Roman" w:hAnsi="Times New Roman" w:eastAsia="仿宋" w:cs="Times New Roman"/>
                <w:b/>
                <w:bCs/>
                <w:i w:val="0"/>
                <w:iCs w:val="0"/>
                <w:color w:val="000000"/>
                <w:kern w:val="0"/>
                <w:sz w:val="21"/>
                <w:szCs w:val="21"/>
                <w:u w:val="none"/>
                <w:lang w:val="en-US" w:eastAsia="zh-CN" w:bidi="ar"/>
              </w:rPr>
              <w:t>80</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b/>
                <w:bCs/>
                <w:i w:val="0"/>
                <w:iCs w:val="0"/>
                <w:color w:val="000000"/>
                <w:sz w:val="21"/>
                <w:szCs w:val="21"/>
                <w:u w:val="none"/>
              </w:rPr>
            </w:pPr>
          </w:p>
        </w:tc>
      </w:tr>
    </w:tbl>
    <w:p>
      <w:pPr>
        <w:rPr>
          <w:rFonts w:hint="default" w:ascii="Times New Roman" w:hAnsi="Times New Roman" w:eastAsia="仿宋" w:cs="Times New Roman"/>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8C10DF-0679-49A3-A36C-BFC80FA741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
    <w:altName w:val="Cambria"/>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2" w:fontKey="{E73CF8BF-5310-4869-9C74-E2DA30D8E15F}"/>
  </w:font>
  <w:font w:name="方正仿宋简体">
    <w:altName w:val="宋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58074787-0186-417C-88F4-850C552183DE}"/>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4" w:fontKey="{3338E78F-BC99-4AA7-AB23-E5B8AB020E0B}"/>
  </w:font>
  <w:font w:name="楷体">
    <w:panose1 w:val="02010609060101010101"/>
    <w:charset w:val="86"/>
    <w:family w:val="auto"/>
    <w:pitch w:val="default"/>
    <w:sig w:usb0="800002BF" w:usb1="38CF7CFA" w:usb2="00000016" w:usb3="00000000" w:csb0="00040001" w:csb1="00000000"/>
    <w:embedRegular r:id="rId5" w:fontKey="{4B9B4F7E-91EF-4B3D-A2BA-ECE6EF5E3413}"/>
  </w:font>
  <w:font w:name="楷体_GB2312">
    <w:panose1 w:val="02010609030101010101"/>
    <w:charset w:val="86"/>
    <w:family w:val="auto"/>
    <w:pitch w:val="default"/>
    <w:sig w:usb0="00000001" w:usb1="080E0000" w:usb2="00000000" w:usb3="00000000" w:csb0="00040000" w:csb1="00000000"/>
    <w:embedRegular r:id="rId6" w:fontKey="{65693BF8-D3B1-4EF4-979A-0D1BBF95654A}"/>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EC8BE"/>
    <w:multiLevelType w:val="singleLevel"/>
    <w:tmpl w:val="AA9EC8BE"/>
    <w:lvl w:ilvl="0" w:tentative="0">
      <w:start w:val="1"/>
      <w:numFmt w:val="chineseCounting"/>
      <w:suff w:val="nothing"/>
      <w:lvlText w:val="（%1）"/>
      <w:lvlJc w:val="left"/>
      <w:rPr>
        <w:rFonts w:hint="eastAsia"/>
      </w:rPr>
    </w:lvl>
  </w:abstractNum>
  <w:abstractNum w:abstractNumId="1">
    <w:nsid w:val="DE802254"/>
    <w:multiLevelType w:val="singleLevel"/>
    <w:tmpl w:val="DE802254"/>
    <w:lvl w:ilvl="0" w:tentative="0">
      <w:start w:val="1"/>
      <w:numFmt w:val="chineseCounting"/>
      <w:suff w:val="nothing"/>
      <w:lvlText w:val="（%1）"/>
      <w:lvlJc w:val="left"/>
      <w:rPr>
        <w:rFonts w:hint="eastAsia" w:ascii="楷体_GB2312" w:hAnsi="楷体_GB2312" w:eastAsia="楷体_GB2312" w:cs="楷体_GB2312"/>
      </w:rPr>
    </w:lvl>
  </w:abstractNum>
  <w:abstractNum w:abstractNumId="2">
    <w:nsid w:val="16D6DB79"/>
    <w:multiLevelType w:val="singleLevel"/>
    <w:tmpl w:val="16D6DB79"/>
    <w:lvl w:ilvl="0" w:tentative="0">
      <w:start w:val="1"/>
      <w:numFmt w:val="chineseCounting"/>
      <w:suff w:val="nothing"/>
      <w:lvlText w:val="（%1）"/>
      <w:lvlJc w:val="left"/>
      <w:rPr>
        <w:rFonts w:hint="eastAsia" w:ascii="楷体_GB2312" w:hAnsi="楷体_GB2312" w:eastAsia="楷体_GB2312" w:cs="楷体_GB2312"/>
      </w:rPr>
    </w:lvl>
  </w:abstractNum>
  <w:abstractNum w:abstractNumId="3">
    <w:nsid w:val="3A162FBC"/>
    <w:multiLevelType w:val="singleLevel"/>
    <w:tmpl w:val="3A162FBC"/>
    <w:lvl w:ilvl="0" w:tentative="0">
      <w:start w:val="1"/>
      <w:numFmt w:val="chineseCounting"/>
      <w:suff w:val="nothing"/>
      <w:lvlText w:val="（%1）"/>
      <w:lvlJc w:val="left"/>
      <w:rPr>
        <w:rFonts w:hint="eastAsia" w:ascii="楷体_GB2312" w:hAnsi="楷体_GB2312" w:eastAsia="楷体_GB2312" w:cs="楷体_GB2312"/>
      </w:rPr>
    </w:lvl>
  </w:abstractNum>
  <w:abstractNum w:abstractNumId="4">
    <w:nsid w:val="42C30EB1"/>
    <w:multiLevelType w:val="singleLevel"/>
    <w:tmpl w:val="42C30EB1"/>
    <w:lvl w:ilvl="0" w:tentative="0">
      <w:start w:val="1"/>
      <w:numFmt w:val="chineseCounting"/>
      <w:suff w:val="nothing"/>
      <w:lvlText w:val="%1、"/>
      <w:lvlJc w:val="left"/>
      <w:pPr>
        <w:ind w:left="210"/>
      </w:pPr>
      <w:rPr>
        <w:rFonts w:hint="eastAsia"/>
      </w:rPr>
    </w:lvl>
  </w:abstractNum>
  <w:abstractNum w:abstractNumId="5">
    <w:nsid w:val="448DEF7E"/>
    <w:multiLevelType w:val="singleLevel"/>
    <w:tmpl w:val="448DEF7E"/>
    <w:lvl w:ilvl="0" w:tentative="0">
      <w:start w:val="1"/>
      <w:numFmt w:val="chineseCounting"/>
      <w:suff w:val="nothing"/>
      <w:lvlText w:val="（%1）"/>
      <w:lvlJc w:val="left"/>
      <w:rPr>
        <w:rFonts w:hint="eastAsia" w:ascii="楷体_GB2312" w:hAnsi="楷体_GB2312" w:eastAsia="楷体_GB2312" w:cs="楷体_GB2312"/>
      </w:rPr>
    </w:lvl>
  </w:abstractNum>
  <w:abstractNum w:abstractNumId="6">
    <w:nsid w:val="792F50F7"/>
    <w:multiLevelType w:val="singleLevel"/>
    <w:tmpl w:val="792F50F7"/>
    <w:lvl w:ilvl="0" w:tentative="0">
      <w:start w:val="1"/>
      <w:numFmt w:val="chineseCounting"/>
      <w:suff w:val="nothing"/>
      <w:lvlText w:val="（%1）"/>
      <w:lvlJc w:val="left"/>
      <w:rPr>
        <w:rFonts w:hint="eastAsia" w:ascii="楷体_GB2312" w:hAnsi="楷体_GB2312" w:eastAsia="楷体_GB2312" w:cs="楷体_GB2312"/>
      </w:r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MTg3MzlmNTVkMWE0YjRhODRmZGJjYzY0YjM2ZjUifQ=="/>
  </w:docVars>
  <w:rsids>
    <w:rsidRoot w:val="00BF7E64"/>
    <w:rsid w:val="00044EF2"/>
    <w:rsid w:val="000D4419"/>
    <w:rsid w:val="00125861"/>
    <w:rsid w:val="00155351"/>
    <w:rsid w:val="002E1F6F"/>
    <w:rsid w:val="00311A5F"/>
    <w:rsid w:val="003357D8"/>
    <w:rsid w:val="00423C6D"/>
    <w:rsid w:val="00593490"/>
    <w:rsid w:val="005C088A"/>
    <w:rsid w:val="00641E35"/>
    <w:rsid w:val="00906967"/>
    <w:rsid w:val="00BF7E64"/>
    <w:rsid w:val="00C44682"/>
    <w:rsid w:val="00CB77BE"/>
    <w:rsid w:val="00D23242"/>
    <w:rsid w:val="00DE7F18"/>
    <w:rsid w:val="00DF14BB"/>
    <w:rsid w:val="00F9432B"/>
    <w:rsid w:val="010827C0"/>
    <w:rsid w:val="01160EA3"/>
    <w:rsid w:val="01195642"/>
    <w:rsid w:val="012B64AF"/>
    <w:rsid w:val="018067FB"/>
    <w:rsid w:val="018C1643"/>
    <w:rsid w:val="019F353E"/>
    <w:rsid w:val="01BD35AB"/>
    <w:rsid w:val="01C95043"/>
    <w:rsid w:val="01D17056"/>
    <w:rsid w:val="01EF572E"/>
    <w:rsid w:val="020B07BA"/>
    <w:rsid w:val="026558D4"/>
    <w:rsid w:val="02671935"/>
    <w:rsid w:val="02753E85"/>
    <w:rsid w:val="0284231A"/>
    <w:rsid w:val="02902A6D"/>
    <w:rsid w:val="02922C89"/>
    <w:rsid w:val="02B40E52"/>
    <w:rsid w:val="02BC7D06"/>
    <w:rsid w:val="02E01C47"/>
    <w:rsid w:val="03675EC4"/>
    <w:rsid w:val="039E565E"/>
    <w:rsid w:val="03A964DC"/>
    <w:rsid w:val="03AC7D7B"/>
    <w:rsid w:val="03F37758"/>
    <w:rsid w:val="04074FB1"/>
    <w:rsid w:val="04114082"/>
    <w:rsid w:val="042B5143"/>
    <w:rsid w:val="04365F55"/>
    <w:rsid w:val="043F299D"/>
    <w:rsid w:val="04402271"/>
    <w:rsid w:val="04441D61"/>
    <w:rsid w:val="045C354F"/>
    <w:rsid w:val="04BF763A"/>
    <w:rsid w:val="04E90B5B"/>
    <w:rsid w:val="04EB6681"/>
    <w:rsid w:val="04F75026"/>
    <w:rsid w:val="051536FE"/>
    <w:rsid w:val="0520015A"/>
    <w:rsid w:val="0548762F"/>
    <w:rsid w:val="05502988"/>
    <w:rsid w:val="05504736"/>
    <w:rsid w:val="057060E1"/>
    <w:rsid w:val="0580326D"/>
    <w:rsid w:val="05856AD5"/>
    <w:rsid w:val="059954BE"/>
    <w:rsid w:val="059960DD"/>
    <w:rsid w:val="05B265AD"/>
    <w:rsid w:val="05BE5B43"/>
    <w:rsid w:val="05C075FF"/>
    <w:rsid w:val="05C3315A"/>
    <w:rsid w:val="05E337FC"/>
    <w:rsid w:val="05F41565"/>
    <w:rsid w:val="05FE0636"/>
    <w:rsid w:val="060A6FDB"/>
    <w:rsid w:val="060B336B"/>
    <w:rsid w:val="063D4CBA"/>
    <w:rsid w:val="06625496"/>
    <w:rsid w:val="066A7A79"/>
    <w:rsid w:val="06744454"/>
    <w:rsid w:val="068E19BA"/>
    <w:rsid w:val="068E3768"/>
    <w:rsid w:val="06915006"/>
    <w:rsid w:val="06997BF8"/>
    <w:rsid w:val="069C40D7"/>
    <w:rsid w:val="06A05249"/>
    <w:rsid w:val="06A74829"/>
    <w:rsid w:val="06A7595F"/>
    <w:rsid w:val="071E0F8F"/>
    <w:rsid w:val="073C7668"/>
    <w:rsid w:val="075E75DE"/>
    <w:rsid w:val="077C3E1A"/>
    <w:rsid w:val="07832BA1"/>
    <w:rsid w:val="07911C2E"/>
    <w:rsid w:val="07950B26"/>
    <w:rsid w:val="07AC659B"/>
    <w:rsid w:val="07AD40C1"/>
    <w:rsid w:val="07C1191B"/>
    <w:rsid w:val="07DD1E9C"/>
    <w:rsid w:val="07E15B19"/>
    <w:rsid w:val="07F43A9E"/>
    <w:rsid w:val="08236A04"/>
    <w:rsid w:val="08256BE2"/>
    <w:rsid w:val="08471E20"/>
    <w:rsid w:val="08512C9F"/>
    <w:rsid w:val="08514A4D"/>
    <w:rsid w:val="085D56CD"/>
    <w:rsid w:val="085D7896"/>
    <w:rsid w:val="087370B9"/>
    <w:rsid w:val="08A94889"/>
    <w:rsid w:val="08CE42EF"/>
    <w:rsid w:val="08CE609D"/>
    <w:rsid w:val="08DA2C94"/>
    <w:rsid w:val="08E753B1"/>
    <w:rsid w:val="09047D11"/>
    <w:rsid w:val="090715AF"/>
    <w:rsid w:val="090D306A"/>
    <w:rsid w:val="09173EE8"/>
    <w:rsid w:val="093305F6"/>
    <w:rsid w:val="09371E95"/>
    <w:rsid w:val="0955056D"/>
    <w:rsid w:val="0969226A"/>
    <w:rsid w:val="098D7D07"/>
    <w:rsid w:val="09AB63DF"/>
    <w:rsid w:val="09AF2373"/>
    <w:rsid w:val="09D46859"/>
    <w:rsid w:val="09E87633"/>
    <w:rsid w:val="0A075D0B"/>
    <w:rsid w:val="0A1E2BE3"/>
    <w:rsid w:val="0A424CF5"/>
    <w:rsid w:val="0A4A3E4A"/>
    <w:rsid w:val="0A7669ED"/>
    <w:rsid w:val="0A880A18"/>
    <w:rsid w:val="0A8A693C"/>
    <w:rsid w:val="0A98139A"/>
    <w:rsid w:val="0A99092D"/>
    <w:rsid w:val="0AAA48E8"/>
    <w:rsid w:val="0AC97464"/>
    <w:rsid w:val="0AE0732E"/>
    <w:rsid w:val="0AE24082"/>
    <w:rsid w:val="0AE4604C"/>
    <w:rsid w:val="0AEF58AD"/>
    <w:rsid w:val="0AFF2E86"/>
    <w:rsid w:val="0B156206"/>
    <w:rsid w:val="0B1D155E"/>
    <w:rsid w:val="0B2B3C7B"/>
    <w:rsid w:val="0B352404"/>
    <w:rsid w:val="0B3A2110"/>
    <w:rsid w:val="0B492353"/>
    <w:rsid w:val="0B4B60CB"/>
    <w:rsid w:val="0B6831E5"/>
    <w:rsid w:val="0B93537C"/>
    <w:rsid w:val="0B9A07E1"/>
    <w:rsid w:val="0BBF6171"/>
    <w:rsid w:val="0BC045AA"/>
    <w:rsid w:val="0BCB44AD"/>
    <w:rsid w:val="0BCB4B16"/>
    <w:rsid w:val="0BCB720C"/>
    <w:rsid w:val="0BE1433A"/>
    <w:rsid w:val="0BEB76EF"/>
    <w:rsid w:val="0BEF2EFA"/>
    <w:rsid w:val="0C1666D9"/>
    <w:rsid w:val="0C177D5B"/>
    <w:rsid w:val="0C2B3807"/>
    <w:rsid w:val="0C396DB4"/>
    <w:rsid w:val="0C450D6C"/>
    <w:rsid w:val="0C471CFE"/>
    <w:rsid w:val="0C5745FC"/>
    <w:rsid w:val="0C6A2581"/>
    <w:rsid w:val="0C736711"/>
    <w:rsid w:val="0C7B29E0"/>
    <w:rsid w:val="0CA77331"/>
    <w:rsid w:val="0CAD246E"/>
    <w:rsid w:val="0CB8153E"/>
    <w:rsid w:val="0CB87790"/>
    <w:rsid w:val="0CB97065"/>
    <w:rsid w:val="0CBE506C"/>
    <w:rsid w:val="0CCD397D"/>
    <w:rsid w:val="0CF663AE"/>
    <w:rsid w:val="0D1D75F3"/>
    <w:rsid w:val="0D2E57AB"/>
    <w:rsid w:val="0D4252AC"/>
    <w:rsid w:val="0D466B4A"/>
    <w:rsid w:val="0D4E1EA3"/>
    <w:rsid w:val="0D4E3C51"/>
    <w:rsid w:val="0D5561A9"/>
    <w:rsid w:val="0D584ACF"/>
    <w:rsid w:val="0D7910F6"/>
    <w:rsid w:val="0D7A67F4"/>
    <w:rsid w:val="0D7D4536"/>
    <w:rsid w:val="0D95362E"/>
    <w:rsid w:val="0DAB4BFF"/>
    <w:rsid w:val="0DB717F6"/>
    <w:rsid w:val="0DBF06AB"/>
    <w:rsid w:val="0DDE3227"/>
    <w:rsid w:val="0DE10621"/>
    <w:rsid w:val="0DE14AC5"/>
    <w:rsid w:val="0DE620DB"/>
    <w:rsid w:val="0E146C48"/>
    <w:rsid w:val="0E2B3F92"/>
    <w:rsid w:val="0E303356"/>
    <w:rsid w:val="0E5A03D3"/>
    <w:rsid w:val="0E63372C"/>
    <w:rsid w:val="0E7B0A75"/>
    <w:rsid w:val="0E820056"/>
    <w:rsid w:val="0E9658AF"/>
    <w:rsid w:val="0E9C09EC"/>
    <w:rsid w:val="0EA55AF2"/>
    <w:rsid w:val="0EAE3AEF"/>
    <w:rsid w:val="0EAF4BC3"/>
    <w:rsid w:val="0ED71A24"/>
    <w:rsid w:val="0EE02FCE"/>
    <w:rsid w:val="0EE505E5"/>
    <w:rsid w:val="0EFD148A"/>
    <w:rsid w:val="0F1A0888"/>
    <w:rsid w:val="0F380715"/>
    <w:rsid w:val="0F3B0205"/>
    <w:rsid w:val="0F3D3F7D"/>
    <w:rsid w:val="0F557518"/>
    <w:rsid w:val="0F73174D"/>
    <w:rsid w:val="0F7A2ADB"/>
    <w:rsid w:val="0FA20284"/>
    <w:rsid w:val="0FA638D0"/>
    <w:rsid w:val="0FB35FED"/>
    <w:rsid w:val="0FC401FA"/>
    <w:rsid w:val="0FD04DF1"/>
    <w:rsid w:val="0FDF5034"/>
    <w:rsid w:val="0FE55046"/>
    <w:rsid w:val="100F5919"/>
    <w:rsid w:val="10190546"/>
    <w:rsid w:val="101C0036"/>
    <w:rsid w:val="1045758D"/>
    <w:rsid w:val="1096176D"/>
    <w:rsid w:val="10D40911"/>
    <w:rsid w:val="10D4446D"/>
    <w:rsid w:val="10EA5A3E"/>
    <w:rsid w:val="110034B4"/>
    <w:rsid w:val="11056D1C"/>
    <w:rsid w:val="1111121D"/>
    <w:rsid w:val="11124F95"/>
    <w:rsid w:val="111E1B8C"/>
    <w:rsid w:val="11292A0B"/>
    <w:rsid w:val="112E1DCF"/>
    <w:rsid w:val="113118BF"/>
    <w:rsid w:val="11317B11"/>
    <w:rsid w:val="11390774"/>
    <w:rsid w:val="113C0045"/>
    <w:rsid w:val="11427629"/>
    <w:rsid w:val="115E01DA"/>
    <w:rsid w:val="116E2B13"/>
    <w:rsid w:val="11733F8E"/>
    <w:rsid w:val="117528A3"/>
    <w:rsid w:val="119D0D03"/>
    <w:rsid w:val="11B04EDA"/>
    <w:rsid w:val="11B30526"/>
    <w:rsid w:val="11C52008"/>
    <w:rsid w:val="120C7C36"/>
    <w:rsid w:val="122E4051"/>
    <w:rsid w:val="1230601B"/>
    <w:rsid w:val="12394ECF"/>
    <w:rsid w:val="123E24E6"/>
    <w:rsid w:val="123E4294"/>
    <w:rsid w:val="124D2729"/>
    <w:rsid w:val="12582E7C"/>
    <w:rsid w:val="126B2BAF"/>
    <w:rsid w:val="127E28E2"/>
    <w:rsid w:val="12802AFE"/>
    <w:rsid w:val="128A572B"/>
    <w:rsid w:val="12A34475"/>
    <w:rsid w:val="12B02CB8"/>
    <w:rsid w:val="12C47920"/>
    <w:rsid w:val="12E7492B"/>
    <w:rsid w:val="12F157AA"/>
    <w:rsid w:val="12FD414F"/>
    <w:rsid w:val="13196AAF"/>
    <w:rsid w:val="13223C89"/>
    <w:rsid w:val="132316DC"/>
    <w:rsid w:val="13333C13"/>
    <w:rsid w:val="134A6C68"/>
    <w:rsid w:val="13665D79"/>
    <w:rsid w:val="136E6DFB"/>
    <w:rsid w:val="13897791"/>
    <w:rsid w:val="13B62550"/>
    <w:rsid w:val="13D1738A"/>
    <w:rsid w:val="13E64BE3"/>
    <w:rsid w:val="13EA09A1"/>
    <w:rsid w:val="13F54E26"/>
    <w:rsid w:val="140E7C96"/>
    <w:rsid w:val="14157276"/>
    <w:rsid w:val="141C177E"/>
    <w:rsid w:val="142E0338"/>
    <w:rsid w:val="14524026"/>
    <w:rsid w:val="14535FF1"/>
    <w:rsid w:val="145C6C53"/>
    <w:rsid w:val="1460719F"/>
    <w:rsid w:val="14636234"/>
    <w:rsid w:val="14885C9A"/>
    <w:rsid w:val="148A7C64"/>
    <w:rsid w:val="14965FAB"/>
    <w:rsid w:val="14A16EE9"/>
    <w:rsid w:val="14D94748"/>
    <w:rsid w:val="14E135FC"/>
    <w:rsid w:val="15175270"/>
    <w:rsid w:val="15194B44"/>
    <w:rsid w:val="152051AC"/>
    <w:rsid w:val="15210A86"/>
    <w:rsid w:val="15415E49"/>
    <w:rsid w:val="154F4A0A"/>
    <w:rsid w:val="15755FA6"/>
    <w:rsid w:val="15761F97"/>
    <w:rsid w:val="15BB3E4D"/>
    <w:rsid w:val="15D867AD"/>
    <w:rsid w:val="15EE7D7F"/>
    <w:rsid w:val="15FD53BA"/>
    <w:rsid w:val="16096967"/>
    <w:rsid w:val="161D03CE"/>
    <w:rsid w:val="161F618A"/>
    <w:rsid w:val="162714E3"/>
    <w:rsid w:val="165C73DE"/>
    <w:rsid w:val="165F2A2B"/>
    <w:rsid w:val="166E7112"/>
    <w:rsid w:val="16842491"/>
    <w:rsid w:val="168E1562"/>
    <w:rsid w:val="16923EC2"/>
    <w:rsid w:val="169E23FD"/>
    <w:rsid w:val="16A25075"/>
    <w:rsid w:val="16D01B7A"/>
    <w:rsid w:val="16F21AF1"/>
    <w:rsid w:val="172A4DE7"/>
    <w:rsid w:val="17312619"/>
    <w:rsid w:val="1763479D"/>
    <w:rsid w:val="176D1177"/>
    <w:rsid w:val="17746E7A"/>
    <w:rsid w:val="17836BED"/>
    <w:rsid w:val="1787048B"/>
    <w:rsid w:val="17935082"/>
    <w:rsid w:val="17C50FB3"/>
    <w:rsid w:val="17D82A95"/>
    <w:rsid w:val="17F83137"/>
    <w:rsid w:val="17FA007C"/>
    <w:rsid w:val="17FC7532"/>
    <w:rsid w:val="180A2E6A"/>
    <w:rsid w:val="18221F62"/>
    <w:rsid w:val="18297794"/>
    <w:rsid w:val="182E0907"/>
    <w:rsid w:val="18463EA2"/>
    <w:rsid w:val="187E26D8"/>
    <w:rsid w:val="188449CB"/>
    <w:rsid w:val="189C1D14"/>
    <w:rsid w:val="18B21538"/>
    <w:rsid w:val="18B54B84"/>
    <w:rsid w:val="18C461FA"/>
    <w:rsid w:val="1901426D"/>
    <w:rsid w:val="190475D2"/>
    <w:rsid w:val="190A3122"/>
    <w:rsid w:val="19285DCF"/>
    <w:rsid w:val="19487651"/>
    <w:rsid w:val="19526877"/>
    <w:rsid w:val="195A5A66"/>
    <w:rsid w:val="196071E6"/>
    <w:rsid w:val="19632832"/>
    <w:rsid w:val="19A277FE"/>
    <w:rsid w:val="19AD1CFF"/>
    <w:rsid w:val="19DD0836"/>
    <w:rsid w:val="19DE635C"/>
    <w:rsid w:val="19E07262"/>
    <w:rsid w:val="19E80F89"/>
    <w:rsid w:val="19EF056A"/>
    <w:rsid w:val="19F618F8"/>
    <w:rsid w:val="1A0E09F0"/>
    <w:rsid w:val="1A143B2C"/>
    <w:rsid w:val="1A163D48"/>
    <w:rsid w:val="1A231FC1"/>
    <w:rsid w:val="1A2A15A2"/>
    <w:rsid w:val="1A2C03BF"/>
    <w:rsid w:val="1A381F10"/>
    <w:rsid w:val="1A442663"/>
    <w:rsid w:val="1A6C3968"/>
    <w:rsid w:val="1A7171D0"/>
    <w:rsid w:val="1A7B1FBB"/>
    <w:rsid w:val="1A8E1B30"/>
    <w:rsid w:val="1A974E89"/>
    <w:rsid w:val="1AA72BF2"/>
    <w:rsid w:val="1AAB65CD"/>
    <w:rsid w:val="1AC90DBB"/>
    <w:rsid w:val="1B0D0CA7"/>
    <w:rsid w:val="1B177D78"/>
    <w:rsid w:val="1B1E1106"/>
    <w:rsid w:val="1B351FAC"/>
    <w:rsid w:val="1B356450"/>
    <w:rsid w:val="1B43291B"/>
    <w:rsid w:val="1B527002"/>
    <w:rsid w:val="1B9403E7"/>
    <w:rsid w:val="1BB43819"/>
    <w:rsid w:val="1BB6133F"/>
    <w:rsid w:val="1BCE3B64"/>
    <w:rsid w:val="1BD6553D"/>
    <w:rsid w:val="1BD87507"/>
    <w:rsid w:val="1BD9502D"/>
    <w:rsid w:val="1C146065"/>
    <w:rsid w:val="1C1D316C"/>
    <w:rsid w:val="1C2F10F1"/>
    <w:rsid w:val="1C393D1E"/>
    <w:rsid w:val="1C44694B"/>
    <w:rsid w:val="1C625023"/>
    <w:rsid w:val="1C646FED"/>
    <w:rsid w:val="1C67088B"/>
    <w:rsid w:val="1C8256C5"/>
    <w:rsid w:val="1C8808D7"/>
    <w:rsid w:val="1C937BEB"/>
    <w:rsid w:val="1C984EE8"/>
    <w:rsid w:val="1CA90EA4"/>
    <w:rsid w:val="1CB3587E"/>
    <w:rsid w:val="1CB66E24"/>
    <w:rsid w:val="1CD557F5"/>
    <w:rsid w:val="1CE4012E"/>
    <w:rsid w:val="1D3C4017"/>
    <w:rsid w:val="1D4B5AB7"/>
    <w:rsid w:val="1D5675C9"/>
    <w:rsid w:val="1D5726AE"/>
    <w:rsid w:val="1D5A03F0"/>
    <w:rsid w:val="1D882867"/>
    <w:rsid w:val="1DA21F28"/>
    <w:rsid w:val="1DC85359"/>
    <w:rsid w:val="1DD0420E"/>
    <w:rsid w:val="1DF20628"/>
    <w:rsid w:val="1DF223D6"/>
    <w:rsid w:val="1E4569AA"/>
    <w:rsid w:val="1E4D585F"/>
    <w:rsid w:val="1E4F5A7B"/>
    <w:rsid w:val="1E51534F"/>
    <w:rsid w:val="1E543091"/>
    <w:rsid w:val="1E786A08"/>
    <w:rsid w:val="1E890F8D"/>
    <w:rsid w:val="1E91399D"/>
    <w:rsid w:val="1EC51899"/>
    <w:rsid w:val="1EDB2E6A"/>
    <w:rsid w:val="1EE75CB3"/>
    <w:rsid w:val="1EF34658"/>
    <w:rsid w:val="1EFD1033"/>
    <w:rsid w:val="1F0979D8"/>
    <w:rsid w:val="1F0C1276"/>
    <w:rsid w:val="1F464788"/>
    <w:rsid w:val="1F4E7AE0"/>
    <w:rsid w:val="1F947BE9"/>
    <w:rsid w:val="1F9A0F77"/>
    <w:rsid w:val="1FC41B50"/>
    <w:rsid w:val="1FCB7383"/>
    <w:rsid w:val="20191E9C"/>
    <w:rsid w:val="201C198C"/>
    <w:rsid w:val="202251F5"/>
    <w:rsid w:val="202D1DEC"/>
    <w:rsid w:val="20344F28"/>
    <w:rsid w:val="203647FC"/>
    <w:rsid w:val="204809D3"/>
    <w:rsid w:val="204C4CF3"/>
    <w:rsid w:val="20670E5A"/>
    <w:rsid w:val="20BB2F53"/>
    <w:rsid w:val="20BC398C"/>
    <w:rsid w:val="20BF0C96"/>
    <w:rsid w:val="20D64231"/>
    <w:rsid w:val="20D858B3"/>
    <w:rsid w:val="20EB1A8B"/>
    <w:rsid w:val="211508B6"/>
    <w:rsid w:val="213F5933"/>
    <w:rsid w:val="21584C46"/>
    <w:rsid w:val="215A065E"/>
    <w:rsid w:val="21731A80"/>
    <w:rsid w:val="21780E44"/>
    <w:rsid w:val="21B207FA"/>
    <w:rsid w:val="21BC55CF"/>
    <w:rsid w:val="21C30312"/>
    <w:rsid w:val="21D70261"/>
    <w:rsid w:val="21EF55AB"/>
    <w:rsid w:val="221440A4"/>
    <w:rsid w:val="22146DBF"/>
    <w:rsid w:val="2217065D"/>
    <w:rsid w:val="22284619"/>
    <w:rsid w:val="22286D9D"/>
    <w:rsid w:val="2245341D"/>
    <w:rsid w:val="225E003A"/>
    <w:rsid w:val="22680EB9"/>
    <w:rsid w:val="229B20FD"/>
    <w:rsid w:val="22BA5BB9"/>
    <w:rsid w:val="22CC31F6"/>
    <w:rsid w:val="22CF718A"/>
    <w:rsid w:val="22EE5862"/>
    <w:rsid w:val="22EF5136"/>
    <w:rsid w:val="22F4274D"/>
    <w:rsid w:val="23046E34"/>
    <w:rsid w:val="231352C9"/>
    <w:rsid w:val="233D40F4"/>
    <w:rsid w:val="233D61CE"/>
    <w:rsid w:val="234E00AF"/>
    <w:rsid w:val="234E6301"/>
    <w:rsid w:val="2351194D"/>
    <w:rsid w:val="23810484"/>
    <w:rsid w:val="2387194A"/>
    <w:rsid w:val="238D507B"/>
    <w:rsid w:val="23971A56"/>
    <w:rsid w:val="2398757C"/>
    <w:rsid w:val="23AE0B4E"/>
    <w:rsid w:val="23F21382"/>
    <w:rsid w:val="23F549CE"/>
    <w:rsid w:val="24213A15"/>
    <w:rsid w:val="242341FB"/>
    <w:rsid w:val="244020ED"/>
    <w:rsid w:val="247955FF"/>
    <w:rsid w:val="2484198E"/>
    <w:rsid w:val="24A361D8"/>
    <w:rsid w:val="24BE3012"/>
    <w:rsid w:val="24D9609E"/>
    <w:rsid w:val="24DD793C"/>
    <w:rsid w:val="24E30CCB"/>
    <w:rsid w:val="24EA02AB"/>
    <w:rsid w:val="24EF141E"/>
    <w:rsid w:val="24FD7FDE"/>
    <w:rsid w:val="250A26FB"/>
    <w:rsid w:val="251F61A7"/>
    <w:rsid w:val="25401C79"/>
    <w:rsid w:val="25551CBF"/>
    <w:rsid w:val="255676EF"/>
    <w:rsid w:val="255816B9"/>
    <w:rsid w:val="257A33DD"/>
    <w:rsid w:val="25873D4C"/>
    <w:rsid w:val="25937F25"/>
    <w:rsid w:val="25981AB5"/>
    <w:rsid w:val="25C96113"/>
    <w:rsid w:val="25D36F91"/>
    <w:rsid w:val="25E22D30"/>
    <w:rsid w:val="25E371D4"/>
    <w:rsid w:val="25F5515A"/>
    <w:rsid w:val="25FC2044"/>
    <w:rsid w:val="261849A4"/>
    <w:rsid w:val="2622053B"/>
    <w:rsid w:val="26284BE7"/>
    <w:rsid w:val="26345C82"/>
    <w:rsid w:val="263D1CFC"/>
    <w:rsid w:val="264F6618"/>
    <w:rsid w:val="26647BE9"/>
    <w:rsid w:val="2677791D"/>
    <w:rsid w:val="267918E7"/>
    <w:rsid w:val="26865DB2"/>
    <w:rsid w:val="26904F49"/>
    <w:rsid w:val="26976211"/>
    <w:rsid w:val="26995AE5"/>
    <w:rsid w:val="269A360B"/>
    <w:rsid w:val="26AA5F44"/>
    <w:rsid w:val="26BE379D"/>
    <w:rsid w:val="26C77FA7"/>
    <w:rsid w:val="26E03714"/>
    <w:rsid w:val="26E256DE"/>
    <w:rsid w:val="26E52AD8"/>
    <w:rsid w:val="27007945"/>
    <w:rsid w:val="27075144"/>
    <w:rsid w:val="270C3E08"/>
    <w:rsid w:val="27194E78"/>
    <w:rsid w:val="27270A10"/>
    <w:rsid w:val="272E0923"/>
    <w:rsid w:val="27391076"/>
    <w:rsid w:val="273B094A"/>
    <w:rsid w:val="273D46C2"/>
    <w:rsid w:val="274F0899"/>
    <w:rsid w:val="275E288B"/>
    <w:rsid w:val="276854B7"/>
    <w:rsid w:val="276E0D20"/>
    <w:rsid w:val="276E51C4"/>
    <w:rsid w:val="27734588"/>
    <w:rsid w:val="27752CC6"/>
    <w:rsid w:val="277B39CD"/>
    <w:rsid w:val="278247CB"/>
    <w:rsid w:val="278E3170"/>
    <w:rsid w:val="27912C60"/>
    <w:rsid w:val="27983FEE"/>
    <w:rsid w:val="27985D9D"/>
    <w:rsid w:val="27A110F5"/>
    <w:rsid w:val="27B21A2B"/>
    <w:rsid w:val="27F531EF"/>
    <w:rsid w:val="27F92BDD"/>
    <w:rsid w:val="28237D5C"/>
    <w:rsid w:val="283261F1"/>
    <w:rsid w:val="28433ECA"/>
    <w:rsid w:val="28537F15"/>
    <w:rsid w:val="285458B5"/>
    <w:rsid w:val="287C56BE"/>
    <w:rsid w:val="28BD7DF3"/>
    <w:rsid w:val="28CB3F50"/>
    <w:rsid w:val="28D34EC6"/>
    <w:rsid w:val="28D472A8"/>
    <w:rsid w:val="28E76FDC"/>
    <w:rsid w:val="28E868B0"/>
    <w:rsid w:val="28EA6ACC"/>
    <w:rsid w:val="29016C99"/>
    <w:rsid w:val="290F6532"/>
    <w:rsid w:val="290F75E7"/>
    <w:rsid w:val="291122AA"/>
    <w:rsid w:val="291E22D1"/>
    <w:rsid w:val="291E49C7"/>
    <w:rsid w:val="29217161"/>
    <w:rsid w:val="29231FDE"/>
    <w:rsid w:val="2939710B"/>
    <w:rsid w:val="293B7327"/>
    <w:rsid w:val="294363FE"/>
    <w:rsid w:val="29480794"/>
    <w:rsid w:val="29581C87"/>
    <w:rsid w:val="295F594B"/>
    <w:rsid w:val="29705B8D"/>
    <w:rsid w:val="2987256D"/>
    <w:rsid w:val="299802D6"/>
    <w:rsid w:val="299B7DC6"/>
    <w:rsid w:val="29BA46F0"/>
    <w:rsid w:val="29C27101"/>
    <w:rsid w:val="29C42E79"/>
    <w:rsid w:val="29CE1F49"/>
    <w:rsid w:val="29E4176D"/>
    <w:rsid w:val="2A1F09F7"/>
    <w:rsid w:val="2A353B5D"/>
    <w:rsid w:val="2A783C63"/>
    <w:rsid w:val="2A790107"/>
    <w:rsid w:val="2A7A3E7F"/>
    <w:rsid w:val="2A8249EA"/>
    <w:rsid w:val="2A8B7E3A"/>
    <w:rsid w:val="2A9C2048"/>
    <w:rsid w:val="2A9C3DF6"/>
    <w:rsid w:val="2AA33FEE"/>
    <w:rsid w:val="2AA8279A"/>
    <w:rsid w:val="2AB253C7"/>
    <w:rsid w:val="2AC46EA9"/>
    <w:rsid w:val="2AEA2DB3"/>
    <w:rsid w:val="2B1240B8"/>
    <w:rsid w:val="2B142300"/>
    <w:rsid w:val="2B4C1378"/>
    <w:rsid w:val="2B4F0E68"/>
    <w:rsid w:val="2B54647E"/>
    <w:rsid w:val="2B591CE7"/>
    <w:rsid w:val="2B836D64"/>
    <w:rsid w:val="2B852ADC"/>
    <w:rsid w:val="2B8C5C18"/>
    <w:rsid w:val="2B8F395A"/>
    <w:rsid w:val="2BA341AC"/>
    <w:rsid w:val="2BAC0068"/>
    <w:rsid w:val="2BB533C1"/>
    <w:rsid w:val="2BCC24B9"/>
    <w:rsid w:val="2BEC4909"/>
    <w:rsid w:val="2C1B0D4A"/>
    <w:rsid w:val="2C1F4CDE"/>
    <w:rsid w:val="2C2D453E"/>
    <w:rsid w:val="2C365B84"/>
    <w:rsid w:val="2C385DA0"/>
    <w:rsid w:val="2C4C53A8"/>
    <w:rsid w:val="2C5030EA"/>
    <w:rsid w:val="2C55425C"/>
    <w:rsid w:val="2C6170A5"/>
    <w:rsid w:val="2C6B3A80"/>
    <w:rsid w:val="2C752B50"/>
    <w:rsid w:val="2C7F752B"/>
    <w:rsid w:val="2C98683F"/>
    <w:rsid w:val="2C9C632F"/>
    <w:rsid w:val="2CC338BC"/>
    <w:rsid w:val="2CC633AC"/>
    <w:rsid w:val="2CD05FD9"/>
    <w:rsid w:val="2CD71115"/>
    <w:rsid w:val="2CDF446E"/>
    <w:rsid w:val="2D0839C4"/>
    <w:rsid w:val="2D1063D5"/>
    <w:rsid w:val="2D1B54A6"/>
    <w:rsid w:val="2D1C2FCC"/>
    <w:rsid w:val="2D1C4D7A"/>
    <w:rsid w:val="2D297497"/>
    <w:rsid w:val="2D482013"/>
    <w:rsid w:val="2D5E1836"/>
    <w:rsid w:val="2D80355B"/>
    <w:rsid w:val="2D9B0395"/>
    <w:rsid w:val="2DAE5947"/>
    <w:rsid w:val="2DCC054E"/>
    <w:rsid w:val="2DEF248E"/>
    <w:rsid w:val="2DF45796"/>
    <w:rsid w:val="2E110657"/>
    <w:rsid w:val="2E206AEC"/>
    <w:rsid w:val="2E33681F"/>
    <w:rsid w:val="2E3600BD"/>
    <w:rsid w:val="2E3F51C4"/>
    <w:rsid w:val="2E4B1DBB"/>
    <w:rsid w:val="2E5073D1"/>
    <w:rsid w:val="2E514EF7"/>
    <w:rsid w:val="2E516CA5"/>
    <w:rsid w:val="2E692241"/>
    <w:rsid w:val="2E6D7F83"/>
    <w:rsid w:val="2E734E6D"/>
    <w:rsid w:val="2E8C5F2F"/>
    <w:rsid w:val="2E996D68"/>
    <w:rsid w:val="2E9D013C"/>
    <w:rsid w:val="2EA8720D"/>
    <w:rsid w:val="2EAB0AAB"/>
    <w:rsid w:val="2EAC037F"/>
    <w:rsid w:val="2EAD4823"/>
    <w:rsid w:val="2EBC05C2"/>
    <w:rsid w:val="2EC27BA3"/>
    <w:rsid w:val="2ED2428A"/>
    <w:rsid w:val="2EFC1307"/>
    <w:rsid w:val="2F124686"/>
    <w:rsid w:val="2F1E127D"/>
    <w:rsid w:val="2F4D1B62"/>
    <w:rsid w:val="2F642A08"/>
    <w:rsid w:val="2F6F3887"/>
    <w:rsid w:val="2F886A51"/>
    <w:rsid w:val="2FA63021"/>
    <w:rsid w:val="2FBB2F70"/>
    <w:rsid w:val="2FE853E7"/>
    <w:rsid w:val="2FFA3A98"/>
    <w:rsid w:val="3002294D"/>
    <w:rsid w:val="300264A9"/>
    <w:rsid w:val="300E3119"/>
    <w:rsid w:val="300F506A"/>
    <w:rsid w:val="3011060A"/>
    <w:rsid w:val="3014442E"/>
    <w:rsid w:val="302503E9"/>
    <w:rsid w:val="302A1EA4"/>
    <w:rsid w:val="302A3C52"/>
    <w:rsid w:val="30474804"/>
    <w:rsid w:val="30744ECD"/>
    <w:rsid w:val="307F5D4C"/>
    <w:rsid w:val="309335A5"/>
    <w:rsid w:val="30AE6631"/>
    <w:rsid w:val="30C21D5E"/>
    <w:rsid w:val="30C419B0"/>
    <w:rsid w:val="30CC0187"/>
    <w:rsid w:val="30CD2F5B"/>
    <w:rsid w:val="30D77936"/>
    <w:rsid w:val="30E805F9"/>
    <w:rsid w:val="30F71D86"/>
    <w:rsid w:val="311751B0"/>
    <w:rsid w:val="31253A1B"/>
    <w:rsid w:val="31267093"/>
    <w:rsid w:val="31336B36"/>
    <w:rsid w:val="31376626"/>
    <w:rsid w:val="31576CC8"/>
    <w:rsid w:val="31771119"/>
    <w:rsid w:val="317E24A7"/>
    <w:rsid w:val="317F1D7B"/>
    <w:rsid w:val="318448DF"/>
    <w:rsid w:val="3199108F"/>
    <w:rsid w:val="31AA7B4B"/>
    <w:rsid w:val="31B1462B"/>
    <w:rsid w:val="31B22151"/>
    <w:rsid w:val="31B9528D"/>
    <w:rsid w:val="31B9703B"/>
    <w:rsid w:val="31BD2FCF"/>
    <w:rsid w:val="31C205E6"/>
    <w:rsid w:val="31C56268"/>
    <w:rsid w:val="31C57043"/>
    <w:rsid w:val="31DB16A7"/>
    <w:rsid w:val="31EB11BF"/>
    <w:rsid w:val="320209E2"/>
    <w:rsid w:val="32110C25"/>
    <w:rsid w:val="32180206"/>
    <w:rsid w:val="32186458"/>
    <w:rsid w:val="321F2FC9"/>
    <w:rsid w:val="32253171"/>
    <w:rsid w:val="32566F80"/>
    <w:rsid w:val="32755658"/>
    <w:rsid w:val="329830F5"/>
    <w:rsid w:val="329B0E37"/>
    <w:rsid w:val="32A001FB"/>
    <w:rsid w:val="32A9560F"/>
    <w:rsid w:val="32B67A1F"/>
    <w:rsid w:val="32BB6DE3"/>
    <w:rsid w:val="330B1B18"/>
    <w:rsid w:val="334D0383"/>
    <w:rsid w:val="33572FB0"/>
    <w:rsid w:val="335A2AA0"/>
    <w:rsid w:val="33613E2E"/>
    <w:rsid w:val="336631F3"/>
    <w:rsid w:val="33664FA1"/>
    <w:rsid w:val="338C505F"/>
    <w:rsid w:val="338D69D1"/>
    <w:rsid w:val="33955886"/>
    <w:rsid w:val="33D75369"/>
    <w:rsid w:val="33E5680D"/>
    <w:rsid w:val="33F64577"/>
    <w:rsid w:val="340053F5"/>
    <w:rsid w:val="341E1D1F"/>
    <w:rsid w:val="34321327"/>
    <w:rsid w:val="344A041F"/>
    <w:rsid w:val="344C23E9"/>
    <w:rsid w:val="344F3C87"/>
    <w:rsid w:val="3454129D"/>
    <w:rsid w:val="345B262C"/>
    <w:rsid w:val="34627E5E"/>
    <w:rsid w:val="346D235F"/>
    <w:rsid w:val="34757B91"/>
    <w:rsid w:val="34883693"/>
    <w:rsid w:val="348E0C53"/>
    <w:rsid w:val="348E47AF"/>
    <w:rsid w:val="34A044E2"/>
    <w:rsid w:val="34AE30A3"/>
    <w:rsid w:val="34B64EDC"/>
    <w:rsid w:val="34B65AB4"/>
    <w:rsid w:val="34BD32E6"/>
    <w:rsid w:val="34D0301A"/>
    <w:rsid w:val="34D32B0A"/>
    <w:rsid w:val="34D83C7C"/>
    <w:rsid w:val="34DA6BFC"/>
    <w:rsid w:val="34E645EB"/>
    <w:rsid w:val="34E940DB"/>
    <w:rsid w:val="35006613"/>
    <w:rsid w:val="350607E9"/>
    <w:rsid w:val="354D6418"/>
    <w:rsid w:val="35505F08"/>
    <w:rsid w:val="3566572C"/>
    <w:rsid w:val="357D65D2"/>
    <w:rsid w:val="358636D8"/>
    <w:rsid w:val="35887450"/>
    <w:rsid w:val="35906305"/>
    <w:rsid w:val="35B93781"/>
    <w:rsid w:val="35BC70FA"/>
    <w:rsid w:val="35C16E06"/>
    <w:rsid w:val="35EA0E10"/>
    <w:rsid w:val="35F72828"/>
    <w:rsid w:val="35F9034E"/>
    <w:rsid w:val="36064819"/>
    <w:rsid w:val="360C62D3"/>
    <w:rsid w:val="360F7B72"/>
    <w:rsid w:val="36257395"/>
    <w:rsid w:val="362A675A"/>
    <w:rsid w:val="363B44C3"/>
    <w:rsid w:val="36525CB0"/>
    <w:rsid w:val="36545584"/>
    <w:rsid w:val="36653C36"/>
    <w:rsid w:val="367F4CF7"/>
    <w:rsid w:val="368340BC"/>
    <w:rsid w:val="36B04C59"/>
    <w:rsid w:val="36B67FED"/>
    <w:rsid w:val="36CE17DB"/>
    <w:rsid w:val="36D05553"/>
    <w:rsid w:val="36E96615"/>
    <w:rsid w:val="36EC7EB3"/>
    <w:rsid w:val="36F01751"/>
    <w:rsid w:val="370074BA"/>
    <w:rsid w:val="37021484"/>
    <w:rsid w:val="3727621C"/>
    <w:rsid w:val="374522CB"/>
    <w:rsid w:val="37492C0F"/>
    <w:rsid w:val="375C0FF0"/>
    <w:rsid w:val="37661A13"/>
    <w:rsid w:val="377F2AD5"/>
    <w:rsid w:val="3784633D"/>
    <w:rsid w:val="378620B5"/>
    <w:rsid w:val="37863E63"/>
    <w:rsid w:val="37C87FD8"/>
    <w:rsid w:val="37DF17C6"/>
    <w:rsid w:val="37EB1F18"/>
    <w:rsid w:val="3821593A"/>
    <w:rsid w:val="38341B11"/>
    <w:rsid w:val="383C4522"/>
    <w:rsid w:val="385C4BC4"/>
    <w:rsid w:val="38606463"/>
    <w:rsid w:val="388008B3"/>
    <w:rsid w:val="3885236D"/>
    <w:rsid w:val="388A1731"/>
    <w:rsid w:val="38966328"/>
    <w:rsid w:val="38AC5B4C"/>
    <w:rsid w:val="38BD5663"/>
    <w:rsid w:val="38C369F1"/>
    <w:rsid w:val="38D94467"/>
    <w:rsid w:val="38DD4BEB"/>
    <w:rsid w:val="38EE7F12"/>
    <w:rsid w:val="3905700A"/>
    <w:rsid w:val="390C0398"/>
    <w:rsid w:val="39184F8F"/>
    <w:rsid w:val="393125F0"/>
    <w:rsid w:val="3934169D"/>
    <w:rsid w:val="39351613"/>
    <w:rsid w:val="393A3157"/>
    <w:rsid w:val="395D6E46"/>
    <w:rsid w:val="395F2BBE"/>
    <w:rsid w:val="395F671A"/>
    <w:rsid w:val="39671A73"/>
    <w:rsid w:val="396C6330"/>
    <w:rsid w:val="396E2E01"/>
    <w:rsid w:val="399A1E48"/>
    <w:rsid w:val="399D7242"/>
    <w:rsid w:val="39B747A8"/>
    <w:rsid w:val="39C921EB"/>
    <w:rsid w:val="39D013C6"/>
    <w:rsid w:val="39D30EB6"/>
    <w:rsid w:val="39D92970"/>
    <w:rsid w:val="3A1A0893"/>
    <w:rsid w:val="3A1C5D79"/>
    <w:rsid w:val="3A220C58"/>
    <w:rsid w:val="3A231E3E"/>
    <w:rsid w:val="3A23599A"/>
    <w:rsid w:val="3A543DA5"/>
    <w:rsid w:val="3A571AE7"/>
    <w:rsid w:val="3A726921"/>
    <w:rsid w:val="3A946897"/>
    <w:rsid w:val="3AAA7E69"/>
    <w:rsid w:val="3AAF1923"/>
    <w:rsid w:val="3ABE235B"/>
    <w:rsid w:val="3AC76C6D"/>
    <w:rsid w:val="3ACC6031"/>
    <w:rsid w:val="3AD60AE8"/>
    <w:rsid w:val="3AD62A0C"/>
    <w:rsid w:val="3AFA0DF0"/>
    <w:rsid w:val="3B037579"/>
    <w:rsid w:val="3B4C2CCE"/>
    <w:rsid w:val="3B4F0A10"/>
    <w:rsid w:val="3B64270E"/>
    <w:rsid w:val="3B693880"/>
    <w:rsid w:val="3B8001E0"/>
    <w:rsid w:val="3B8E1539"/>
    <w:rsid w:val="3BAE5737"/>
    <w:rsid w:val="3BB371F1"/>
    <w:rsid w:val="3BC211E2"/>
    <w:rsid w:val="3BC431AC"/>
    <w:rsid w:val="3BC62A80"/>
    <w:rsid w:val="3BC92571"/>
    <w:rsid w:val="3BD056AD"/>
    <w:rsid w:val="3BFD221A"/>
    <w:rsid w:val="3BFE66BE"/>
    <w:rsid w:val="3C136A22"/>
    <w:rsid w:val="3C187054"/>
    <w:rsid w:val="3C4D6CFE"/>
    <w:rsid w:val="3C597D99"/>
    <w:rsid w:val="3C5E715D"/>
    <w:rsid w:val="3C5F4C83"/>
    <w:rsid w:val="3C850B8E"/>
    <w:rsid w:val="3C922A41"/>
    <w:rsid w:val="3C9708C1"/>
    <w:rsid w:val="3C9E57AB"/>
    <w:rsid w:val="3CA408E8"/>
    <w:rsid w:val="3CBB18C6"/>
    <w:rsid w:val="3CCF3BB7"/>
    <w:rsid w:val="3CD264BC"/>
    <w:rsid w:val="3CD45671"/>
    <w:rsid w:val="3CDD2778"/>
    <w:rsid w:val="3D0870C9"/>
    <w:rsid w:val="3D0D46DF"/>
    <w:rsid w:val="3D1117D8"/>
    <w:rsid w:val="3D1D2B74"/>
    <w:rsid w:val="3D2739F3"/>
    <w:rsid w:val="3D2C1009"/>
    <w:rsid w:val="3D2E2FD3"/>
    <w:rsid w:val="3D3B56F0"/>
    <w:rsid w:val="3D483969"/>
    <w:rsid w:val="3D8E5820"/>
    <w:rsid w:val="3D956BAE"/>
    <w:rsid w:val="3DDA6CB7"/>
    <w:rsid w:val="3DDC2A2F"/>
    <w:rsid w:val="3DDF42CD"/>
    <w:rsid w:val="3DDF7E2A"/>
    <w:rsid w:val="3DE74F30"/>
    <w:rsid w:val="3DEB0EC4"/>
    <w:rsid w:val="3E285C74"/>
    <w:rsid w:val="3E2E7003"/>
    <w:rsid w:val="3E432AAE"/>
    <w:rsid w:val="3E4B1963"/>
    <w:rsid w:val="3E4D7489"/>
    <w:rsid w:val="3E5325C6"/>
    <w:rsid w:val="3E55633E"/>
    <w:rsid w:val="3E6F5651"/>
    <w:rsid w:val="3EBF7C5B"/>
    <w:rsid w:val="3EEE3679"/>
    <w:rsid w:val="3F0B2EA0"/>
    <w:rsid w:val="3F0B3135"/>
    <w:rsid w:val="3F3C12AC"/>
    <w:rsid w:val="3F542A99"/>
    <w:rsid w:val="3F5605BF"/>
    <w:rsid w:val="3F56236D"/>
    <w:rsid w:val="3F786788"/>
    <w:rsid w:val="3F9119DB"/>
    <w:rsid w:val="3F980BD8"/>
    <w:rsid w:val="3F9A5CE4"/>
    <w:rsid w:val="3FA70E1B"/>
    <w:rsid w:val="3FAA4098"/>
    <w:rsid w:val="40055B41"/>
    <w:rsid w:val="40061D9E"/>
    <w:rsid w:val="400F00E4"/>
    <w:rsid w:val="40322DDA"/>
    <w:rsid w:val="4037219F"/>
    <w:rsid w:val="403D52DB"/>
    <w:rsid w:val="409C46F8"/>
    <w:rsid w:val="40A9471F"/>
    <w:rsid w:val="40C61775"/>
    <w:rsid w:val="40C63523"/>
    <w:rsid w:val="40C81049"/>
    <w:rsid w:val="40DC2CE2"/>
    <w:rsid w:val="40E55B37"/>
    <w:rsid w:val="40F41E3E"/>
    <w:rsid w:val="41067DC3"/>
    <w:rsid w:val="41195D48"/>
    <w:rsid w:val="412344D1"/>
    <w:rsid w:val="413761CE"/>
    <w:rsid w:val="41391F47"/>
    <w:rsid w:val="41601281"/>
    <w:rsid w:val="41760AA5"/>
    <w:rsid w:val="41792343"/>
    <w:rsid w:val="418036D2"/>
    <w:rsid w:val="41B94E35"/>
    <w:rsid w:val="41C061C4"/>
    <w:rsid w:val="41D43A1D"/>
    <w:rsid w:val="41DA54D8"/>
    <w:rsid w:val="41DD28D2"/>
    <w:rsid w:val="41E77BF5"/>
    <w:rsid w:val="41F36599"/>
    <w:rsid w:val="41F90D90"/>
    <w:rsid w:val="42002A64"/>
    <w:rsid w:val="4214206C"/>
    <w:rsid w:val="42295B17"/>
    <w:rsid w:val="423435B8"/>
    <w:rsid w:val="425752A0"/>
    <w:rsid w:val="42770F78"/>
    <w:rsid w:val="427A45C5"/>
    <w:rsid w:val="427B20EB"/>
    <w:rsid w:val="428C60A6"/>
    <w:rsid w:val="4292190E"/>
    <w:rsid w:val="42996133"/>
    <w:rsid w:val="42AB0C22"/>
    <w:rsid w:val="42BF46CD"/>
    <w:rsid w:val="42C24D65"/>
    <w:rsid w:val="42C822E3"/>
    <w:rsid w:val="42CD0B98"/>
    <w:rsid w:val="42D40179"/>
    <w:rsid w:val="42DD22F7"/>
    <w:rsid w:val="42E303BC"/>
    <w:rsid w:val="42F36125"/>
    <w:rsid w:val="43140575"/>
    <w:rsid w:val="431467C7"/>
    <w:rsid w:val="431B5DA8"/>
    <w:rsid w:val="431C1B20"/>
    <w:rsid w:val="431C38CE"/>
    <w:rsid w:val="4339622E"/>
    <w:rsid w:val="43430E5B"/>
    <w:rsid w:val="4357298B"/>
    <w:rsid w:val="437D25BE"/>
    <w:rsid w:val="43851FF2"/>
    <w:rsid w:val="43A833B4"/>
    <w:rsid w:val="43E02B4D"/>
    <w:rsid w:val="43E53CC0"/>
    <w:rsid w:val="43F735BB"/>
    <w:rsid w:val="43F839F3"/>
    <w:rsid w:val="44030E54"/>
    <w:rsid w:val="44164CE1"/>
    <w:rsid w:val="441D78FE"/>
    <w:rsid w:val="441E71D2"/>
    <w:rsid w:val="44223166"/>
    <w:rsid w:val="44625310"/>
    <w:rsid w:val="44627A06"/>
    <w:rsid w:val="447514E8"/>
    <w:rsid w:val="44753296"/>
    <w:rsid w:val="448160DE"/>
    <w:rsid w:val="44817E8C"/>
    <w:rsid w:val="448C6831"/>
    <w:rsid w:val="449A0F4E"/>
    <w:rsid w:val="449F0313"/>
    <w:rsid w:val="44A91191"/>
    <w:rsid w:val="44B00772"/>
    <w:rsid w:val="44D0671E"/>
    <w:rsid w:val="44D83825"/>
    <w:rsid w:val="44E64193"/>
    <w:rsid w:val="44F468B0"/>
    <w:rsid w:val="451707F1"/>
    <w:rsid w:val="45280308"/>
    <w:rsid w:val="45352A25"/>
    <w:rsid w:val="45637592"/>
    <w:rsid w:val="45725A27"/>
    <w:rsid w:val="457B3D71"/>
    <w:rsid w:val="457C0EFB"/>
    <w:rsid w:val="45965BB9"/>
    <w:rsid w:val="45BE6EBE"/>
    <w:rsid w:val="45CC15DB"/>
    <w:rsid w:val="45CF2E79"/>
    <w:rsid w:val="45EA7CB3"/>
    <w:rsid w:val="45F25190"/>
    <w:rsid w:val="45F428E0"/>
    <w:rsid w:val="45F66658"/>
    <w:rsid w:val="45F97EF6"/>
    <w:rsid w:val="460D0194"/>
    <w:rsid w:val="462211FB"/>
    <w:rsid w:val="46236D21"/>
    <w:rsid w:val="4631143E"/>
    <w:rsid w:val="46364CA7"/>
    <w:rsid w:val="463902F3"/>
    <w:rsid w:val="46472A10"/>
    <w:rsid w:val="46491E27"/>
    <w:rsid w:val="466B51C1"/>
    <w:rsid w:val="46763D1E"/>
    <w:rsid w:val="46841EB6"/>
    <w:rsid w:val="46875502"/>
    <w:rsid w:val="46893028"/>
    <w:rsid w:val="46965745"/>
    <w:rsid w:val="46AE2A8F"/>
    <w:rsid w:val="46DC584E"/>
    <w:rsid w:val="46DD15C6"/>
    <w:rsid w:val="46F25EE9"/>
    <w:rsid w:val="47014C53"/>
    <w:rsid w:val="47333EB8"/>
    <w:rsid w:val="47392CA0"/>
    <w:rsid w:val="475C24EB"/>
    <w:rsid w:val="478B1022"/>
    <w:rsid w:val="478D6B48"/>
    <w:rsid w:val="4791488A"/>
    <w:rsid w:val="47B916EB"/>
    <w:rsid w:val="47C307BC"/>
    <w:rsid w:val="47D429C9"/>
    <w:rsid w:val="47DB5B06"/>
    <w:rsid w:val="47E250E6"/>
    <w:rsid w:val="47E435E3"/>
    <w:rsid w:val="47F60B91"/>
    <w:rsid w:val="480212E4"/>
    <w:rsid w:val="48027536"/>
    <w:rsid w:val="480A1F47"/>
    <w:rsid w:val="481B23A6"/>
    <w:rsid w:val="481E59F2"/>
    <w:rsid w:val="485D651B"/>
    <w:rsid w:val="48651873"/>
    <w:rsid w:val="48735D3E"/>
    <w:rsid w:val="487815A6"/>
    <w:rsid w:val="4884619D"/>
    <w:rsid w:val="48895562"/>
    <w:rsid w:val="488E13F5"/>
    <w:rsid w:val="48B545A9"/>
    <w:rsid w:val="48E924A4"/>
    <w:rsid w:val="48EC5AF0"/>
    <w:rsid w:val="48F826E7"/>
    <w:rsid w:val="491D214E"/>
    <w:rsid w:val="491F5EC6"/>
    <w:rsid w:val="49282FCC"/>
    <w:rsid w:val="49303C2F"/>
    <w:rsid w:val="493354CD"/>
    <w:rsid w:val="4942492D"/>
    <w:rsid w:val="494A2C73"/>
    <w:rsid w:val="495A6EFE"/>
    <w:rsid w:val="496B6B1F"/>
    <w:rsid w:val="49865193"/>
    <w:rsid w:val="49883A6B"/>
    <w:rsid w:val="49940662"/>
    <w:rsid w:val="49A90A92"/>
    <w:rsid w:val="49A972DA"/>
    <w:rsid w:val="49EB5DA8"/>
    <w:rsid w:val="4A01737A"/>
    <w:rsid w:val="4A123335"/>
    <w:rsid w:val="4A1D0657"/>
    <w:rsid w:val="4A404346"/>
    <w:rsid w:val="4A4D25BF"/>
    <w:rsid w:val="4A4E6A63"/>
    <w:rsid w:val="4A5867AF"/>
    <w:rsid w:val="4A677B24"/>
    <w:rsid w:val="4A6F4C2B"/>
    <w:rsid w:val="4A8E17AE"/>
    <w:rsid w:val="4AA02F8B"/>
    <w:rsid w:val="4AA246B9"/>
    <w:rsid w:val="4AA76173"/>
    <w:rsid w:val="4AB10DA0"/>
    <w:rsid w:val="4ACC3E2B"/>
    <w:rsid w:val="4AD056CA"/>
    <w:rsid w:val="4ADB717D"/>
    <w:rsid w:val="4AE42F23"/>
    <w:rsid w:val="4AE747C1"/>
    <w:rsid w:val="4B0B1EC1"/>
    <w:rsid w:val="4B3612A5"/>
    <w:rsid w:val="4B5005B9"/>
    <w:rsid w:val="4B6C4969"/>
    <w:rsid w:val="4B893ACB"/>
    <w:rsid w:val="4BA97CC9"/>
    <w:rsid w:val="4BDA4326"/>
    <w:rsid w:val="4BDA60D4"/>
    <w:rsid w:val="4BE3142D"/>
    <w:rsid w:val="4BF2341E"/>
    <w:rsid w:val="4BF453E8"/>
    <w:rsid w:val="4C121D12"/>
    <w:rsid w:val="4C2630C7"/>
    <w:rsid w:val="4C286E40"/>
    <w:rsid w:val="4C453E95"/>
    <w:rsid w:val="4C4A2D7F"/>
    <w:rsid w:val="4C61684E"/>
    <w:rsid w:val="4C784AD5"/>
    <w:rsid w:val="4C7E4CB1"/>
    <w:rsid w:val="4C940979"/>
    <w:rsid w:val="4CAC7A71"/>
    <w:rsid w:val="4CBF59F6"/>
    <w:rsid w:val="4CC72AFC"/>
    <w:rsid w:val="4CCA439B"/>
    <w:rsid w:val="4CD945DE"/>
    <w:rsid w:val="4CFD02CC"/>
    <w:rsid w:val="4D1F722E"/>
    <w:rsid w:val="4D225F85"/>
    <w:rsid w:val="4D2717ED"/>
    <w:rsid w:val="4D2E2B7B"/>
    <w:rsid w:val="4D2F209B"/>
    <w:rsid w:val="4D357A66"/>
    <w:rsid w:val="4D41465D"/>
    <w:rsid w:val="4D423F31"/>
    <w:rsid w:val="4D7B7443"/>
    <w:rsid w:val="4D902EEE"/>
    <w:rsid w:val="4D926C66"/>
    <w:rsid w:val="4D97427D"/>
    <w:rsid w:val="4DA9228F"/>
    <w:rsid w:val="4DB36BDD"/>
    <w:rsid w:val="4DBC0187"/>
    <w:rsid w:val="4DC96400"/>
    <w:rsid w:val="4DD56C5E"/>
    <w:rsid w:val="4DDC4386"/>
    <w:rsid w:val="4DF01BDF"/>
    <w:rsid w:val="4DF24863"/>
    <w:rsid w:val="4E1753BE"/>
    <w:rsid w:val="4E19598E"/>
    <w:rsid w:val="4E1C4782"/>
    <w:rsid w:val="4E1F24C4"/>
    <w:rsid w:val="4E4168DE"/>
    <w:rsid w:val="4E630603"/>
    <w:rsid w:val="4E65437B"/>
    <w:rsid w:val="4E6F0D56"/>
    <w:rsid w:val="4EC76DE4"/>
    <w:rsid w:val="4ED60DD5"/>
    <w:rsid w:val="4EE03A01"/>
    <w:rsid w:val="4EFA0394"/>
    <w:rsid w:val="4F0C47F7"/>
    <w:rsid w:val="4F1A25AD"/>
    <w:rsid w:val="4F4246BC"/>
    <w:rsid w:val="4F506DD9"/>
    <w:rsid w:val="4F534FA2"/>
    <w:rsid w:val="4F6208BA"/>
    <w:rsid w:val="4F876573"/>
    <w:rsid w:val="4F934F18"/>
    <w:rsid w:val="4FA2515B"/>
    <w:rsid w:val="4FAB2261"/>
    <w:rsid w:val="4FAD422B"/>
    <w:rsid w:val="4FBA1D96"/>
    <w:rsid w:val="4FE15C83"/>
    <w:rsid w:val="4FE237A9"/>
    <w:rsid w:val="4FE8127E"/>
    <w:rsid w:val="500951DA"/>
    <w:rsid w:val="50210776"/>
    <w:rsid w:val="50281B04"/>
    <w:rsid w:val="502D0EE7"/>
    <w:rsid w:val="502D711A"/>
    <w:rsid w:val="503C110B"/>
    <w:rsid w:val="50413177"/>
    <w:rsid w:val="5052092F"/>
    <w:rsid w:val="506D7517"/>
    <w:rsid w:val="506F4EF7"/>
    <w:rsid w:val="50707007"/>
    <w:rsid w:val="507C59AC"/>
    <w:rsid w:val="509B4084"/>
    <w:rsid w:val="50AB003F"/>
    <w:rsid w:val="50C01D3C"/>
    <w:rsid w:val="50C64E79"/>
    <w:rsid w:val="50CC6933"/>
    <w:rsid w:val="50EA561A"/>
    <w:rsid w:val="50ED2406"/>
    <w:rsid w:val="50F10148"/>
    <w:rsid w:val="51002139"/>
    <w:rsid w:val="51051E45"/>
    <w:rsid w:val="51053BF3"/>
    <w:rsid w:val="51085492"/>
    <w:rsid w:val="51243D4F"/>
    <w:rsid w:val="51295B34"/>
    <w:rsid w:val="51493AE0"/>
    <w:rsid w:val="514D2BA7"/>
    <w:rsid w:val="515561D0"/>
    <w:rsid w:val="51600E2A"/>
    <w:rsid w:val="51646B6C"/>
    <w:rsid w:val="51717680"/>
    <w:rsid w:val="519A0DF5"/>
    <w:rsid w:val="519F5DF6"/>
    <w:rsid w:val="51BA49DE"/>
    <w:rsid w:val="51C413B8"/>
    <w:rsid w:val="51DD0961"/>
    <w:rsid w:val="51E97071"/>
    <w:rsid w:val="51EB4B97"/>
    <w:rsid w:val="51F06651"/>
    <w:rsid w:val="51FA302C"/>
    <w:rsid w:val="5212001A"/>
    <w:rsid w:val="521C5892"/>
    <w:rsid w:val="521F6F37"/>
    <w:rsid w:val="522105B9"/>
    <w:rsid w:val="522B1438"/>
    <w:rsid w:val="52495D62"/>
    <w:rsid w:val="525C5A95"/>
    <w:rsid w:val="52635075"/>
    <w:rsid w:val="526A01B2"/>
    <w:rsid w:val="526C1EBE"/>
    <w:rsid w:val="526D1A50"/>
    <w:rsid w:val="527032EE"/>
    <w:rsid w:val="5272350A"/>
    <w:rsid w:val="528F5E6A"/>
    <w:rsid w:val="529C0587"/>
    <w:rsid w:val="52A31916"/>
    <w:rsid w:val="52A5743C"/>
    <w:rsid w:val="52C11D9C"/>
    <w:rsid w:val="52C63EBC"/>
    <w:rsid w:val="52C75604"/>
    <w:rsid w:val="52D1331E"/>
    <w:rsid w:val="52F1442F"/>
    <w:rsid w:val="52F263F9"/>
    <w:rsid w:val="52FC4B82"/>
    <w:rsid w:val="53065A01"/>
    <w:rsid w:val="53083147"/>
    <w:rsid w:val="531B76FE"/>
    <w:rsid w:val="533F7FC7"/>
    <w:rsid w:val="53582700"/>
    <w:rsid w:val="53591FD4"/>
    <w:rsid w:val="53607807"/>
    <w:rsid w:val="537A2677"/>
    <w:rsid w:val="537B63EF"/>
    <w:rsid w:val="53964FD7"/>
    <w:rsid w:val="53AC0356"/>
    <w:rsid w:val="53BD07B5"/>
    <w:rsid w:val="53DD46BA"/>
    <w:rsid w:val="53F046E7"/>
    <w:rsid w:val="540B5DC8"/>
    <w:rsid w:val="543071D9"/>
    <w:rsid w:val="543C5B7E"/>
    <w:rsid w:val="544B7B6F"/>
    <w:rsid w:val="545C7FCE"/>
    <w:rsid w:val="545E3D46"/>
    <w:rsid w:val="54774E08"/>
    <w:rsid w:val="54853CAF"/>
    <w:rsid w:val="54992FD0"/>
    <w:rsid w:val="54A13488"/>
    <w:rsid w:val="54B55930"/>
    <w:rsid w:val="54C067AF"/>
    <w:rsid w:val="54CD2C7A"/>
    <w:rsid w:val="54D758A7"/>
    <w:rsid w:val="54F131F6"/>
    <w:rsid w:val="54FC355F"/>
    <w:rsid w:val="550C37A2"/>
    <w:rsid w:val="555E38D2"/>
    <w:rsid w:val="558C6691"/>
    <w:rsid w:val="55CA33E4"/>
    <w:rsid w:val="55D02A22"/>
    <w:rsid w:val="55E738C7"/>
    <w:rsid w:val="5612303A"/>
    <w:rsid w:val="565025DE"/>
    <w:rsid w:val="565E627F"/>
    <w:rsid w:val="568B6949"/>
    <w:rsid w:val="568F468B"/>
    <w:rsid w:val="56B45E9F"/>
    <w:rsid w:val="56CE4A87"/>
    <w:rsid w:val="56E04EE6"/>
    <w:rsid w:val="56E524FD"/>
    <w:rsid w:val="56EB388B"/>
    <w:rsid w:val="573214BA"/>
    <w:rsid w:val="574A6804"/>
    <w:rsid w:val="574C432A"/>
    <w:rsid w:val="575472C8"/>
    <w:rsid w:val="576D604E"/>
    <w:rsid w:val="57961A49"/>
    <w:rsid w:val="579932E7"/>
    <w:rsid w:val="57A35F14"/>
    <w:rsid w:val="57BC2B32"/>
    <w:rsid w:val="57BF132B"/>
    <w:rsid w:val="57C447C2"/>
    <w:rsid w:val="57C540DC"/>
    <w:rsid w:val="57DD4F82"/>
    <w:rsid w:val="57DE6F4C"/>
    <w:rsid w:val="57DF519E"/>
    <w:rsid w:val="57E84079"/>
    <w:rsid w:val="57F8000E"/>
    <w:rsid w:val="57F81DBC"/>
    <w:rsid w:val="58022C3B"/>
    <w:rsid w:val="58164938"/>
    <w:rsid w:val="581666E6"/>
    <w:rsid w:val="583160A1"/>
    <w:rsid w:val="584533A8"/>
    <w:rsid w:val="584E6E99"/>
    <w:rsid w:val="585511A7"/>
    <w:rsid w:val="585A2A77"/>
    <w:rsid w:val="585D4315"/>
    <w:rsid w:val="5862192B"/>
    <w:rsid w:val="587C0C3F"/>
    <w:rsid w:val="58825B29"/>
    <w:rsid w:val="588E0972"/>
    <w:rsid w:val="589A2E73"/>
    <w:rsid w:val="58A27F7A"/>
    <w:rsid w:val="58A75590"/>
    <w:rsid w:val="58AD704A"/>
    <w:rsid w:val="58BC728D"/>
    <w:rsid w:val="58E44CE6"/>
    <w:rsid w:val="58E6255C"/>
    <w:rsid w:val="58F46A27"/>
    <w:rsid w:val="58FA1B64"/>
    <w:rsid w:val="58FE1654"/>
    <w:rsid w:val="59030A18"/>
    <w:rsid w:val="59127D41"/>
    <w:rsid w:val="592A0F27"/>
    <w:rsid w:val="592B4413"/>
    <w:rsid w:val="592E180D"/>
    <w:rsid w:val="593257A1"/>
    <w:rsid w:val="594013EC"/>
    <w:rsid w:val="59411541"/>
    <w:rsid w:val="594A2AEB"/>
    <w:rsid w:val="594F1EAF"/>
    <w:rsid w:val="5952374E"/>
    <w:rsid w:val="59545718"/>
    <w:rsid w:val="596C0CB3"/>
    <w:rsid w:val="596D4A2C"/>
    <w:rsid w:val="59725B9E"/>
    <w:rsid w:val="598D2358"/>
    <w:rsid w:val="59B61F2F"/>
    <w:rsid w:val="59B938F8"/>
    <w:rsid w:val="59CD7278"/>
    <w:rsid w:val="59D2488F"/>
    <w:rsid w:val="59E36A9C"/>
    <w:rsid w:val="59FB2037"/>
    <w:rsid w:val="5A0709DC"/>
    <w:rsid w:val="5A5359CF"/>
    <w:rsid w:val="5A5D05FC"/>
    <w:rsid w:val="5A696FA1"/>
    <w:rsid w:val="5A7B6CD4"/>
    <w:rsid w:val="5A851901"/>
    <w:rsid w:val="5AD54636"/>
    <w:rsid w:val="5AE44879"/>
    <w:rsid w:val="5B13515F"/>
    <w:rsid w:val="5B48305A"/>
    <w:rsid w:val="5B5639C9"/>
    <w:rsid w:val="5B5C6B06"/>
    <w:rsid w:val="5B687515"/>
    <w:rsid w:val="5B920779"/>
    <w:rsid w:val="5B9E7D89"/>
    <w:rsid w:val="5BBA55DA"/>
    <w:rsid w:val="5BBD32A1"/>
    <w:rsid w:val="5BE03293"/>
    <w:rsid w:val="5BE07737"/>
    <w:rsid w:val="5BEE32E2"/>
    <w:rsid w:val="5BFE196B"/>
    <w:rsid w:val="5C182A2D"/>
    <w:rsid w:val="5C1D6295"/>
    <w:rsid w:val="5C2921BD"/>
    <w:rsid w:val="5C2F421A"/>
    <w:rsid w:val="5C4001D5"/>
    <w:rsid w:val="5C5030D5"/>
    <w:rsid w:val="5C62014C"/>
    <w:rsid w:val="5C6519EA"/>
    <w:rsid w:val="5C653798"/>
    <w:rsid w:val="5C702869"/>
    <w:rsid w:val="5C8207EE"/>
    <w:rsid w:val="5CA95D7B"/>
    <w:rsid w:val="5CB63FF4"/>
    <w:rsid w:val="5CBD5382"/>
    <w:rsid w:val="5CD728E8"/>
    <w:rsid w:val="5CE77B86"/>
    <w:rsid w:val="5D123920"/>
    <w:rsid w:val="5D131446"/>
    <w:rsid w:val="5D424896"/>
    <w:rsid w:val="5D543F38"/>
    <w:rsid w:val="5D8A795A"/>
    <w:rsid w:val="5D9407D9"/>
    <w:rsid w:val="5D9702C9"/>
    <w:rsid w:val="5D9B1B67"/>
    <w:rsid w:val="5DA16A52"/>
    <w:rsid w:val="5DAB167E"/>
    <w:rsid w:val="5DB449D7"/>
    <w:rsid w:val="5DB744C7"/>
    <w:rsid w:val="5DC310BE"/>
    <w:rsid w:val="5DC7295C"/>
    <w:rsid w:val="5DCA244C"/>
    <w:rsid w:val="5DD60DF1"/>
    <w:rsid w:val="5E0D40E7"/>
    <w:rsid w:val="5E231B5D"/>
    <w:rsid w:val="5E5D0BCB"/>
    <w:rsid w:val="5E624433"/>
    <w:rsid w:val="5E653F23"/>
    <w:rsid w:val="5E824AD5"/>
    <w:rsid w:val="5E8E293D"/>
    <w:rsid w:val="5E987E55"/>
    <w:rsid w:val="5EB84053"/>
    <w:rsid w:val="5ECB647C"/>
    <w:rsid w:val="5EFA0B0F"/>
    <w:rsid w:val="5F0454EA"/>
    <w:rsid w:val="5F0E0117"/>
    <w:rsid w:val="5F1D65AC"/>
    <w:rsid w:val="5F21609C"/>
    <w:rsid w:val="5F3A715E"/>
    <w:rsid w:val="5F3C2ED6"/>
    <w:rsid w:val="5F41673E"/>
    <w:rsid w:val="5F447FDD"/>
    <w:rsid w:val="5F531FCE"/>
    <w:rsid w:val="5F585836"/>
    <w:rsid w:val="5F5C70D4"/>
    <w:rsid w:val="5F5F0972"/>
    <w:rsid w:val="5F5F6BC4"/>
    <w:rsid w:val="5F6D308F"/>
    <w:rsid w:val="5F8B5C0B"/>
    <w:rsid w:val="5F903222"/>
    <w:rsid w:val="5F926F9A"/>
    <w:rsid w:val="5FA148BD"/>
    <w:rsid w:val="5FAB3BB8"/>
    <w:rsid w:val="5FAE5456"/>
    <w:rsid w:val="5FD0793B"/>
    <w:rsid w:val="6009186E"/>
    <w:rsid w:val="600A4D82"/>
    <w:rsid w:val="600D643D"/>
    <w:rsid w:val="601654D5"/>
    <w:rsid w:val="60196D73"/>
    <w:rsid w:val="602C28F6"/>
    <w:rsid w:val="602C4CF9"/>
    <w:rsid w:val="602F47E9"/>
    <w:rsid w:val="6045400C"/>
    <w:rsid w:val="604F09E7"/>
    <w:rsid w:val="605E6E7C"/>
    <w:rsid w:val="60716BAF"/>
    <w:rsid w:val="60787F3E"/>
    <w:rsid w:val="60820DBC"/>
    <w:rsid w:val="608D07DE"/>
    <w:rsid w:val="60A52CFD"/>
    <w:rsid w:val="60A54010"/>
    <w:rsid w:val="60FA6BA5"/>
    <w:rsid w:val="60FB0B6F"/>
    <w:rsid w:val="610A2B60"/>
    <w:rsid w:val="611F2AAF"/>
    <w:rsid w:val="612B4FB0"/>
    <w:rsid w:val="61312A93"/>
    <w:rsid w:val="61387EE8"/>
    <w:rsid w:val="613D1187"/>
    <w:rsid w:val="61442516"/>
    <w:rsid w:val="6151078F"/>
    <w:rsid w:val="61532759"/>
    <w:rsid w:val="615A7643"/>
    <w:rsid w:val="61631C7E"/>
    <w:rsid w:val="61736957"/>
    <w:rsid w:val="619743F4"/>
    <w:rsid w:val="61A30FEA"/>
    <w:rsid w:val="61A46B11"/>
    <w:rsid w:val="61B06987"/>
    <w:rsid w:val="61E46FDF"/>
    <w:rsid w:val="620A1069"/>
    <w:rsid w:val="621719D8"/>
    <w:rsid w:val="621C3CEA"/>
    <w:rsid w:val="62224971"/>
    <w:rsid w:val="62272D3E"/>
    <w:rsid w:val="62287742"/>
    <w:rsid w:val="622D4D58"/>
    <w:rsid w:val="624D53FA"/>
    <w:rsid w:val="624F2F20"/>
    <w:rsid w:val="625C1559"/>
    <w:rsid w:val="62614A02"/>
    <w:rsid w:val="62652E3F"/>
    <w:rsid w:val="627E7362"/>
    <w:rsid w:val="62944DD7"/>
    <w:rsid w:val="62B611F1"/>
    <w:rsid w:val="62D80250"/>
    <w:rsid w:val="62EC473A"/>
    <w:rsid w:val="62FB4E56"/>
    <w:rsid w:val="6311467A"/>
    <w:rsid w:val="63273E9D"/>
    <w:rsid w:val="63416D0D"/>
    <w:rsid w:val="634265E1"/>
    <w:rsid w:val="634560D1"/>
    <w:rsid w:val="63495BC1"/>
    <w:rsid w:val="636369CE"/>
    <w:rsid w:val="637D586B"/>
    <w:rsid w:val="63822E81"/>
    <w:rsid w:val="638B442C"/>
    <w:rsid w:val="63A4729C"/>
    <w:rsid w:val="63DA0F0F"/>
    <w:rsid w:val="63E43B3C"/>
    <w:rsid w:val="63F52B2A"/>
    <w:rsid w:val="6408782B"/>
    <w:rsid w:val="640D3093"/>
    <w:rsid w:val="64195594"/>
    <w:rsid w:val="642503DD"/>
    <w:rsid w:val="646627A3"/>
    <w:rsid w:val="647E7AED"/>
    <w:rsid w:val="64836EB1"/>
    <w:rsid w:val="648C220A"/>
    <w:rsid w:val="64970BAF"/>
    <w:rsid w:val="64A357A5"/>
    <w:rsid w:val="64F102BF"/>
    <w:rsid w:val="64F8789F"/>
    <w:rsid w:val="64F97173"/>
    <w:rsid w:val="64FD4EB5"/>
    <w:rsid w:val="650049A6"/>
    <w:rsid w:val="652C06CC"/>
    <w:rsid w:val="65363F24"/>
    <w:rsid w:val="653C6A80"/>
    <w:rsid w:val="655B398A"/>
    <w:rsid w:val="657131AE"/>
    <w:rsid w:val="65752C9E"/>
    <w:rsid w:val="65907AD8"/>
    <w:rsid w:val="659D3FA3"/>
    <w:rsid w:val="65A43583"/>
    <w:rsid w:val="65AE61B0"/>
    <w:rsid w:val="65C14135"/>
    <w:rsid w:val="65F31E15"/>
    <w:rsid w:val="660109D5"/>
    <w:rsid w:val="6603474E"/>
    <w:rsid w:val="663012BB"/>
    <w:rsid w:val="663743F7"/>
    <w:rsid w:val="66377F53"/>
    <w:rsid w:val="66442670"/>
    <w:rsid w:val="66660838"/>
    <w:rsid w:val="6692162D"/>
    <w:rsid w:val="6694184A"/>
    <w:rsid w:val="66B75538"/>
    <w:rsid w:val="66C7577B"/>
    <w:rsid w:val="66E856F1"/>
    <w:rsid w:val="66FE4F15"/>
    <w:rsid w:val="67185FD7"/>
    <w:rsid w:val="6727621A"/>
    <w:rsid w:val="672E75A8"/>
    <w:rsid w:val="672F1572"/>
    <w:rsid w:val="674A015A"/>
    <w:rsid w:val="676B07FC"/>
    <w:rsid w:val="67AB0BF9"/>
    <w:rsid w:val="67BC1058"/>
    <w:rsid w:val="67D22629"/>
    <w:rsid w:val="67E20393"/>
    <w:rsid w:val="67F04061"/>
    <w:rsid w:val="67FB3202"/>
    <w:rsid w:val="68016A6B"/>
    <w:rsid w:val="68196D67"/>
    <w:rsid w:val="681A7B2C"/>
    <w:rsid w:val="68212C69"/>
    <w:rsid w:val="68330BEE"/>
    <w:rsid w:val="68376930"/>
    <w:rsid w:val="684E159F"/>
    <w:rsid w:val="686139AD"/>
    <w:rsid w:val="68703BF0"/>
    <w:rsid w:val="687F5BE1"/>
    <w:rsid w:val="68BB130F"/>
    <w:rsid w:val="68C37E04"/>
    <w:rsid w:val="68D67EF7"/>
    <w:rsid w:val="68D91796"/>
    <w:rsid w:val="68E87C2B"/>
    <w:rsid w:val="690802CD"/>
    <w:rsid w:val="69146C72"/>
    <w:rsid w:val="691843ED"/>
    <w:rsid w:val="69482477"/>
    <w:rsid w:val="697274F4"/>
    <w:rsid w:val="697414BE"/>
    <w:rsid w:val="69831701"/>
    <w:rsid w:val="699E02E9"/>
    <w:rsid w:val="69A47FF6"/>
    <w:rsid w:val="69CB5582"/>
    <w:rsid w:val="69E14DA6"/>
    <w:rsid w:val="69E623BC"/>
    <w:rsid w:val="6A026ACA"/>
    <w:rsid w:val="6A372C18"/>
    <w:rsid w:val="6A4946F9"/>
    <w:rsid w:val="6A5C442C"/>
    <w:rsid w:val="6A6257BB"/>
    <w:rsid w:val="6A6908F7"/>
    <w:rsid w:val="6A9811DC"/>
    <w:rsid w:val="6AB029CA"/>
    <w:rsid w:val="6AB26742"/>
    <w:rsid w:val="6ADB7A47"/>
    <w:rsid w:val="6AFA59F3"/>
    <w:rsid w:val="6AFB1E97"/>
    <w:rsid w:val="6B00125C"/>
    <w:rsid w:val="6B030D4C"/>
    <w:rsid w:val="6B160A7F"/>
    <w:rsid w:val="6B2F38EF"/>
    <w:rsid w:val="6B2F7D93"/>
    <w:rsid w:val="6B301415"/>
    <w:rsid w:val="6B306F2E"/>
    <w:rsid w:val="6B4D1FC7"/>
    <w:rsid w:val="6B6537B4"/>
    <w:rsid w:val="6B910106"/>
    <w:rsid w:val="6BBF2EC5"/>
    <w:rsid w:val="6BDA3F4C"/>
    <w:rsid w:val="6BDA7CFF"/>
    <w:rsid w:val="6BE566A3"/>
    <w:rsid w:val="6BF15048"/>
    <w:rsid w:val="6BFB7C75"/>
    <w:rsid w:val="6C007039"/>
    <w:rsid w:val="6C0F54CE"/>
    <w:rsid w:val="6C264CF2"/>
    <w:rsid w:val="6C33740F"/>
    <w:rsid w:val="6C376EFF"/>
    <w:rsid w:val="6C494E84"/>
    <w:rsid w:val="6C537AB1"/>
    <w:rsid w:val="6C7517D5"/>
    <w:rsid w:val="6C7C0DB6"/>
    <w:rsid w:val="6C97799E"/>
    <w:rsid w:val="6CA64085"/>
    <w:rsid w:val="6CB00A5F"/>
    <w:rsid w:val="6CD97FB6"/>
    <w:rsid w:val="6CED3A62"/>
    <w:rsid w:val="6CED5810"/>
    <w:rsid w:val="6CF220C9"/>
    <w:rsid w:val="6D1E3C1B"/>
    <w:rsid w:val="6D201BB4"/>
    <w:rsid w:val="6D2F407A"/>
    <w:rsid w:val="6D2F552C"/>
    <w:rsid w:val="6D34343E"/>
    <w:rsid w:val="6D3671B7"/>
    <w:rsid w:val="6D3F3B91"/>
    <w:rsid w:val="6D4C69DA"/>
    <w:rsid w:val="6D521B17"/>
    <w:rsid w:val="6D543AE1"/>
    <w:rsid w:val="6D57712D"/>
    <w:rsid w:val="6D6A6E60"/>
    <w:rsid w:val="6D7E5723"/>
    <w:rsid w:val="6D972C95"/>
    <w:rsid w:val="6D9D5488"/>
    <w:rsid w:val="6DDF784E"/>
    <w:rsid w:val="6DEF55B7"/>
    <w:rsid w:val="6DF350A8"/>
    <w:rsid w:val="6E146DCC"/>
    <w:rsid w:val="6E25722B"/>
    <w:rsid w:val="6E645FA5"/>
    <w:rsid w:val="6E891568"/>
    <w:rsid w:val="6E8B3532"/>
    <w:rsid w:val="6E900B48"/>
    <w:rsid w:val="6EFA06B8"/>
    <w:rsid w:val="6EFC1D3A"/>
    <w:rsid w:val="6F202646"/>
    <w:rsid w:val="6F2968A7"/>
    <w:rsid w:val="6F307C36"/>
    <w:rsid w:val="6F35349E"/>
    <w:rsid w:val="6F414CE4"/>
    <w:rsid w:val="6F54601A"/>
    <w:rsid w:val="6F63625D"/>
    <w:rsid w:val="6F946416"/>
    <w:rsid w:val="6F977CB5"/>
    <w:rsid w:val="6FAD1286"/>
    <w:rsid w:val="6FD74555"/>
    <w:rsid w:val="6FD827A7"/>
    <w:rsid w:val="6FD902CD"/>
    <w:rsid w:val="6FE0340A"/>
    <w:rsid w:val="7003534A"/>
    <w:rsid w:val="701A5271"/>
    <w:rsid w:val="701F03D6"/>
    <w:rsid w:val="70221CC5"/>
    <w:rsid w:val="70275C90"/>
    <w:rsid w:val="70531E2E"/>
    <w:rsid w:val="705838E8"/>
    <w:rsid w:val="7075449A"/>
    <w:rsid w:val="70926DFA"/>
    <w:rsid w:val="70CC398E"/>
    <w:rsid w:val="70F353BF"/>
    <w:rsid w:val="70FC4273"/>
    <w:rsid w:val="710475CC"/>
    <w:rsid w:val="71115DBA"/>
    <w:rsid w:val="711F7F62"/>
    <w:rsid w:val="712D267F"/>
    <w:rsid w:val="712E53E1"/>
    <w:rsid w:val="71573B9F"/>
    <w:rsid w:val="716360A0"/>
    <w:rsid w:val="71755DD4"/>
    <w:rsid w:val="71804EA4"/>
    <w:rsid w:val="71900E5F"/>
    <w:rsid w:val="71A16BC9"/>
    <w:rsid w:val="71A826AF"/>
    <w:rsid w:val="71C22858"/>
    <w:rsid w:val="71CB1E97"/>
    <w:rsid w:val="71F3606C"/>
    <w:rsid w:val="71F736F4"/>
    <w:rsid w:val="71FE04BF"/>
    <w:rsid w:val="72062ED0"/>
    <w:rsid w:val="721E571E"/>
    <w:rsid w:val="723E2669"/>
    <w:rsid w:val="7276711B"/>
    <w:rsid w:val="72807126"/>
    <w:rsid w:val="729113FE"/>
    <w:rsid w:val="72B33057"/>
    <w:rsid w:val="72B50B7E"/>
    <w:rsid w:val="72C15774"/>
    <w:rsid w:val="72E74AAF"/>
    <w:rsid w:val="72F84F0E"/>
    <w:rsid w:val="73125FD0"/>
    <w:rsid w:val="731358A4"/>
    <w:rsid w:val="73292630"/>
    <w:rsid w:val="738B4DF7"/>
    <w:rsid w:val="73B61A30"/>
    <w:rsid w:val="73BC5F3C"/>
    <w:rsid w:val="73BE3B12"/>
    <w:rsid w:val="73C82B32"/>
    <w:rsid w:val="73CA68AB"/>
    <w:rsid w:val="73ED22E4"/>
    <w:rsid w:val="74055B35"/>
    <w:rsid w:val="74161AF0"/>
    <w:rsid w:val="7420296E"/>
    <w:rsid w:val="74212243"/>
    <w:rsid w:val="74324450"/>
    <w:rsid w:val="74485FA2"/>
    <w:rsid w:val="745368A0"/>
    <w:rsid w:val="74A013B9"/>
    <w:rsid w:val="74AC4202"/>
    <w:rsid w:val="74B51709"/>
    <w:rsid w:val="74CE4179"/>
    <w:rsid w:val="74E90FB2"/>
    <w:rsid w:val="74F811F5"/>
    <w:rsid w:val="751853F4"/>
    <w:rsid w:val="75241FEA"/>
    <w:rsid w:val="752D5E43"/>
    <w:rsid w:val="753233B2"/>
    <w:rsid w:val="75790588"/>
    <w:rsid w:val="757A7E5C"/>
    <w:rsid w:val="758807CB"/>
    <w:rsid w:val="758F1B5A"/>
    <w:rsid w:val="75954C96"/>
    <w:rsid w:val="759929D8"/>
    <w:rsid w:val="75B96BD7"/>
    <w:rsid w:val="75C15A8B"/>
    <w:rsid w:val="75CD61DE"/>
    <w:rsid w:val="75F818EE"/>
    <w:rsid w:val="760B6D06"/>
    <w:rsid w:val="760D6F22"/>
    <w:rsid w:val="76361FD5"/>
    <w:rsid w:val="76375D4D"/>
    <w:rsid w:val="763F1E3E"/>
    <w:rsid w:val="76404C02"/>
    <w:rsid w:val="764C7A4B"/>
    <w:rsid w:val="764D731F"/>
    <w:rsid w:val="76516E0F"/>
    <w:rsid w:val="768216BE"/>
    <w:rsid w:val="7686635C"/>
    <w:rsid w:val="768F24C5"/>
    <w:rsid w:val="76A038F3"/>
    <w:rsid w:val="76C27D0D"/>
    <w:rsid w:val="76D0242A"/>
    <w:rsid w:val="76D16134"/>
    <w:rsid w:val="76E23F0B"/>
    <w:rsid w:val="77075720"/>
    <w:rsid w:val="770976EA"/>
    <w:rsid w:val="77112A42"/>
    <w:rsid w:val="7711659E"/>
    <w:rsid w:val="773A3D47"/>
    <w:rsid w:val="7758332B"/>
    <w:rsid w:val="775C3CBE"/>
    <w:rsid w:val="775D17E4"/>
    <w:rsid w:val="77690189"/>
    <w:rsid w:val="778356EE"/>
    <w:rsid w:val="77933457"/>
    <w:rsid w:val="77A45665"/>
    <w:rsid w:val="77B27D81"/>
    <w:rsid w:val="77CD0717"/>
    <w:rsid w:val="77CD4BBB"/>
    <w:rsid w:val="78112CFA"/>
    <w:rsid w:val="78191BAF"/>
    <w:rsid w:val="78250553"/>
    <w:rsid w:val="78320EC2"/>
    <w:rsid w:val="78342545"/>
    <w:rsid w:val="783A38D3"/>
    <w:rsid w:val="7883171E"/>
    <w:rsid w:val="78A23952"/>
    <w:rsid w:val="78A31478"/>
    <w:rsid w:val="78CC4E73"/>
    <w:rsid w:val="78D855C6"/>
    <w:rsid w:val="78F50D6D"/>
    <w:rsid w:val="78FA19E0"/>
    <w:rsid w:val="791505C8"/>
    <w:rsid w:val="79224A93"/>
    <w:rsid w:val="792E3438"/>
    <w:rsid w:val="793D18CD"/>
    <w:rsid w:val="79453646"/>
    <w:rsid w:val="794669D3"/>
    <w:rsid w:val="795B1D53"/>
    <w:rsid w:val="796E1A86"/>
    <w:rsid w:val="797439F5"/>
    <w:rsid w:val="79790B39"/>
    <w:rsid w:val="797F5A41"/>
    <w:rsid w:val="79865022"/>
    <w:rsid w:val="79AB2CDA"/>
    <w:rsid w:val="79BF6786"/>
    <w:rsid w:val="79C36276"/>
    <w:rsid w:val="79CE69C9"/>
    <w:rsid w:val="79DF2801"/>
    <w:rsid w:val="79EA01CF"/>
    <w:rsid w:val="7A04063C"/>
    <w:rsid w:val="7A150154"/>
    <w:rsid w:val="7A2860D9"/>
    <w:rsid w:val="7A4078C7"/>
    <w:rsid w:val="7A5B24AB"/>
    <w:rsid w:val="7A7270AB"/>
    <w:rsid w:val="7A74131E"/>
    <w:rsid w:val="7A8B6668"/>
    <w:rsid w:val="7A911ED0"/>
    <w:rsid w:val="7A97325F"/>
    <w:rsid w:val="7A995229"/>
    <w:rsid w:val="7AA80FC8"/>
    <w:rsid w:val="7AAC4F5C"/>
    <w:rsid w:val="7AE30252"/>
    <w:rsid w:val="7AF64429"/>
    <w:rsid w:val="7AFE508C"/>
    <w:rsid w:val="7B1623D5"/>
    <w:rsid w:val="7B2E771F"/>
    <w:rsid w:val="7B2F195E"/>
    <w:rsid w:val="7B3B62E0"/>
    <w:rsid w:val="7B4B6523"/>
    <w:rsid w:val="7B707D38"/>
    <w:rsid w:val="7B7F61CD"/>
    <w:rsid w:val="7B8C6B3B"/>
    <w:rsid w:val="7BA0756B"/>
    <w:rsid w:val="7BA23C69"/>
    <w:rsid w:val="7BB3231A"/>
    <w:rsid w:val="7BB51BEE"/>
    <w:rsid w:val="7BC41E31"/>
    <w:rsid w:val="7BD05D0E"/>
    <w:rsid w:val="7BEC1388"/>
    <w:rsid w:val="7C077F70"/>
    <w:rsid w:val="7C084414"/>
    <w:rsid w:val="7C142DB9"/>
    <w:rsid w:val="7C174657"/>
    <w:rsid w:val="7C1A5EF5"/>
    <w:rsid w:val="7C2A25DC"/>
    <w:rsid w:val="7C413482"/>
    <w:rsid w:val="7C547659"/>
    <w:rsid w:val="7C694787"/>
    <w:rsid w:val="7C6F6241"/>
    <w:rsid w:val="7C701FB9"/>
    <w:rsid w:val="7C743857"/>
    <w:rsid w:val="7C75137E"/>
    <w:rsid w:val="7C7E0232"/>
    <w:rsid w:val="7C8F1F7D"/>
    <w:rsid w:val="7C95557C"/>
    <w:rsid w:val="7C975798"/>
    <w:rsid w:val="7CA26617"/>
    <w:rsid w:val="7CC11D60"/>
    <w:rsid w:val="7CC145C3"/>
    <w:rsid w:val="7CD21EA3"/>
    <w:rsid w:val="7CE56503"/>
    <w:rsid w:val="7CF20C20"/>
    <w:rsid w:val="7D056BA5"/>
    <w:rsid w:val="7D06483F"/>
    <w:rsid w:val="7D083FA0"/>
    <w:rsid w:val="7D2E7EAA"/>
    <w:rsid w:val="7D2F3C22"/>
    <w:rsid w:val="7D450D50"/>
    <w:rsid w:val="7D625DA6"/>
    <w:rsid w:val="7D8819B8"/>
    <w:rsid w:val="7D951CD7"/>
    <w:rsid w:val="7DBA7990"/>
    <w:rsid w:val="7DC9372F"/>
    <w:rsid w:val="7DCC7AD0"/>
    <w:rsid w:val="7DD02D0F"/>
    <w:rsid w:val="7DDA3B8E"/>
    <w:rsid w:val="7DE40569"/>
    <w:rsid w:val="7E067E08"/>
    <w:rsid w:val="7E1626EC"/>
    <w:rsid w:val="7E352137"/>
    <w:rsid w:val="7E394D59"/>
    <w:rsid w:val="7E3F39F1"/>
    <w:rsid w:val="7E4D4360"/>
    <w:rsid w:val="7E521976"/>
    <w:rsid w:val="7E7A0ECD"/>
    <w:rsid w:val="7E977CD1"/>
    <w:rsid w:val="7E9C7095"/>
    <w:rsid w:val="7EB77732"/>
    <w:rsid w:val="7EBE0DBA"/>
    <w:rsid w:val="7ECD129B"/>
    <w:rsid w:val="7EDE320A"/>
    <w:rsid w:val="7EE54599"/>
    <w:rsid w:val="7EED169F"/>
    <w:rsid w:val="7F037115"/>
    <w:rsid w:val="7F1C1F84"/>
    <w:rsid w:val="7F271055"/>
    <w:rsid w:val="7F3909EE"/>
    <w:rsid w:val="7F6C6A68"/>
    <w:rsid w:val="7F7B314F"/>
    <w:rsid w:val="7F800765"/>
    <w:rsid w:val="7FBB179D"/>
    <w:rsid w:val="7FDD1714"/>
    <w:rsid w:val="7FE231CE"/>
    <w:rsid w:val="7FFD3B64"/>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20"/>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99"/>
    <w:pPr>
      <w:spacing w:before="120" w:after="200" w:line="276" w:lineRule="auto"/>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spacing w:line="360" w:lineRule="auto"/>
    </w:pPr>
    <w:rPr>
      <w:rFonts w:ascii="time" w:hAnsi="time" w:eastAsia="仿宋_GB2312"/>
      <w:sz w:val="32"/>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style>
  <w:style w:type="paragraph" w:styleId="12">
    <w:name w:val="toc 2"/>
    <w:basedOn w:val="1"/>
    <w:next w:val="1"/>
    <w:qFormat/>
    <w:uiPriority w:val="39"/>
    <w:pPr>
      <w:ind w:left="420" w:leftChars="200"/>
    </w:pPr>
    <w:rPr>
      <w:rFonts w:ascii="Times New Roman" w:hAnsi="Times New Roman" w:eastAsia="宋体" w:cs="Times New Roman"/>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character" w:styleId="18">
    <w:name w:val="Hyperlink"/>
    <w:basedOn w:val="16"/>
    <w:qFormat/>
    <w:uiPriority w:val="0"/>
    <w:rPr>
      <w:color w:val="0000FF"/>
      <w:u w:val="single"/>
    </w:rPr>
  </w:style>
  <w:style w:type="paragraph" w:customStyle="1" w:styleId="19">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character" w:customStyle="1" w:styleId="20">
    <w:name w:val="标题 2 Char"/>
    <w:link w:val="3"/>
    <w:qFormat/>
    <w:uiPriority w:val="0"/>
    <w:rPr>
      <w:rFonts w:ascii="Arial" w:hAnsi="Arial" w:eastAsia="黑体"/>
      <w:b/>
      <w:sz w:val="32"/>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3"/>
    <w:qFormat/>
    <w:uiPriority w:val="0"/>
    <w:pPr>
      <w:ind w:leftChars="400"/>
    </w:pPr>
    <w:rPr>
      <w:rFonts w:ascii="Times New Roman" w:hAnsi="Times New Roman" w:eastAsia="宋体" w:cs="Times New Roman"/>
      <w:sz w:val="20"/>
      <w:szCs w:val="20"/>
    </w:rPr>
  </w:style>
  <w:style w:type="character" w:customStyle="1" w:styleId="24">
    <w:name w:val="font11"/>
    <w:basedOn w:val="16"/>
    <w:qFormat/>
    <w:uiPriority w:val="0"/>
    <w:rPr>
      <w:rFonts w:hint="eastAsia" w:ascii="仿宋" w:hAnsi="仿宋" w:eastAsia="仿宋" w:cs="仿宋"/>
      <w:color w:val="000000"/>
      <w:sz w:val="22"/>
      <w:szCs w:val="22"/>
      <w:u w:val="none"/>
    </w:rPr>
  </w:style>
  <w:style w:type="character" w:customStyle="1" w:styleId="25">
    <w:name w:val="font81"/>
    <w:basedOn w:val="16"/>
    <w:qFormat/>
    <w:uiPriority w:val="0"/>
    <w:rPr>
      <w:rFonts w:hint="eastAsia" w:ascii="仿宋" w:hAnsi="仿宋" w:eastAsia="仿宋" w:cs="仿宋"/>
      <w:color w:val="000000"/>
      <w:sz w:val="22"/>
      <w:szCs w:val="22"/>
      <w:u w:val="none"/>
    </w:rPr>
  </w:style>
  <w:style w:type="character" w:customStyle="1" w:styleId="26">
    <w:name w:val="font51"/>
    <w:basedOn w:val="16"/>
    <w:qFormat/>
    <w:uiPriority w:val="0"/>
    <w:rPr>
      <w:rFonts w:ascii="Calibri" w:hAnsi="Calibri" w:cs="Calibri"/>
      <w:color w:val="000000"/>
      <w:sz w:val="24"/>
      <w:szCs w:val="24"/>
      <w:u w:val="none"/>
    </w:rPr>
  </w:style>
  <w:style w:type="character" w:customStyle="1" w:styleId="27">
    <w:name w:val="font31"/>
    <w:basedOn w:val="16"/>
    <w:qFormat/>
    <w:uiPriority w:val="0"/>
    <w:rPr>
      <w:rFonts w:hint="eastAsia" w:ascii="宋体" w:hAnsi="宋体" w:eastAsia="宋体" w:cs="宋体"/>
      <w:color w:val="000000"/>
      <w:sz w:val="24"/>
      <w:szCs w:val="24"/>
      <w:u w:val="none"/>
    </w:rPr>
  </w:style>
  <w:style w:type="character" w:customStyle="1" w:styleId="28">
    <w:name w:val="font61"/>
    <w:basedOn w:val="16"/>
    <w:qFormat/>
    <w:uiPriority w:val="0"/>
    <w:rPr>
      <w:rFonts w:ascii="微软雅黑" w:hAnsi="微软雅黑" w:eastAsia="微软雅黑" w:cs="微软雅黑"/>
      <w:color w:val="000000"/>
      <w:sz w:val="24"/>
      <w:szCs w:val="24"/>
      <w:u w:val="none"/>
    </w:rPr>
  </w:style>
  <w:style w:type="character" w:customStyle="1" w:styleId="29">
    <w:name w:val="font21"/>
    <w:basedOn w:val="16"/>
    <w:qFormat/>
    <w:uiPriority w:val="0"/>
    <w:rPr>
      <w:rFonts w:ascii="仿宋" w:hAnsi="仿宋" w:eastAsia="仿宋" w:cs="仿宋"/>
      <w:b/>
      <w:bCs/>
      <w:color w:val="000000"/>
      <w:sz w:val="20"/>
      <w:szCs w:val="20"/>
      <w:u w:val="none"/>
    </w:rPr>
  </w:style>
  <w:style w:type="character" w:customStyle="1" w:styleId="30">
    <w:name w:val="font41"/>
    <w:basedOn w:val="16"/>
    <w:qFormat/>
    <w:uiPriority w:val="0"/>
    <w:rPr>
      <w:rFonts w:hint="eastAsia" w:ascii="仿宋" w:hAnsi="仿宋" w:eastAsia="仿宋" w:cs="仿宋"/>
      <w:color w:val="000000"/>
      <w:sz w:val="20"/>
      <w:szCs w:val="20"/>
      <w:u w:val="none"/>
    </w:rPr>
  </w:style>
  <w:style w:type="character" w:customStyle="1" w:styleId="31">
    <w:name w:val="font91"/>
    <w:basedOn w:val="16"/>
    <w:qFormat/>
    <w:uiPriority w:val="0"/>
    <w:rPr>
      <w:rFonts w:hint="eastAsia" w:ascii="宋体" w:hAnsi="宋体" w:eastAsia="宋体" w:cs="宋体"/>
      <w:color w:val="000000"/>
      <w:sz w:val="20"/>
      <w:szCs w:val="20"/>
      <w:u w:val="none"/>
    </w:rPr>
  </w:style>
  <w:style w:type="character" w:customStyle="1" w:styleId="32">
    <w:name w:val="font101"/>
    <w:basedOn w:val="16"/>
    <w:qFormat/>
    <w:uiPriority w:val="0"/>
    <w:rPr>
      <w:rFonts w:hint="eastAsia" w:ascii="仿宋" w:hAnsi="仿宋" w:eastAsia="仿宋" w:cs="仿宋"/>
      <w:b/>
      <w:bCs/>
      <w:color w:val="000000"/>
      <w:sz w:val="20"/>
      <w:szCs w:val="20"/>
      <w:u w:val="none"/>
    </w:rPr>
  </w:style>
  <w:style w:type="paragraph" w:customStyle="1" w:styleId="33">
    <w:name w:val="正文首行缩进1"/>
    <w:basedOn w:val="1"/>
    <w:qFormat/>
    <w:uiPriority w:val="0"/>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1077</Words>
  <Characters>6144</Characters>
  <Lines>51</Lines>
  <Paragraphs>14</Paragraphs>
  <TotalTime>6</TotalTime>
  <ScaleCrop>false</ScaleCrop>
  <LinksUpToDate>false</LinksUpToDate>
  <CharactersWithSpaces>7207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2023-02-22T07:07:00Z</dcterms:created>
  <dc:creator>Administrator</dc:creator>
  <cp:lastModifiedBy>文档存本地丢失不负责</cp:lastModifiedBy>
  <dcterms:modified xsi:type="dcterms:W3CDTF">2023-12-13T23:56:47Z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AD7A92433D1944298570194F1B65D303_13</vt:lpwstr>
  </property>
</Properties>
</file>