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spacing w:line="600" w:lineRule="exact"/>
        <w:ind w:firstLine="0" w:firstLineChars="0"/>
        <w:jc w:val="center"/>
        <w:rPr>
          <w:rFonts w:hint="eastAsia" w:ascii="Times New Roman" w:hAnsi="Times New Roman" w:eastAsia="方正小标宋_GBK" w:cs="Times New Roman"/>
          <w:sz w:val="36"/>
          <w:szCs w:val="36"/>
          <w:lang w:val="en-US" w:eastAsia="zh-CN"/>
        </w:rPr>
      </w:pPr>
      <w:bookmarkStart w:id="0" w:name="_Toc6267"/>
      <w:bookmarkStart w:id="1" w:name="_Toc14871"/>
      <w:bookmarkStart w:id="2" w:name="_Toc855"/>
      <w:bookmarkStart w:id="3" w:name="_Toc19029"/>
      <w:bookmarkStart w:id="4" w:name="_Toc13222"/>
      <w:bookmarkStart w:id="5" w:name="_Toc31030"/>
      <w:r>
        <w:rPr>
          <w:rFonts w:hint="eastAsia" w:ascii="Times New Roman" w:hAnsi="Times New Roman" w:eastAsia="方正小标宋_GBK" w:cs="Times New Roman"/>
          <w:sz w:val="36"/>
          <w:szCs w:val="36"/>
          <w:lang w:val="en-US" w:eastAsia="zh-CN"/>
        </w:rPr>
        <w:t>2022年岳阳楼区</w:t>
      </w:r>
      <w:bookmarkStart w:id="6" w:name="_Toc3426"/>
      <w:bookmarkStart w:id="7" w:name="_Toc12274"/>
      <w:r>
        <w:rPr>
          <w:rFonts w:hint="eastAsia" w:ascii="Times New Roman" w:hAnsi="Times New Roman" w:eastAsia="方正小标宋_GBK" w:cs="Times New Roman"/>
          <w:sz w:val="36"/>
          <w:szCs w:val="36"/>
          <w:lang w:val="en-US" w:eastAsia="zh-CN"/>
        </w:rPr>
        <w:t>医疗救助资金绩效评价报告</w:t>
      </w:r>
      <w:bookmarkEnd w:id="0"/>
      <w:bookmarkEnd w:id="1"/>
      <w:bookmarkEnd w:id="2"/>
      <w:bookmarkEnd w:id="3"/>
      <w:bookmarkEnd w:id="4"/>
      <w:bookmarkEnd w:id="5"/>
      <w:bookmarkEnd w:id="6"/>
      <w:bookmarkEnd w:id="7"/>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pStyle w:val="5"/>
        <w:rPr>
          <w:rFonts w:hint="default" w:ascii="Times New Roman" w:hAnsi="Times New Roman" w:cs="Times New Roman"/>
          <w:color w:val="auto"/>
          <w:sz w:val="24"/>
          <w:szCs w:val="24"/>
        </w:rPr>
      </w:pPr>
    </w:p>
    <w:p>
      <w:pPr>
        <w:pStyle w:val="5"/>
        <w:rPr>
          <w:rFonts w:hint="default" w:ascii="Times New Roman" w:hAnsi="Times New Roman" w:cs="Times New Roman"/>
          <w:color w:val="auto"/>
          <w:sz w:val="24"/>
          <w:szCs w:val="24"/>
        </w:rPr>
      </w:pPr>
    </w:p>
    <w:p>
      <w:pPr>
        <w:pStyle w:val="5"/>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9"/>
        <w:rPr>
          <w:rFonts w:hint="default" w:ascii="Times New Roman" w:hAnsi="Times New Roman" w:eastAsia="仿宋" w:cs="Times New Roman"/>
          <w:b/>
          <w:bCs/>
          <w:color w:val="auto"/>
          <w:sz w:val="36"/>
          <w:szCs w:val="36"/>
          <w:lang w:val="en-US" w:eastAsia="zh-CN"/>
        </w:rPr>
      </w:pPr>
      <w:bookmarkStart w:id="8" w:name="_Toc26420"/>
      <w:bookmarkStart w:id="9" w:name="_Toc8288"/>
      <w:r>
        <w:rPr>
          <w:rFonts w:hint="default" w:ascii="Times New Roman" w:hAnsi="Times New Roman" w:eastAsia="仿宋" w:cs="Times New Roman"/>
          <w:b/>
          <w:bCs/>
          <w:color w:val="auto"/>
          <w:sz w:val="36"/>
          <w:szCs w:val="36"/>
          <w:lang w:val="en-US" w:eastAsia="zh-CN"/>
        </w:rPr>
        <w:t>委托单位：</w:t>
      </w:r>
      <w:r>
        <w:rPr>
          <w:rFonts w:hint="eastAsia" w:ascii="Times New Roman" w:hAnsi="Times New Roman" w:eastAsia="仿宋" w:cs="Times New Roman"/>
          <w:b/>
          <w:bCs/>
          <w:color w:val="auto"/>
          <w:sz w:val="36"/>
          <w:szCs w:val="36"/>
          <w:lang w:val="en-US" w:eastAsia="zh-CN"/>
        </w:rPr>
        <w:t>岳阳楼区</w:t>
      </w:r>
      <w:r>
        <w:rPr>
          <w:rFonts w:hint="default" w:ascii="Times New Roman" w:hAnsi="Times New Roman" w:eastAsia="仿宋" w:cs="Times New Roman"/>
          <w:b/>
          <w:bCs/>
          <w:color w:val="auto"/>
          <w:sz w:val="36"/>
          <w:szCs w:val="36"/>
          <w:lang w:val="en-US" w:eastAsia="zh-CN"/>
        </w:rPr>
        <w:t>财政局</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9"/>
        <w:rPr>
          <w:rFonts w:hint="default" w:ascii="Times New Roman" w:hAnsi="Times New Roman" w:eastAsia="仿宋" w:cs="Times New Roman"/>
          <w:b/>
          <w:bCs/>
          <w:color w:val="auto"/>
          <w:sz w:val="36"/>
          <w:szCs w:val="36"/>
          <w:lang w:val="en-US" w:eastAsia="zh-CN"/>
        </w:rPr>
      </w:pPr>
      <w:bookmarkStart w:id="10" w:name="_Toc527"/>
      <w:bookmarkStart w:id="11" w:name="_Toc19686"/>
      <w:r>
        <w:rPr>
          <w:rFonts w:hint="default" w:ascii="Times New Roman" w:hAnsi="Times New Roman" w:eastAsia="仿宋" w:cs="Times New Roman"/>
          <w:b/>
          <w:bCs/>
          <w:color w:val="auto"/>
          <w:sz w:val="36"/>
          <w:szCs w:val="36"/>
          <w:lang w:val="en-US" w:eastAsia="zh-CN"/>
        </w:rPr>
        <w:t>主管单位：</w:t>
      </w:r>
      <w:r>
        <w:rPr>
          <w:rFonts w:hint="eastAsia" w:ascii="Times New Roman" w:hAnsi="Times New Roman" w:eastAsia="仿宋" w:cs="Times New Roman"/>
          <w:b/>
          <w:bCs/>
          <w:color w:val="auto"/>
          <w:sz w:val="36"/>
          <w:szCs w:val="36"/>
          <w:lang w:val="en-US" w:eastAsia="zh-CN"/>
        </w:rPr>
        <w:t>岳阳楼区医疗保障局</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9"/>
        <w:rPr>
          <w:rFonts w:hint="default" w:ascii="Times New Roman" w:hAnsi="Times New Roman" w:eastAsia="仿宋" w:cs="Times New Roman"/>
          <w:b/>
          <w:bCs/>
          <w:color w:val="auto"/>
          <w:sz w:val="36"/>
          <w:szCs w:val="36"/>
          <w:lang w:val="en-US" w:eastAsia="zh-CN"/>
        </w:rPr>
      </w:pPr>
      <w:r>
        <w:rPr>
          <w:rFonts w:hint="default" w:ascii="Times New Roman" w:hAnsi="Times New Roman" w:eastAsia="仿宋" w:cs="Times New Roman"/>
          <w:b/>
          <w:bCs/>
          <w:color w:val="auto"/>
          <w:sz w:val="36"/>
          <w:szCs w:val="36"/>
          <w:lang w:val="en-US" w:eastAsia="zh-CN"/>
        </w:rPr>
        <w:t>评价单位：中政智信（北京）经济咨询有限公司</w:t>
      </w: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rPr>
          <w:rFonts w:hint="default" w:ascii="Times New Roman" w:hAnsi="Times New Roman" w:cs="Times New Roman"/>
          <w:b/>
          <w:bCs/>
          <w:color w:val="auto"/>
          <w:sz w:val="24"/>
          <w:szCs w:val="24"/>
          <w:lang w:val="en-US" w:eastAsia="zh-CN"/>
        </w:r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2023年</w:t>
      </w:r>
      <w:r>
        <w:rPr>
          <w:rFonts w:hint="eastAsia" w:eastAsia="仿宋" w:cs="Times New Roman"/>
          <w:b/>
          <w:bCs/>
          <w:color w:val="auto"/>
          <w:sz w:val="32"/>
          <w:szCs w:val="32"/>
          <w:lang w:val="en-US" w:eastAsia="zh-CN"/>
        </w:rPr>
        <w:t>10</w:t>
      </w:r>
      <w:r>
        <w:rPr>
          <w:rFonts w:hint="default" w:ascii="Times New Roman" w:hAnsi="Times New Roman" w:eastAsia="仿宋" w:cs="Times New Roman"/>
          <w:b/>
          <w:bCs/>
          <w:color w:val="auto"/>
          <w:sz w:val="32"/>
          <w:szCs w:val="32"/>
          <w:lang w:val="en-US" w:eastAsia="zh-CN"/>
        </w:rPr>
        <w:t>月</w:t>
      </w:r>
    </w:p>
    <w:p>
      <w:pPr>
        <w:spacing w:before="0" w:beforeLines="0" w:after="0" w:afterLines="0" w:line="240" w:lineRule="auto"/>
        <w:ind w:left="0" w:leftChars="0" w:right="0" w:rightChars="0" w:firstLine="0" w:firstLineChars="0"/>
        <w:jc w:val="both"/>
        <w:rPr>
          <w:rFonts w:ascii="Times New Roman" w:hAnsi="Times New Roman" w:eastAsia="宋体" w:cs="Times New Roman"/>
          <w:b/>
          <w:kern w:val="44"/>
          <w:sz w:val="32"/>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4"/>
        <w:tblW w:w="9330" w:type="dxa"/>
        <w:jc w:val="center"/>
        <w:tblLayout w:type="fixed"/>
        <w:tblCellMar>
          <w:top w:w="0" w:type="dxa"/>
          <w:left w:w="108" w:type="dxa"/>
          <w:bottom w:w="0" w:type="dxa"/>
          <w:right w:w="108" w:type="dxa"/>
        </w:tblCellMar>
      </w:tblPr>
      <w:tblGrid>
        <w:gridCol w:w="1980"/>
        <w:gridCol w:w="2303"/>
        <w:gridCol w:w="1607"/>
        <w:gridCol w:w="1213"/>
        <w:gridCol w:w="1187"/>
        <w:gridCol w:w="1040"/>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12" w:name="_Toc15818"/>
            <w:r>
              <w:rPr>
                <w:rFonts w:hint="eastAsia" w:ascii="黑体" w:hAnsi="宋体" w:eastAsia="黑体" w:cs="黑体"/>
                <w:color w:val="auto"/>
                <w:kern w:val="0"/>
                <w:sz w:val="36"/>
                <w:szCs w:val="36"/>
              </w:rPr>
              <w:t>一、项目概况</w:t>
            </w:r>
            <w:bookmarkEnd w:id="12"/>
          </w:p>
        </w:tc>
      </w:tr>
      <w:tr>
        <w:tblPrEx>
          <w:tblCellMar>
            <w:top w:w="0" w:type="dxa"/>
            <w:left w:w="108" w:type="dxa"/>
            <w:bottom w:w="0" w:type="dxa"/>
            <w:right w:w="108" w:type="dxa"/>
          </w:tblCellMar>
        </w:tblPrEx>
        <w:trPr>
          <w:trHeight w:val="580" w:hRule="atLeast"/>
          <w:jc w:val="center"/>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color w:val="auto"/>
                <w:sz w:val="24"/>
                <w:szCs w:val="24"/>
                <w:highlight w:val="none"/>
                <w:lang w:val="en-US" w:eastAsia="zh-CN"/>
              </w:rPr>
              <w:t>王琴</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13873029299</w:t>
            </w:r>
          </w:p>
        </w:tc>
      </w:tr>
      <w:tr>
        <w:tblPrEx>
          <w:tblCellMar>
            <w:top w:w="0" w:type="dxa"/>
            <w:left w:w="108" w:type="dxa"/>
            <w:bottom w:w="0" w:type="dxa"/>
            <w:right w:w="108" w:type="dxa"/>
          </w:tblCellMar>
        </w:tblPrEx>
        <w:trPr>
          <w:trHeight w:val="6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w:t>
            </w:r>
            <w:r>
              <w:rPr>
                <w:rFonts w:hint="eastAsia" w:ascii="仿宋" w:hAnsi="仿宋" w:eastAsia="仿宋" w:cs="仿宋"/>
                <w:color w:val="auto"/>
                <w:sz w:val="24"/>
                <w:szCs w:val="24"/>
                <w:highlight w:val="none"/>
                <w:lang w:val="en-US" w:eastAsia="zh-CN"/>
              </w:rPr>
              <w:t>岳阳</w:t>
            </w:r>
            <w:r>
              <w:rPr>
                <w:rFonts w:hint="default"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楼区洞庭大道78号附近</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350"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lang w:val="en-US" w:eastAsia="zh-CN"/>
              </w:rPr>
              <w:t>医疗救助支出为</w:t>
            </w:r>
            <w:r>
              <w:rPr>
                <w:rFonts w:hint="default" w:ascii="Times New Roman" w:hAnsi="Times New Roman" w:eastAsia="仿宋_GB2312" w:cs="Times New Roman"/>
                <w:i w:val="0"/>
                <w:iCs w:val="0"/>
                <w:color w:val="000000"/>
                <w:kern w:val="0"/>
                <w:sz w:val="24"/>
                <w:szCs w:val="24"/>
                <w:u w:val="none"/>
                <w:lang w:val="en-US" w:eastAsia="zh-CN" w:bidi="ar"/>
              </w:rPr>
              <w:t>1676.36</w:t>
            </w:r>
            <w:bookmarkStart w:id="114" w:name="_GoBack"/>
            <w:bookmarkEnd w:id="114"/>
            <w:r>
              <w:rPr>
                <w:rFonts w:hint="eastAsia" w:ascii="仿宋" w:hAnsi="仿宋" w:eastAsia="仿宋" w:cs="仿宋"/>
                <w:color w:val="auto"/>
                <w:kern w:val="0"/>
                <w:sz w:val="24"/>
                <w:szCs w:val="24"/>
                <w:lang w:val="en-US" w:eastAsia="zh-CN"/>
              </w:rPr>
              <w:t>万元</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Times New Roman" w:hAnsi="Times New Roman" w:eastAsia="仿宋_GB2312" w:cs="Times New Roman"/>
                <w:i w:val="0"/>
                <w:iCs w:val="0"/>
                <w:color w:val="000000"/>
                <w:sz w:val="24"/>
                <w:szCs w:val="24"/>
                <w:u w:val="none"/>
                <w:lang w:val="en-US" w:eastAsia="zh-CN"/>
              </w:rPr>
              <w:t>1190.30</w:t>
            </w:r>
            <w:r>
              <w:rPr>
                <w:rFonts w:hint="default" w:ascii="仿宋" w:hAnsi="仿宋" w:eastAsia="仿宋" w:cs="仿宋"/>
                <w:color w:val="auto"/>
                <w:kern w:val="2"/>
                <w:sz w:val="24"/>
                <w:szCs w:val="24"/>
                <w:highlight w:val="none"/>
                <w:lang w:val="en-US" w:eastAsia="zh-CN" w:bidi="ar-SA"/>
              </w:rPr>
              <w:t>万元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Times New Roman" w:hAnsi="Times New Roman" w:eastAsia="仿宋_GB2312" w:cs="Times New Roman"/>
                <w:i w:val="0"/>
                <w:iCs w:val="0"/>
                <w:color w:val="000000"/>
                <w:sz w:val="24"/>
                <w:szCs w:val="24"/>
                <w:u w:val="none"/>
                <w:lang w:val="en-US" w:eastAsia="zh-CN"/>
              </w:rPr>
              <w:t>1190.30</w:t>
            </w:r>
            <w:r>
              <w:rPr>
                <w:rFonts w:hint="default" w:ascii="仿宋" w:hAnsi="仿宋" w:eastAsia="仿宋" w:cs="仿宋"/>
                <w:color w:val="auto"/>
                <w:kern w:val="2"/>
                <w:sz w:val="24"/>
                <w:szCs w:val="24"/>
                <w:highlight w:val="none"/>
                <w:lang w:val="en-US" w:eastAsia="zh-CN" w:bidi="ar-SA"/>
              </w:rPr>
              <w:t>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92</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优</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303"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4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040"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303"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400"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040"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4007"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spacing w:before="0" w:beforeLines="0" w:after="0" w:afterLines="0" w:line="240" w:lineRule="auto"/>
        <w:ind w:left="0" w:leftChars="0" w:right="0" w:rightChars="0" w:firstLine="0" w:firstLineChars="0"/>
        <w:jc w:val="both"/>
        <w:rPr>
          <w:rFonts w:ascii="Times New Roman" w:hAnsi="Times New Roman" w:eastAsia="宋体" w:cs="Times New Roman"/>
          <w:b/>
          <w:kern w:val="44"/>
          <w:sz w:val="32"/>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imes New Roman"/>
          <w:kern w:val="2"/>
          <w:sz w:val="21"/>
          <w:szCs w:val="24"/>
          <w:lang w:val="en-US" w:eastAsia="zh-CN" w:bidi="ar-SA"/>
        </w:rPr>
        <w:id w:val="14746285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24"/>
              <w:szCs w:val="32"/>
            </w:rPr>
          </w:pPr>
          <w:bookmarkStart w:id="13" w:name="_Toc9907"/>
          <w:bookmarkStart w:id="14" w:name="_Toc11867"/>
          <w:bookmarkStart w:id="15" w:name="_Toc17653"/>
          <w:bookmarkStart w:id="16" w:name="_Toc25286"/>
          <w:bookmarkStart w:id="17" w:name="_Toc29551"/>
          <w:bookmarkStart w:id="18" w:name="_Toc7874"/>
          <w:bookmarkStart w:id="19" w:name="_Toc28293"/>
          <w:r>
            <w:rPr>
              <w:rFonts w:hint="default" w:ascii="宋体" w:hAnsi="宋体" w:eastAsia="宋体" w:cs="Times New Roman"/>
              <w:b/>
              <w:bCs/>
              <w:sz w:val="32"/>
              <w:szCs w:val="40"/>
            </w:rPr>
            <w:t>目</w:t>
          </w:r>
          <w:r>
            <w:rPr>
              <w:rFonts w:hint="eastAsia" w:ascii="宋体" w:hAnsi="宋体" w:cs="Times New Roman"/>
              <w:b/>
              <w:bCs/>
              <w:sz w:val="32"/>
              <w:szCs w:val="40"/>
              <w:lang w:val="en-US" w:eastAsia="zh-CN"/>
            </w:rPr>
            <w:t xml:space="preserve"> </w:t>
          </w:r>
          <w:r>
            <w:rPr>
              <w:rFonts w:hint="default" w:ascii="宋体" w:hAnsi="宋体" w:eastAsia="宋体" w:cs="Times New Roman"/>
              <w:b/>
              <w:bCs/>
              <w:sz w:val="32"/>
              <w:szCs w:val="40"/>
            </w:rPr>
            <w:t>录</w:t>
          </w:r>
        </w:p>
        <w:p>
          <w:pPr>
            <w:pStyle w:val="17"/>
            <w:tabs>
              <w:tab w:val="right" w:leader="dot" w:pos="8306"/>
            </w:tabs>
            <w:rPr>
              <w:b/>
            </w:rPr>
          </w:pPr>
          <w:r>
            <w:fldChar w:fldCharType="begin"/>
          </w:r>
          <w:r>
            <w:instrText xml:space="preserve">TOC \o "1-2" \h \u </w:instrText>
          </w:r>
          <w:r>
            <w:fldChar w:fldCharType="separate"/>
          </w:r>
        </w:p>
        <w:p>
          <w:pPr>
            <w:pStyle w:val="17"/>
            <w:tabs>
              <w:tab w:val="right" w:leader="dot" w:pos="8306"/>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_Toc24268 </w:instrText>
          </w:r>
          <w:r>
            <w:rPr>
              <w:rFonts w:hint="default" w:ascii="楷体" w:hAnsi="楷体" w:eastAsia="楷体" w:cs="楷体"/>
              <w:b/>
              <w:sz w:val="21"/>
              <w:szCs w:val="21"/>
              <w:lang w:val="en-US" w:eastAsia="zh-CN"/>
            </w:rPr>
            <w:fldChar w:fldCharType="separate"/>
          </w:r>
          <w:r>
            <w:rPr>
              <w:rFonts w:hint="default"/>
              <w:b/>
              <w:lang w:val="en-US" w:eastAsia="zh-CN"/>
            </w:rPr>
            <w:t>一、项目概况</w:t>
          </w:r>
          <w:r>
            <w:rPr>
              <w:rFonts w:hint="default" w:ascii="楷体" w:hAnsi="楷体" w:eastAsia="楷体" w:cs="楷体"/>
              <w:b/>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_Toc24268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_Toc14639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（一）政策背景</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_Toc14639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_Toc17662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（二）岳阳楼区医疗救助政策规定</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_Toc17662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3</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_Toc29148 </w:instrText>
          </w:r>
          <w:r>
            <w:rPr>
              <w:b/>
            </w:rPr>
            <w:fldChar w:fldCharType="separate"/>
          </w:r>
          <w:r>
            <w:rPr>
              <w:rFonts w:hint="default" w:ascii="楷体" w:hAnsi="楷体" w:eastAsia="楷体" w:cs="楷体"/>
              <w:b/>
              <w:sz w:val="21"/>
              <w:szCs w:val="21"/>
              <w:lang w:val="en-US" w:eastAsia="zh-CN"/>
            </w:rPr>
            <w:t>二、</w:t>
          </w:r>
          <w:r>
            <w:rPr>
              <w:rFonts w:hint="default" w:ascii="Times New Roman" w:hAnsi="Times New Roman" w:eastAsia="楷体" w:cs="Times New Roman"/>
              <w:b/>
              <w:sz w:val="21"/>
              <w:szCs w:val="21"/>
              <w:lang w:val="en-US" w:eastAsia="zh-CN"/>
            </w:rPr>
            <w:t>2022</w:t>
          </w:r>
          <w:r>
            <w:rPr>
              <w:rFonts w:hint="default" w:ascii="楷体" w:hAnsi="楷体" w:eastAsia="楷体" w:cs="楷体"/>
              <w:b/>
              <w:sz w:val="21"/>
              <w:szCs w:val="21"/>
              <w:lang w:val="en-US" w:eastAsia="zh-CN"/>
            </w:rPr>
            <w:t>年度岳阳楼区医疗救助资金执行情况</w:t>
          </w:r>
          <w:r>
            <w:rPr>
              <w:rFonts w:hint="default" w:ascii="楷体" w:hAnsi="楷体" w:eastAsia="楷体" w:cs="楷体"/>
              <w:b/>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_Toc29148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5</w:t>
          </w:r>
          <w:r>
            <w:rPr>
              <w:rFonts w:hint="default" w:ascii="Times New Roman" w:hAnsi="Times New Roman" w:eastAsia="楷体" w:cs="Times New Roman"/>
              <w:sz w:val="21"/>
              <w:szCs w:val="21"/>
              <w:lang w:val="en-US" w:eastAsia="zh-CN"/>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_Toc22222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（一）资金来源与预算安排</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_Toc22222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5</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_Toc4103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（二）资金到位与使用管理情况</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_Toc4103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5</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_Toc27677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（三）</w:t>
          </w:r>
          <w:r>
            <w:rPr>
              <w:rFonts w:hint="default" w:ascii="Times New Roman" w:hAnsi="Times New Roman" w:eastAsia="楷体" w:cs="Times New Roman"/>
              <w:sz w:val="21"/>
              <w:szCs w:val="21"/>
              <w:lang w:val="en-US" w:eastAsia="zh-CN"/>
            </w:rPr>
            <w:t>2022</w:t>
          </w:r>
          <w:r>
            <w:rPr>
              <w:rFonts w:hint="default" w:ascii="楷体" w:hAnsi="楷体" w:eastAsia="楷体" w:cs="楷体"/>
              <w:sz w:val="21"/>
              <w:szCs w:val="21"/>
              <w:lang w:val="en-US" w:eastAsia="zh-CN"/>
            </w:rPr>
            <w:t>年度岳阳楼区医疗救助政策落实情况</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_Toc27677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6</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_Toc16581 </w:instrText>
          </w:r>
          <w:r>
            <w:rPr>
              <w:b/>
            </w:rPr>
            <w:fldChar w:fldCharType="separate"/>
          </w:r>
          <w:r>
            <w:rPr>
              <w:rFonts w:hint="eastAsia" w:ascii="楷体" w:hAnsi="楷体" w:eastAsia="楷体" w:cs="楷体"/>
              <w:b/>
              <w:sz w:val="21"/>
              <w:szCs w:val="21"/>
              <w:lang w:val="en-US" w:eastAsia="zh-CN"/>
            </w:rPr>
            <w:t>三、</w:t>
          </w:r>
          <w:r>
            <w:rPr>
              <w:rFonts w:hint="default" w:ascii="楷体" w:hAnsi="楷体" w:eastAsia="楷体" w:cs="楷体"/>
              <w:b/>
              <w:sz w:val="21"/>
              <w:szCs w:val="21"/>
              <w:lang w:val="en-US" w:eastAsia="zh-CN"/>
            </w:rPr>
            <w:t>绩效评价工作情况</w:t>
          </w:r>
          <w:r>
            <w:rPr>
              <w:b/>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_Toc16581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7</w:t>
          </w:r>
          <w:r>
            <w:rPr>
              <w:rFonts w:hint="default" w:ascii="Times New Roman" w:hAnsi="Times New Roman" w:eastAsia="楷体" w:cs="Times New Roman"/>
              <w:sz w:val="21"/>
              <w:szCs w:val="21"/>
              <w:lang w:val="en-US" w:eastAsia="zh-CN"/>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_Toc18305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 xml:space="preserve">（一） </w:t>
          </w:r>
          <w:r>
            <w:rPr>
              <w:rFonts w:hint="default" w:ascii="楷体" w:hAnsi="楷体" w:eastAsia="楷体" w:cs="楷体"/>
              <w:sz w:val="21"/>
              <w:szCs w:val="21"/>
              <w:lang w:val="en-US" w:eastAsia="zh-CN"/>
            </w:rPr>
            <w:t>评价方法、指标体系和评分定级</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_Toc18305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7</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_Toc9953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 xml:space="preserve">（二） </w:t>
          </w:r>
          <w:r>
            <w:rPr>
              <w:rFonts w:hint="default" w:ascii="楷体" w:hAnsi="楷体" w:eastAsia="楷体" w:cs="楷体"/>
              <w:sz w:val="21"/>
              <w:szCs w:val="21"/>
              <w:lang w:val="en-US" w:eastAsia="zh-CN"/>
            </w:rPr>
            <w:t>绩效评价过程</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_Toc9953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8</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_Toc26875 </w:instrText>
          </w:r>
          <w:r>
            <w:rPr>
              <w:b/>
            </w:rPr>
            <w:fldChar w:fldCharType="separate"/>
          </w:r>
          <w:r>
            <w:rPr>
              <w:rFonts w:hint="eastAsia" w:ascii="楷体" w:hAnsi="楷体" w:eastAsia="楷体" w:cs="楷体"/>
              <w:b/>
              <w:sz w:val="21"/>
              <w:szCs w:val="21"/>
              <w:lang w:val="en-US" w:eastAsia="zh-CN"/>
            </w:rPr>
            <w:t>四、综合绩效及评价结论</w:t>
          </w:r>
          <w:r>
            <w:rPr>
              <w:b/>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_Toc26875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9</w:t>
          </w:r>
          <w:r>
            <w:rPr>
              <w:rFonts w:hint="default" w:ascii="Times New Roman" w:hAnsi="Times New Roman" w:eastAsia="楷体" w:cs="Times New Roman"/>
              <w:sz w:val="21"/>
              <w:szCs w:val="21"/>
              <w:lang w:val="en-US" w:eastAsia="zh-CN"/>
            </w:rPr>
            <w:fldChar w:fldCharType="end"/>
          </w:r>
          <w:r>
            <w:rPr>
              <w:b/>
            </w:rPr>
            <w:fldChar w:fldCharType="end"/>
          </w:r>
        </w:p>
        <w:p>
          <w:pPr>
            <w:pStyle w:val="17"/>
            <w:tabs>
              <w:tab w:val="right" w:leader="dot" w:pos="8306"/>
            </w:tabs>
            <w:rPr>
              <w:b/>
            </w:rPr>
          </w:pPr>
          <w:r>
            <w:rPr>
              <w:b/>
            </w:rPr>
            <w:fldChar w:fldCharType="begin"/>
          </w:r>
          <w:r>
            <w:rPr>
              <w:b/>
            </w:rPr>
            <w:instrText xml:space="preserve"> HYPERLINK \l _Toc4397 </w:instrText>
          </w:r>
          <w:r>
            <w:rPr>
              <w:b/>
            </w:rPr>
            <w:fldChar w:fldCharType="separate"/>
          </w:r>
          <w:r>
            <w:rPr>
              <w:rFonts w:hint="eastAsia" w:ascii="楷体" w:hAnsi="楷体" w:eastAsia="楷体" w:cs="楷体"/>
              <w:b/>
              <w:sz w:val="21"/>
              <w:szCs w:val="21"/>
              <w:lang w:val="en-US" w:eastAsia="zh-CN"/>
            </w:rPr>
            <w:t>五、综合</w:t>
          </w:r>
          <w:r>
            <w:rPr>
              <w:rFonts w:hint="default" w:ascii="楷体" w:hAnsi="楷体" w:eastAsia="楷体" w:cs="楷体"/>
              <w:b/>
              <w:sz w:val="21"/>
              <w:szCs w:val="21"/>
              <w:lang w:val="en-US" w:eastAsia="zh-CN"/>
            </w:rPr>
            <w:t>绩效</w:t>
          </w:r>
          <w:r>
            <w:rPr>
              <w:rFonts w:hint="eastAsia" w:ascii="楷体" w:hAnsi="楷体" w:eastAsia="楷体" w:cs="楷体"/>
              <w:b/>
              <w:sz w:val="21"/>
              <w:szCs w:val="21"/>
              <w:lang w:val="en-US" w:eastAsia="zh-CN"/>
            </w:rPr>
            <w:t>分析</w:t>
          </w:r>
          <w:r>
            <w:rPr>
              <w:b/>
            </w:rPr>
            <w:tab/>
          </w:r>
          <w:r>
            <w:rPr>
              <w:b/>
            </w:rPr>
            <w:fldChar w:fldCharType="begin"/>
          </w:r>
          <w:r>
            <w:rPr>
              <w:b/>
            </w:rPr>
            <w:instrText xml:space="preserve"> PAGEREF _Toc4397 \h </w:instrText>
          </w:r>
          <w:r>
            <w:rPr>
              <w:b/>
            </w:rPr>
            <w:fldChar w:fldCharType="separate"/>
          </w:r>
          <w:r>
            <w:rPr>
              <w:b/>
            </w:rPr>
            <w:t>10</w:t>
          </w:r>
          <w:r>
            <w:rPr>
              <w:b/>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_Toc24450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（一）</w:t>
          </w:r>
          <w:r>
            <w:rPr>
              <w:rFonts w:hint="default" w:ascii="楷体" w:hAnsi="楷体" w:eastAsia="楷体" w:cs="楷体"/>
              <w:sz w:val="21"/>
              <w:szCs w:val="21"/>
              <w:lang w:val="en-US" w:eastAsia="zh-CN"/>
            </w:rPr>
            <w:t>决策绩效分析</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_Toc24450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10</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_Toc10357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（二）过程</w:t>
          </w:r>
          <w:r>
            <w:rPr>
              <w:rFonts w:hint="default" w:ascii="楷体" w:hAnsi="楷体" w:eastAsia="楷体" w:cs="楷体"/>
              <w:sz w:val="21"/>
              <w:szCs w:val="21"/>
              <w:lang w:val="en-US" w:eastAsia="zh-CN"/>
            </w:rPr>
            <w:t>绩效分析</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_Toc10357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11</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_Toc22457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（三）产出</w:t>
          </w:r>
          <w:r>
            <w:rPr>
              <w:rFonts w:hint="default" w:ascii="楷体" w:hAnsi="楷体" w:eastAsia="楷体" w:cs="楷体"/>
              <w:sz w:val="21"/>
              <w:szCs w:val="21"/>
              <w:lang w:val="en-US" w:eastAsia="zh-CN"/>
            </w:rPr>
            <w:t>绩效分析</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_Toc22457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12</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_Toc31173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（四）效益</w:t>
          </w:r>
          <w:r>
            <w:rPr>
              <w:rFonts w:hint="default" w:ascii="楷体" w:hAnsi="楷体" w:eastAsia="楷体" w:cs="楷体"/>
              <w:sz w:val="21"/>
              <w:szCs w:val="21"/>
              <w:lang w:val="en-US" w:eastAsia="zh-CN"/>
            </w:rPr>
            <w:t>绩效分析</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_Toc31173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13</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_Toc22924 </w:instrText>
          </w:r>
          <w:r>
            <w:rPr>
              <w:b/>
            </w:rPr>
            <w:fldChar w:fldCharType="separate"/>
          </w:r>
          <w:r>
            <w:rPr>
              <w:rFonts w:hint="eastAsia" w:ascii="楷体" w:hAnsi="楷体" w:eastAsia="楷体" w:cs="楷体"/>
              <w:b/>
              <w:sz w:val="21"/>
              <w:szCs w:val="21"/>
              <w:lang w:val="en-US" w:eastAsia="zh-CN"/>
            </w:rPr>
            <w:t>六、主要成绩与经验</w:t>
          </w:r>
          <w:r>
            <w:rPr>
              <w:b/>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_Toc22924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13</w:t>
          </w:r>
          <w:r>
            <w:rPr>
              <w:rFonts w:hint="default" w:ascii="Times New Roman" w:hAnsi="Times New Roman" w:eastAsia="楷体" w:cs="Times New Roman"/>
              <w:sz w:val="21"/>
              <w:szCs w:val="21"/>
              <w:lang w:val="en-US" w:eastAsia="zh-CN"/>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_Toc10274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（一）</w:t>
          </w:r>
          <w:r>
            <w:rPr>
              <w:rFonts w:hint="eastAsia" w:ascii="楷体" w:hAnsi="楷体" w:eastAsia="楷体" w:cs="楷体"/>
              <w:sz w:val="21"/>
              <w:szCs w:val="21"/>
              <w:lang w:val="en-US" w:eastAsia="zh-CN"/>
            </w:rPr>
            <w:t>年度任务目标基本实现</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_Toc10274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13</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_Toc29582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（二）政策兑现效益明显</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_Toc29582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13</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_Toc10482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（三）</w:t>
          </w:r>
          <w:r>
            <w:rPr>
              <w:rFonts w:hint="eastAsia" w:ascii="楷体" w:hAnsi="楷体" w:eastAsia="楷体" w:cs="楷体"/>
              <w:sz w:val="21"/>
              <w:szCs w:val="21"/>
              <w:lang w:val="en-US" w:eastAsia="zh-CN"/>
            </w:rPr>
            <w:t>简化流程便利群众</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_Toc10482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14</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_Toc19007 </w:instrText>
          </w:r>
          <w:r>
            <w:rPr>
              <w:b/>
            </w:rPr>
            <w:fldChar w:fldCharType="separate"/>
          </w:r>
          <w:r>
            <w:rPr>
              <w:rFonts w:hint="eastAsia" w:ascii="楷体" w:hAnsi="楷体" w:eastAsia="楷体" w:cs="楷体"/>
              <w:b/>
              <w:sz w:val="21"/>
              <w:szCs w:val="21"/>
              <w:lang w:val="en-US" w:eastAsia="zh-CN"/>
            </w:rPr>
            <w:t>七、</w:t>
          </w:r>
          <w:r>
            <w:rPr>
              <w:rFonts w:hint="default" w:ascii="楷体" w:hAnsi="楷体" w:eastAsia="楷体" w:cs="楷体"/>
              <w:b/>
              <w:sz w:val="21"/>
              <w:szCs w:val="21"/>
              <w:lang w:val="en-US" w:eastAsia="zh-CN"/>
            </w:rPr>
            <w:t>存在的问题及原因分析</w:t>
          </w:r>
          <w:r>
            <w:rPr>
              <w:b/>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_Toc19007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14</w:t>
          </w:r>
          <w:r>
            <w:rPr>
              <w:rFonts w:hint="default" w:ascii="Times New Roman" w:hAnsi="Times New Roman" w:eastAsia="楷体" w:cs="Times New Roman"/>
              <w:sz w:val="21"/>
              <w:szCs w:val="21"/>
              <w:lang w:val="en-US" w:eastAsia="zh-CN"/>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_Toc18587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（一）预算与绩效目标精准性有待加强</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_Toc18587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14</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_Toc29361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（二）资金审批流程存在瑕疵</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_Toc29361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15</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fldChar w:fldCharType="begin"/>
          </w:r>
          <w:r>
            <w:instrText xml:space="preserve"> HYPERLINK \l _Toc24867 </w:instrText>
          </w:r>
          <w:r>
            <w:fldChar w:fldCharType="separate"/>
          </w:r>
          <w:r>
            <w:rPr>
              <w:rFonts w:hint="eastAsia" w:ascii="楷体" w:hAnsi="楷体" w:eastAsia="楷体" w:cs="楷体"/>
              <w:sz w:val="21"/>
              <w:szCs w:val="21"/>
              <w:lang w:val="en-US" w:eastAsia="zh-CN"/>
            </w:rPr>
            <w:t>（三）群众获得感仍需提升</w:t>
          </w:r>
          <w: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_Toc24867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15</w:t>
          </w:r>
          <w:r>
            <w:rPr>
              <w:rFonts w:hint="default" w:ascii="Times New Roman" w:hAnsi="Times New Roman" w:eastAsia="楷体" w:cs="Times New Roman"/>
              <w:sz w:val="21"/>
              <w:szCs w:val="21"/>
              <w:lang w:val="en-US" w:eastAsia="zh-CN"/>
            </w:rPr>
            <w:fldChar w:fldCharType="end"/>
          </w:r>
          <w:r>
            <w:fldChar w:fldCharType="end"/>
          </w:r>
        </w:p>
        <w:p>
          <w:pPr>
            <w:pStyle w:val="17"/>
            <w:tabs>
              <w:tab w:val="right" w:leader="dot" w:pos="8306"/>
            </w:tabs>
            <w:rPr>
              <w:b/>
            </w:rPr>
          </w:pPr>
          <w:r>
            <w:rPr>
              <w:b/>
            </w:rPr>
            <w:fldChar w:fldCharType="begin"/>
          </w:r>
          <w:r>
            <w:rPr>
              <w:b/>
            </w:rPr>
            <w:instrText xml:space="preserve"> HYPERLINK \l _Toc31520 </w:instrText>
          </w:r>
          <w:r>
            <w:rPr>
              <w:b/>
            </w:rPr>
            <w:fldChar w:fldCharType="separate"/>
          </w:r>
          <w:r>
            <w:rPr>
              <w:rFonts w:hint="eastAsia" w:ascii="楷体" w:hAnsi="楷体" w:eastAsia="楷体" w:cs="楷体"/>
              <w:b/>
              <w:sz w:val="21"/>
              <w:szCs w:val="21"/>
              <w:lang w:val="en-US" w:eastAsia="zh-CN"/>
            </w:rPr>
            <w:t>八</w:t>
          </w:r>
          <w:r>
            <w:rPr>
              <w:rFonts w:hint="default" w:ascii="楷体" w:hAnsi="楷体" w:eastAsia="楷体" w:cs="楷体"/>
              <w:b/>
              <w:sz w:val="21"/>
              <w:szCs w:val="21"/>
              <w:lang w:val="en-US" w:eastAsia="zh-CN"/>
            </w:rPr>
            <w:t>、有关建议</w:t>
          </w:r>
          <w:r>
            <w:rPr>
              <w:b/>
            </w:rPr>
            <w:tab/>
          </w:r>
          <w:r>
            <w:rPr>
              <w:b/>
            </w:rPr>
            <w:fldChar w:fldCharType="begin"/>
          </w:r>
          <w:r>
            <w:rPr>
              <w:b/>
            </w:rPr>
            <w:instrText xml:space="preserve"> PAGEREF _Toc31520 \h </w:instrText>
          </w:r>
          <w:r>
            <w:rPr>
              <w:b/>
            </w:rPr>
            <w:fldChar w:fldCharType="separate"/>
          </w:r>
          <w:r>
            <w:rPr>
              <w:b/>
            </w:rPr>
            <w:t>15</w:t>
          </w:r>
          <w:r>
            <w:rPr>
              <w:b/>
            </w:rPr>
            <w:fldChar w:fldCharType="end"/>
          </w:r>
          <w:r>
            <w:rPr>
              <w:b/>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_Toc15069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（一）提高预算与绩效目标编制精确性</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_Toc15069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15</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rPr>
              <w:rFonts w:hint="default" w:ascii="楷体" w:hAnsi="楷体" w:eastAsia="楷体" w:cs="楷体"/>
              <w:sz w:val="21"/>
              <w:szCs w:val="21"/>
              <w:lang w:val="en-US" w:eastAsia="zh-CN"/>
            </w:rPr>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_Toc22905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（二）规范资金审批流程</w:t>
          </w:r>
          <w:r>
            <w:rPr>
              <w:rFonts w:hint="default" w:ascii="楷体" w:hAnsi="楷体" w:eastAsia="楷体" w:cs="楷体"/>
              <w:sz w:val="21"/>
              <w:szCs w:val="21"/>
              <w:lang w:val="en-US" w:eastAsia="zh-CN"/>
            </w:rPr>
            <w:tab/>
          </w: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PAGEREF _Toc22905 \h </w:instrText>
          </w:r>
          <w:r>
            <w:rPr>
              <w:rFonts w:hint="default" w:ascii="楷体" w:hAnsi="楷体" w:eastAsia="楷体" w:cs="楷体"/>
              <w:sz w:val="21"/>
              <w:szCs w:val="21"/>
              <w:lang w:val="en-US" w:eastAsia="zh-CN"/>
            </w:rPr>
            <w:fldChar w:fldCharType="separate"/>
          </w:r>
          <w:r>
            <w:rPr>
              <w:rFonts w:hint="default" w:ascii="楷体" w:hAnsi="楷体" w:eastAsia="楷体" w:cs="楷体"/>
              <w:sz w:val="21"/>
              <w:szCs w:val="21"/>
              <w:lang w:val="en-US" w:eastAsia="zh-CN"/>
            </w:rPr>
            <w:t>15</w:t>
          </w:r>
          <w:r>
            <w:rPr>
              <w:rFonts w:hint="default" w:ascii="楷体" w:hAnsi="楷体" w:eastAsia="楷体" w:cs="楷体"/>
              <w:sz w:val="21"/>
              <w:szCs w:val="21"/>
              <w:lang w:val="en-US" w:eastAsia="zh-CN"/>
            </w:rPr>
            <w:fldChar w:fldCharType="end"/>
          </w:r>
          <w:r>
            <w:rPr>
              <w:rFonts w:hint="default" w:ascii="楷体" w:hAnsi="楷体" w:eastAsia="楷体" w:cs="楷体"/>
              <w:sz w:val="21"/>
              <w:szCs w:val="21"/>
              <w:lang w:val="en-US" w:eastAsia="zh-CN"/>
            </w:rPr>
            <w:fldChar w:fldCharType="end"/>
          </w:r>
        </w:p>
        <w:p>
          <w:pPr>
            <w:pStyle w:val="18"/>
            <w:tabs>
              <w:tab w:val="right" w:leader="dot" w:pos="8306"/>
            </w:tabs>
          </w:pPr>
          <w:r>
            <w:rPr>
              <w:rFonts w:hint="default" w:ascii="楷体" w:hAnsi="楷体" w:eastAsia="楷体" w:cs="楷体"/>
              <w:sz w:val="21"/>
              <w:szCs w:val="21"/>
              <w:lang w:val="en-US" w:eastAsia="zh-CN"/>
            </w:rPr>
            <w:fldChar w:fldCharType="begin"/>
          </w:r>
          <w:r>
            <w:rPr>
              <w:rFonts w:hint="default" w:ascii="楷体" w:hAnsi="楷体" w:eastAsia="楷体" w:cs="楷体"/>
              <w:sz w:val="21"/>
              <w:szCs w:val="21"/>
              <w:lang w:val="en-US" w:eastAsia="zh-CN"/>
            </w:rPr>
            <w:instrText xml:space="preserve"> HYPERLINK \l _Toc3937 </w:instrText>
          </w:r>
          <w:r>
            <w:rPr>
              <w:rFonts w:hint="default"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（三）下沉提升基层服务效果</w:t>
          </w:r>
          <w:r>
            <w:rPr>
              <w:rFonts w:hint="default" w:ascii="楷体" w:hAnsi="楷体" w:eastAsia="楷体" w:cs="楷体"/>
              <w:sz w:val="21"/>
              <w:szCs w:val="21"/>
              <w:lang w:val="en-US" w:eastAsia="zh-CN"/>
            </w:rPr>
            <w:tab/>
          </w:r>
          <w:r>
            <w:rPr>
              <w:rFonts w:hint="default" w:ascii="Times New Roman" w:hAnsi="Times New Roman" w:eastAsia="楷体" w:cs="Times New Roman"/>
              <w:sz w:val="21"/>
              <w:szCs w:val="21"/>
              <w:lang w:val="en-US" w:eastAsia="zh-CN"/>
            </w:rPr>
            <w:fldChar w:fldCharType="begin"/>
          </w:r>
          <w:r>
            <w:rPr>
              <w:rFonts w:hint="default" w:ascii="Times New Roman" w:hAnsi="Times New Roman" w:eastAsia="楷体" w:cs="Times New Roman"/>
              <w:sz w:val="21"/>
              <w:szCs w:val="21"/>
              <w:lang w:val="en-US" w:eastAsia="zh-CN"/>
            </w:rPr>
            <w:instrText xml:space="preserve"> PAGEREF _Toc3937 \h </w:instrText>
          </w:r>
          <w:r>
            <w:rPr>
              <w:rFonts w:hint="default" w:ascii="Times New Roman" w:hAnsi="Times New Roman" w:eastAsia="楷体" w:cs="Times New Roman"/>
              <w:sz w:val="21"/>
              <w:szCs w:val="21"/>
              <w:lang w:val="en-US" w:eastAsia="zh-CN"/>
            </w:rPr>
            <w:fldChar w:fldCharType="separate"/>
          </w:r>
          <w:r>
            <w:rPr>
              <w:rFonts w:hint="default" w:ascii="Times New Roman" w:hAnsi="Times New Roman" w:eastAsia="楷体" w:cs="Times New Roman"/>
              <w:sz w:val="21"/>
              <w:szCs w:val="21"/>
              <w:lang w:val="en-US" w:eastAsia="zh-CN"/>
            </w:rPr>
            <w:t>16</w:t>
          </w:r>
          <w:r>
            <w:rPr>
              <w:rFonts w:hint="default" w:ascii="Times New Roman" w:hAnsi="Times New Roman" w:eastAsia="楷体" w:cs="Times New Roman"/>
              <w:sz w:val="21"/>
              <w:szCs w:val="21"/>
              <w:lang w:val="en-US" w:eastAsia="zh-CN"/>
            </w:rPr>
            <w:fldChar w:fldCharType="end"/>
          </w:r>
          <w:r>
            <w:rPr>
              <w:rFonts w:hint="default" w:ascii="楷体" w:hAnsi="楷体" w:eastAsia="楷体" w:cs="楷体"/>
              <w:sz w:val="21"/>
              <w:szCs w:val="21"/>
              <w:lang w:val="en-US" w:eastAsia="zh-CN"/>
            </w:rPr>
            <w:fldChar w:fldCharType="end"/>
          </w:r>
        </w:p>
        <w:p>
          <w:pPr>
            <w:pStyle w:val="17"/>
            <w:tabs>
              <w:tab w:val="right" w:leader="dot" w:pos="8306"/>
            </w:tabs>
            <w:rPr>
              <w:b/>
            </w:rPr>
          </w:pPr>
          <w:r>
            <w:rPr>
              <w:b/>
            </w:rPr>
            <w:fldChar w:fldCharType="begin"/>
          </w:r>
          <w:r>
            <w:rPr>
              <w:b/>
            </w:rPr>
            <w:instrText xml:space="preserve"> HYPERLINK \l _Toc30434 </w:instrText>
          </w:r>
          <w:r>
            <w:rPr>
              <w:b/>
            </w:rPr>
            <w:fldChar w:fldCharType="separate"/>
          </w:r>
          <w:r>
            <w:rPr>
              <w:rFonts w:hint="eastAsia" w:ascii="楷体" w:hAnsi="楷体" w:eastAsia="楷体" w:cs="楷体"/>
              <w:b/>
              <w:sz w:val="21"/>
              <w:szCs w:val="21"/>
              <w:lang w:val="en-US" w:eastAsia="zh-CN"/>
            </w:rPr>
            <w:t>九</w:t>
          </w:r>
          <w:r>
            <w:rPr>
              <w:rFonts w:hint="default" w:ascii="楷体" w:hAnsi="楷体" w:eastAsia="楷体" w:cs="楷体"/>
              <w:b/>
              <w:sz w:val="21"/>
              <w:szCs w:val="21"/>
              <w:lang w:val="en-US" w:eastAsia="zh-CN"/>
            </w:rPr>
            <w:t>、</w:t>
          </w:r>
          <w:r>
            <w:rPr>
              <w:rFonts w:hint="eastAsia" w:ascii="楷体" w:hAnsi="楷体" w:eastAsia="楷体" w:cs="楷体"/>
              <w:b/>
              <w:sz w:val="21"/>
              <w:szCs w:val="21"/>
              <w:lang w:val="en-US" w:eastAsia="zh-CN"/>
            </w:rPr>
            <w:t>附件</w:t>
          </w:r>
          <w:r>
            <w:rPr>
              <w:b/>
            </w:rPr>
            <w:tab/>
          </w:r>
          <w:r>
            <w:rPr>
              <w:b/>
            </w:rPr>
            <w:fldChar w:fldCharType="begin"/>
          </w:r>
          <w:r>
            <w:rPr>
              <w:b/>
            </w:rPr>
            <w:instrText xml:space="preserve"> PAGEREF _Toc30434 \h </w:instrText>
          </w:r>
          <w:r>
            <w:rPr>
              <w:b/>
            </w:rPr>
            <w:fldChar w:fldCharType="separate"/>
          </w:r>
          <w:r>
            <w:rPr>
              <w:b/>
            </w:rPr>
            <w:t>1</w:t>
          </w:r>
          <w:r>
            <w:rPr>
              <w:rFonts w:hint="eastAsia"/>
              <w:b/>
              <w:lang w:val="en-US" w:eastAsia="zh-CN"/>
            </w:rPr>
            <w:t>7</w:t>
          </w:r>
          <w:r>
            <w:rPr>
              <w:b/>
            </w:rPr>
            <w:fldChar w:fldCharType="end"/>
          </w:r>
          <w:r>
            <w:rPr>
              <w:b/>
            </w:rPr>
            <w:fldChar w:fldCharType="end"/>
          </w:r>
        </w:p>
        <w:p>
          <w:pPr>
            <w:rPr>
              <w:b/>
            </w:rPr>
          </w:pPr>
          <w:r>
            <w:rPr>
              <w:b/>
            </w:rPr>
            <w:fldChar w:fldCharType="end"/>
          </w:r>
        </w:p>
      </w:sdtContent>
    </w:sdt>
    <w:p>
      <w:pPr>
        <w:rPr>
          <w:b/>
        </w:rPr>
      </w:pPr>
    </w:p>
    <w:p>
      <w:pPr>
        <w:rPr>
          <w:b/>
        </w:rPr>
      </w:pPr>
    </w:p>
    <w:p>
      <w:pPr>
        <w:rPr>
          <w:b/>
        </w:rPr>
      </w:pPr>
    </w:p>
    <w:p>
      <w:pPr>
        <w:rPr>
          <w:b/>
        </w:rPr>
      </w:pPr>
    </w:p>
    <w:p>
      <w:pPr>
        <w:rPr>
          <w:b/>
        </w:rPr>
      </w:pPr>
    </w:p>
    <w:p>
      <w:pPr>
        <w:rPr>
          <w:b/>
        </w:rPr>
      </w:pPr>
    </w:p>
    <w:p>
      <w:pPr>
        <w:rPr>
          <w:b/>
        </w:rPr>
      </w:pPr>
    </w:p>
    <w:p>
      <w:pPr>
        <w:rPr>
          <w:b/>
        </w:rPr>
      </w:pPr>
    </w:p>
    <w:p>
      <w:pPr>
        <w:rPr>
          <w:b/>
        </w:rPr>
      </w:pPr>
    </w:p>
    <w:bookmarkEnd w:id="13"/>
    <w:bookmarkEnd w:id="14"/>
    <w:bookmarkEnd w:id="15"/>
    <w:bookmarkEnd w:id="16"/>
    <w:bookmarkEnd w:id="17"/>
    <w:bookmarkEnd w:id="18"/>
    <w:bookmarkEnd w:id="19"/>
    <w:p>
      <w:pPr>
        <w:spacing w:line="600" w:lineRule="exact"/>
        <w:jc w:val="both"/>
        <w:outlineLvl w:val="9"/>
        <w:rPr>
          <w:rFonts w:hint="eastAsia" w:ascii="黑体" w:hAnsi="黑体" w:eastAsia="黑体" w:cs="黑体"/>
          <w:b/>
          <w:bCs/>
          <w:spacing w:val="-7"/>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20" w:name="_Toc30030"/>
    </w:p>
    <w:p>
      <w:pPr>
        <w:spacing w:line="600" w:lineRule="exact"/>
        <w:ind w:firstLine="0" w:firstLineChars="0"/>
        <w:jc w:val="center"/>
        <w:rPr>
          <w:rFonts w:hint="eastAsia" w:ascii="Times New Roman" w:hAnsi="Times New Roman" w:eastAsia="方正小标宋_GBK" w:cs="Times New Roman"/>
          <w:sz w:val="36"/>
          <w:szCs w:val="36"/>
          <w:lang w:val="en-US" w:eastAsia="zh-CN"/>
        </w:rPr>
      </w:pPr>
      <w:bookmarkStart w:id="21" w:name="_Toc3573"/>
      <w:r>
        <w:rPr>
          <w:rFonts w:hint="eastAsia" w:ascii="Times New Roman" w:hAnsi="Times New Roman" w:eastAsia="方正小标宋_GBK" w:cs="Times New Roman"/>
          <w:sz w:val="36"/>
          <w:szCs w:val="36"/>
          <w:lang w:val="en-US" w:eastAsia="zh-CN"/>
        </w:rPr>
        <w:t>2022年岳阳楼区</w:t>
      </w:r>
      <w:bookmarkStart w:id="22" w:name="_Toc5816"/>
      <w:r>
        <w:rPr>
          <w:rFonts w:hint="eastAsia" w:ascii="Times New Roman" w:hAnsi="Times New Roman" w:eastAsia="方正小标宋_GBK" w:cs="Times New Roman"/>
          <w:sz w:val="36"/>
          <w:szCs w:val="36"/>
          <w:lang w:val="en-US" w:eastAsia="zh-CN"/>
        </w:rPr>
        <w:t>医疗救助资金</w:t>
      </w:r>
      <w:bookmarkEnd w:id="20"/>
      <w:bookmarkEnd w:id="21"/>
    </w:p>
    <w:p>
      <w:pPr>
        <w:spacing w:line="600" w:lineRule="exact"/>
        <w:ind w:firstLine="0" w:firstLineChars="0"/>
        <w:jc w:val="center"/>
        <w:rPr>
          <w:rFonts w:hint="eastAsia" w:ascii="Times New Roman" w:hAnsi="Times New Roman" w:eastAsia="方正小标宋_GBK" w:cs="Times New Roman"/>
          <w:sz w:val="36"/>
          <w:szCs w:val="36"/>
          <w:lang w:val="en-US" w:eastAsia="zh-CN"/>
        </w:rPr>
      </w:pPr>
      <w:bookmarkStart w:id="23" w:name="_Toc20320"/>
      <w:bookmarkStart w:id="24" w:name="_Toc28879"/>
      <w:r>
        <w:rPr>
          <w:rFonts w:hint="eastAsia" w:ascii="Times New Roman" w:hAnsi="Times New Roman" w:eastAsia="方正小标宋_GBK" w:cs="Times New Roman"/>
          <w:sz w:val="36"/>
          <w:szCs w:val="36"/>
          <w:lang w:val="en-US" w:eastAsia="zh-CN"/>
        </w:rPr>
        <w:t>绩效评价报告</w:t>
      </w:r>
      <w:bookmarkEnd w:id="22"/>
      <w:bookmarkEnd w:id="23"/>
      <w:bookmarkEnd w:id="24"/>
    </w:p>
    <w:p>
      <w:pPr>
        <w:pStyle w:val="11"/>
        <w:rPr>
          <w:rFonts w:hint="eastAsia"/>
          <w:lang w:val="en-US" w:eastAsia="zh-CN"/>
        </w:rPr>
      </w:pPr>
    </w:p>
    <w:p>
      <w:pPr>
        <w:pStyle w:val="12"/>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依据《湖南省预算支出绩效评价管理办法》（湘财绩〔2020〕7号）的有关规定，按照《岳阳楼区财政局关于开展2022年财政支出重点绩效评价工作的通知》（岳楼财绩〔2023〕4号）的要求，我公司受岳阳楼区财政局委托，于2023年8月-12月从决策、管理、产出、效益四个方面，开展了2022年岳阳楼区医疗救助资金绩效评价，旨在真实反</w:t>
      </w:r>
      <w:r>
        <w:rPr>
          <w:rFonts w:hint="default" w:eastAsia="仿宋_GB2312" w:cs="Times New Roman"/>
          <w:kern w:val="2"/>
          <w:sz w:val="32"/>
          <w:szCs w:val="32"/>
          <w:lang w:val="en-US" w:eastAsia="zh-CN" w:bidi="ar-SA"/>
        </w:rPr>
        <w:t>映2022年度岳阳楼区医疗借助资金执行情况与绩效目标实现程度，客观评价岳阳楼区</w:t>
      </w:r>
      <w:r>
        <w:rPr>
          <w:rFonts w:hint="default" w:ascii="Times New Roman" w:hAnsi="Times New Roman" w:eastAsia="仿宋_GB2312" w:cs="Times New Roman"/>
          <w:kern w:val="2"/>
          <w:sz w:val="32"/>
          <w:szCs w:val="32"/>
          <w:lang w:val="en-US" w:eastAsia="zh-CN" w:bidi="ar-SA"/>
        </w:rPr>
        <w:t>医疗救助政策落实</w:t>
      </w:r>
      <w:r>
        <w:rPr>
          <w:rFonts w:hint="default" w:eastAsia="仿宋_GB2312" w:cs="Times New Roman"/>
          <w:kern w:val="2"/>
          <w:sz w:val="32"/>
          <w:szCs w:val="32"/>
          <w:lang w:val="en-US" w:eastAsia="zh-CN" w:bidi="ar-SA"/>
        </w:rPr>
        <w:t>情况，</w:t>
      </w:r>
      <w:r>
        <w:rPr>
          <w:rFonts w:hint="default" w:ascii="Times New Roman" w:hAnsi="Times New Roman" w:eastAsia="仿宋_GB2312" w:cs="Times New Roman"/>
          <w:kern w:val="2"/>
          <w:sz w:val="32"/>
          <w:szCs w:val="32"/>
          <w:lang w:val="en-US" w:eastAsia="zh-CN" w:bidi="ar-SA"/>
        </w:rPr>
        <w:t>以及</w:t>
      </w:r>
      <w:r>
        <w:rPr>
          <w:rFonts w:hint="default" w:eastAsia="仿宋_GB2312" w:cs="Times New Roman"/>
          <w:kern w:val="2"/>
          <w:sz w:val="32"/>
          <w:szCs w:val="32"/>
          <w:lang w:val="en-US" w:eastAsia="zh-CN" w:bidi="ar-SA"/>
        </w:rPr>
        <w:t>医疗救助资金在</w:t>
      </w:r>
      <w:r>
        <w:rPr>
          <w:rFonts w:hint="default" w:ascii="Times New Roman" w:hAnsi="Times New Roman" w:eastAsia="仿宋_GB2312" w:cs="Times New Roman"/>
          <w:kern w:val="2"/>
          <w:sz w:val="32"/>
          <w:szCs w:val="32"/>
          <w:lang w:val="en-US" w:eastAsia="zh-CN" w:bidi="ar-SA"/>
        </w:rPr>
        <w:t>减轻困难群众医疗费用负担，</w:t>
      </w:r>
      <w:r>
        <w:rPr>
          <w:rFonts w:hint="default" w:eastAsia="仿宋_GB2312" w:cs="Times New Roman"/>
          <w:kern w:val="2"/>
          <w:sz w:val="32"/>
          <w:szCs w:val="32"/>
          <w:lang w:val="en-US" w:eastAsia="zh-CN" w:bidi="ar-SA"/>
        </w:rPr>
        <w:t>增强</w:t>
      </w:r>
      <w:r>
        <w:rPr>
          <w:rFonts w:hint="default" w:ascii="Times New Roman" w:hAnsi="Times New Roman" w:eastAsia="仿宋_GB2312" w:cs="Times New Roman"/>
          <w:b w:val="0"/>
          <w:bCs w:val="0"/>
          <w:sz w:val="32"/>
          <w:szCs w:val="32"/>
        </w:rPr>
        <w:t>医疗救助托底保障功能</w:t>
      </w:r>
      <w:r>
        <w:rPr>
          <w:rFonts w:hint="default" w:ascii="Times New Roman" w:hAnsi="Times New Roman" w:eastAsia="仿宋_GB2312" w:cs="Times New Roman"/>
          <w:sz w:val="32"/>
          <w:szCs w:val="32"/>
          <w:lang w:val="en-US" w:eastAsia="zh-CN"/>
        </w:rPr>
        <w:t>，</w:t>
      </w:r>
      <w:r>
        <w:rPr>
          <w:rFonts w:hint="default" w:eastAsia="仿宋_GB2312" w:cs="Times New Roman"/>
          <w:sz w:val="32"/>
          <w:szCs w:val="32"/>
          <w:lang w:val="en-US" w:eastAsia="zh-CN"/>
        </w:rPr>
        <w:t>防范与化解因病致贫返贫等方面</w:t>
      </w:r>
      <w:r>
        <w:rPr>
          <w:rFonts w:hint="default" w:ascii="Times New Roman" w:hAnsi="Times New Roman" w:eastAsia="仿宋_GB2312" w:cs="Times New Roman"/>
          <w:kern w:val="2"/>
          <w:sz w:val="32"/>
          <w:szCs w:val="32"/>
          <w:lang w:val="en-US" w:eastAsia="zh-CN" w:bidi="ar-SA"/>
        </w:rPr>
        <w:t>的效益情况。</w:t>
      </w:r>
    </w:p>
    <w:p>
      <w:pPr>
        <w:pStyle w:val="2"/>
        <w:bidi w:val="0"/>
        <w:rPr>
          <w:rFonts w:hint="eastAsia" w:ascii="黑体" w:hAnsi="黑体" w:cs="黑体"/>
          <w:bCs w:val="0"/>
          <w:lang w:val="en-US" w:eastAsia="zh-CN"/>
        </w:rPr>
      </w:pPr>
      <w:bookmarkStart w:id="25" w:name="_Toc26522"/>
      <w:bookmarkStart w:id="26" w:name="_Toc24268"/>
      <w:r>
        <w:rPr>
          <w:rFonts w:hint="eastAsia" w:ascii="黑体" w:hAnsi="黑体" w:cs="黑体"/>
          <w:bCs w:val="0"/>
        </w:rPr>
        <w:t>一、</w:t>
      </w:r>
      <w:bookmarkEnd w:id="25"/>
      <w:r>
        <w:rPr>
          <w:rFonts w:hint="eastAsia" w:ascii="黑体" w:hAnsi="黑体" w:cs="黑体"/>
          <w:bCs w:val="0"/>
          <w:lang w:val="en-US" w:eastAsia="zh-CN"/>
        </w:rPr>
        <w:t>项目概况</w:t>
      </w:r>
      <w:bookmarkEnd w:id="26"/>
    </w:p>
    <w:p>
      <w:pPr>
        <w:pStyle w:val="3"/>
        <w:keepNext w:val="0"/>
        <w:keepLines w:val="0"/>
        <w:numPr>
          <w:ilvl w:val="-1"/>
          <w:numId w:val="0"/>
        </w:numPr>
        <w:bidi w:val="0"/>
        <w:ind w:left="0" w:leftChars="0" w:firstLine="643" w:firstLineChars="200"/>
        <w:rPr>
          <w:rFonts w:hint="eastAsia" w:ascii="楷体_GB2312" w:hAnsi="楷体_GB2312" w:eastAsia="楷体_GB2312" w:cs="楷体_GB2312"/>
          <w:lang w:val="en-US" w:eastAsia="zh-CN"/>
        </w:rPr>
      </w:pPr>
      <w:bookmarkStart w:id="27" w:name="_Toc21793"/>
      <w:bookmarkStart w:id="28" w:name="_Toc14639"/>
      <w:r>
        <w:rPr>
          <w:rFonts w:hint="eastAsia" w:ascii="楷体_GB2312" w:hAnsi="楷体_GB2312" w:eastAsia="楷体_GB2312" w:cs="楷体_GB2312"/>
          <w:lang w:val="en-US" w:eastAsia="zh-CN"/>
        </w:rPr>
        <w:t>（一）政策</w:t>
      </w:r>
      <w:bookmarkEnd w:id="27"/>
      <w:r>
        <w:rPr>
          <w:rFonts w:hint="eastAsia" w:ascii="楷体_GB2312" w:hAnsi="楷体_GB2312" w:eastAsia="楷体_GB2312" w:cs="楷体_GB2312"/>
          <w:lang w:val="en-US" w:eastAsia="zh-CN"/>
        </w:rPr>
        <w:t>背景</w:t>
      </w:r>
      <w:bookmarkEnd w:id="28"/>
    </w:p>
    <w:p>
      <w:pPr>
        <w:pStyle w:val="12"/>
        <w:adjustRightInd/>
        <w:snapToGrid/>
        <w:spacing w:beforeLines="0" w:afterLines="0" w:line="600" w:lineRule="exact"/>
        <w:ind w:left="0" w:leftChars="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医疗保障是减轻群众就医负担、增进民生福祉、维护社会和谐稳定的重大制度安排</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党的十八大以来，全民医疗保障制度改革持续推进，在破解看病难、看病贵问题上取得了突破性进展。</w:t>
      </w:r>
      <w:r>
        <w:rPr>
          <w:rFonts w:hint="default" w:ascii="Times New Roman" w:hAnsi="Times New Roman" w:eastAsia="仿宋_GB2312" w:cs="Times New Roman"/>
          <w:b w:val="0"/>
          <w:bCs w:val="0"/>
          <w:sz w:val="32"/>
          <w:szCs w:val="32"/>
          <w:lang w:val="en-US" w:eastAsia="zh-CN"/>
        </w:rPr>
        <w:t>2020年，</w:t>
      </w:r>
      <w:r>
        <w:rPr>
          <w:rFonts w:hint="default" w:ascii="Times New Roman" w:hAnsi="Times New Roman" w:eastAsia="仿宋_GB2312" w:cs="Times New Roman"/>
          <w:b w:val="0"/>
          <w:bCs w:val="0"/>
          <w:sz w:val="32"/>
          <w:szCs w:val="32"/>
        </w:rPr>
        <w:t>中共中央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国务院</w:t>
      </w:r>
      <w:r>
        <w:rPr>
          <w:rFonts w:hint="default" w:ascii="Times New Roman" w:hAnsi="Times New Roman" w:eastAsia="仿宋_GB2312" w:cs="Times New Roman"/>
          <w:b w:val="0"/>
          <w:bCs w:val="0"/>
          <w:sz w:val="32"/>
          <w:szCs w:val="32"/>
          <w:lang w:val="en-US" w:eastAsia="zh-CN"/>
        </w:rPr>
        <w:t>发布《</w:t>
      </w:r>
      <w:r>
        <w:rPr>
          <w:rFonts w:hint="default" w:ascii="Times New Roman" w:hAnsi="Times New Roman" w:eastAsia="仿宋_GB2312" w:cs="Times New Roman"/>
          <w:b w:val="0"/>
          <w:bCs w:val="0"/>
          <w:sz w:val="32"/>
          <w:szCs w:val="32"/>
        </w:rPr>
        <w:t>关于深化医疗保障制度改革的意见</w:t>
      </w:r>
      <w:r>
        <w:rPr>
          <w:rFonts w:hint="default" w:ascii="Times New Roman" w:hAnsi="Times New Roman" w:eastAsia="仿宋_GB2312" w:cs="Times New Roman"/>
          <w:b w:val="0"/>
          <w:bCs w:val="0"/>
          <w:sz w:val="32"/>
          <w:szCs w:val="32"/>
          <w:lang w:val="en-US" w:eastAsia="zh-CN"/>
        </w:rPr>
        <w:t>》，提出“</w:t>
      </w:r>
      <w:r>
        <w:rPr>
          <w:rFonts w:hint="default" w:ascii="Times New Roman" w:hAnsi="Times New Roman" w:eastAsia="仿宋_GB2312" w:cs="Times New Roman"/>
          <w:b w:val="0"/>
          <w:bCs w:val="0"/>
          <w:sz w:val="32"/>
          <w:szCs w:val="32"/>
        </w:rPr>
        <w:t>到2030年，全面建成以基本医疗保险为主体，医疗救助为托底，补充医疗保险、商业健康保险、慈善捐赠、医疗互助共同发展的医疗保障制度体系</w:t>
      </w:r>
      <w:r>
        <w:rPr>
          <w:rFonts w:hint="default" w:ascii="Times New Roman" w:hAnsi="Times New Roman" w:eastAsia="仿宋_GB2312" w:cs="Times New Roman"/>
          <w:b w:val="0"/>
          <w:bCs w:val="0"/>
          <w:sz w:val="32"/>
          <w:szCs w:val="32"/>
          <w:lang w:val="en-US" w:eastAsia="zh-CN"/>
        </w:rPr>
        <w:t>”的改革目标。</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医疗救助是基本医疗三重保障的兜底保障制度，通过政府资助困难群众参加城乡居民基本医疗保险，实施住院医疗救助和门诊医疗救助，最大限度防止困难群众因病返贫、因病致贫。</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b w:val="0"/>
          <w:bCs w:val="0"/>
          <w:sz w:val="32"/>
          <w:szCs w:val="32"/>
        </w:rPr>
        <w:t>财政部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国家卫生健康委</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国家医保局</w:t>
      </w:r>
      <w:r>
        <w:rPr>
          <w:rFonts w:hint="default" w:ascii="Times New Roman" w:hAnsi="Times New Roman" w:eastAsia="仿宋_GB2312" w:cs="Times New Roman"/>
          <w:b w:val="0"/>
          <w:bCs w:val="0"/>
          <w:sz w:val="32"/>
          <w:szCs w:val="32"/>
          <w:lang w:val="en-US" w:eastAsia="zh-CN"/>
        </w:rPr>
        <w:t>联合发布《</w:t>
      </w:r>
      <w:r>
        <w:rPr>
          <w:rFonts w:hint="default" w:ascii="Times New Roman" w:hAnsi="Times New Roman" w:eastAsia="仿宋_GB2312" w:cs="Times New Roman"/>
          <w:b w:val="0"/>
          <w:bCs w:val="0"/>
          <w:sz w:val="32"/>
          <w:szCs w:val="32"/>
        </w:rPr>
        <w:t>关于修订</w:t>
      </w:r>
      <w:r>
        <w:rPr>
          <w:rFonts w:hint="default" w:ascii="Times New Roman" w:hAnsi="Times New Roman" w:eastAsia="仿宋_GB2312" w:cs="Times New Roman"/>
          <w:b w:val="0"/>
          <w:bCs w:val="0"/>
          <w:sz w:val="32"/>
          <w:szCs w:val="32"/>
          <w:lang w:val="en-US" w:eastAsia="zh-CN"/>
        </w:rPr>
        <w:t>&lt;</w:t>
      </w:r>
      <w:r>
        <w:rPr>
          <w:rFonts w:hint="default" w:ascii="Times New Roman" w:hAnsi="Times New Roman" w:eastAsia="仿宋_GB2312" w:cs="Times New Roman"/>
          <w:b w:val="0"/>
          <w:bCs w:val="0"/>
          <w:sz w:val="32"/>
          <w:szCs w:val="32"/>
        </w:rPr>
        <w:t>中央财政医疗救助补助资金管理办法</w:t>
      </w:r>
      <w:r>
        <w:rPr>
          <w:rFonts w:hint="default" w:ascii="Times New Roman" w:hAnsi="Times New Roman" w:eastAsia="仿宋_GB2312" w:cs="Times New Roman"/>
          <w:b w:val="0"/>
          <w:bCs w:val="0"/>
          <w:sz w:val="32"/>
          <w:szCs w:val="32"/>
          <w:lang w:eastAsia="zh-CN"/>
        </w:rPr>
        <w:t>&gt;</w:t>
      </w:r>
      <w:r>
        <w:rPr>
          <w:rFonts w:hint="default" w:ascii="Times New Roman" w:hAnsi="Times New Roman" w:eastAsia="仿宋_GB2312" w:cs="Times New Roman"/>
          <w:b w:val="0"/>
          <w:bCs w:val="0"/>
          <w:sz w:val="32"/>
          <w:szCs w:val="32"/>
        </w:rPr>
        <w:t>的通知</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pacing w:val="0"/>
          <w:sz w:val="32"/>
          <w:szCs w:val="32"/>
        </w:rPr>
        <w:t>财社〔2022〕32号</w:t>
      </w:r>
      <w:r>
        <w:rPr>
          <w:rFonts w:hint="default" w:ascii="Times New Roman" w:hAnsi="Times New Roman" w:eastAsia="仿宋_GB2312" w:cs="Times New Roman"/>
          <w:b w:val="0"/>
          <w:bCs w:val="0"/>
          <w:sz w:val="32"/>
          <w:szCs w:val="32"/>
          <w:lang w:val="en-US" w:eastAsia="zh-CN"/>
        </w:rPr>
        <w:t>），明确了中央财政医疗救助补助资金来源、预算编制、资金分配、绩效管理等要求。</w:t>
      </w: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firstLine="640" w:firstLineChars="200"/>
        <w:jc w:val="left"/>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z w:val="32"/>
          <w:szCs w:val="32"/>
        </w:rPr>
        <w:t>为进一步健全完善医疗救助制度，根据中央关于深化医疗保障制度改革和完善社会救助制度的有关文件精神，</w:t>
      </w:r>
      <w:r>
        <w:rPr>
          <w:rFonts w:hint="default" w:ascii="Times New Roman" w:hAnsi="Times New Roman" w:eastAsia="仿宋_GB2312" w:cs="Times New Roman"/>
          <w:sz w:val="32"/>
          <w:szCs w:val="32"/>
          <w:lang w:val="en-US" w:eastAsia="zh-CN"/>
        </w:rPr>
        <w:t>湖南省先后出台了</w:t>
      </w:r>
      <w:r>
        <w:rPr>
          <w:rFonts w:hint="default" w:ascii="Times New Roman" w:hAnsi="Times New Roman" w:eastAsia="仿宋_GB2312" w:cs="Times New Roman"/>
          <w:sz w:val="32"/>
          <w:szCs w:val="32"/>
        </w:rPr>
        <w:t>《中共湖南省委 湖南省人民政府关于深化医疗保障制度改革的实施意见》（湘发〔2021〕3号）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《湖南省医疗救助办法》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湘政办发〔2021〕62号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为贯彻落实党中央、国务院和省委、省政府关于巩固拓展脱贫攻坚成果同乡村振兴有效衔接的决策部署，</w:t>
      </w:r>
      <w:r>
        <w:rPr>
          <w:rFonts w:hint="default" w:ascii="Times New Roman" w:hAnsi="Times New Roman" w:eastAsia="仿宋_GB2312" w:cs="Times New Roman"/>
          <w:sz w:val="32"/>
          <w:szCs w:val="32"/>
          <w:lang w:val="en-US" w:eastAsia="zh-CN"/>
        </w:rPr>
        <w:t>湖南省医疗保障局、财政厅、民政厅、卫健委、乡村振兴局、税务局等7部门制定了</w:t>
      </w:r>
      <w:r>
        <w:rPr>
          <w:rFonts w:hint="default" w:ascii="Times New Roman" w:hAnsi="Times New Roman" w:eastAsia="仿宋_GB2312" w:cs="Times New Roman"/>
          <w:sz w:val="32"/>
          <w:szCs w:val="32"/>
        </w:rPr>
        <w:t>《关于巩固拓展医疗保障脱贫攻坚成果有效衔接乡村振兴战略的实施意见》（湘医保发〔2021〕29号）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关于强化三重制度综合保障梯次减负功能 扎实做好乡村振兴医保帮扶监测工作的通知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湘医保发〔202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等政策，对全省整合政策资金</w:t>
      </w:r>
      <w:r>
        <w:rPr>
          <w:rFonts w:hint="default" w:ascii="Times New Roman" w:hAnsi="Times New Roman" w:eastAsia="仿宋_GB2312" w:cs="Times New Roman"/>
          <w:sz w:val="32"/>
          <w:szCs w:val="32"/>
        </w:rPr>
        <w:t>强化基本医保、大病保险、医疗救助综合保障梯次减负功能</w:t>
      </w:r>
      <w:r>
        <w:rPr>
          <w:rFonts w:hint="default" w:ascii="Times New Roman" w:hAnsi="Times New Roman" w:eastAsia="仿宋_GB2312" w:cs="Times New Roman"/>
          <w:sz w:val="32"/>
          <w:szCs w:val="32"/>
          <w:lang w:val="en-US" w:eastAsia="zh-CN"/>
        </w:rPr>
        <w:t>做出了统一的制度安排。</w:t>
      </w:r>
      <w:r>
        <w:rPr>
          <w:rFonts w:hint="default" w:ascii="Times New Roman" w:hAnsi="Times New Roman" w:eastAsia="仿宋_GB2312" w:cs="Times New Roman"/>
          <w:b w:val="0"/>
          <w:bCs w:val="0"/>
          <w:sz w:val="32"/>
          <w:szCs w:val="32"/>
          <w:lang w:val="en-US" w:eastAsia="zh-CN"/>
        </w:rPr>
        <w:t>根据</w:t>
      </w:r>
      <w:r>
        <w:rPr>
          <w:rFonts w:hint="default" w:ascii="Times New Roman" w:hAnsi="Times New Roman" w:eastAsia="仿宋_GB2312" w:cs="Times New Roman"/>
          <w:sz w:val="32"/>
          <w:szCs w:val="32"/>
        </w:rPr>
        <w:t>《湖南省医疗救助办法》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湘政办发〔2021〕62号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岳阳市人民政府出台了</w:t>
      </w:r>
      <w:r>
        <w:rPr>
          <w:rFonts w:hint="default" w:ascii="Times New Roman" w:hAnsi="Times New Roman" w:eastAsia="仿宋_GB2312" w:cs="Times New Roman"/>
          <w:sz w:val="32"/>
          <w:szCs w:val="32"/>
        </w:rPr>
        <w:t>《岳阳市医疗救助实施细则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岳政办发〔2021〕25号</w:t>
      </w:r>
      <w:r>
        <w:rPr>
          <w:rFonts w:hint="default" w:ascii="Times New Roman" w:hAnsi="Times New Roman" w:eastAsia="仿宋_GB2312" w:cs="Times New Roman"/>
          <w:sz w:val="32"/>
          <w:szCs w:val="32"/>
          <w:lang w:val="en-US" w:eastAsia="zh-CN"/>
        </w:rPr>
        <w:t>），规定了全市医疗救助对象、方式与标准、补助资金申请拨付流程，明确了区县（市）、乡镇及各部门的职责分工。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left"/>
        <w:textAlignment w:val="auto"/>
        <w:rPr>
          <w:rFonts w:hint="eastAsia" w:ascii="楷体_GB2312" w:hAnsi="楷体_GB2312" w:eastAsia="楷体_GB2312" w:cs="楷体_GB2312"/>
          <w:sz w:val="32"/>
          <w:szCs w:val="24"/>
          <w:lang w:eastAsia="zh-CN"/>
        </w:rPr>
      </w:pPr>
      <w:bookmarkStart w:id="29" w:name="_Toc17662"/>
      <w:r>
        <w:rPr>
          <w:rFonts w:hint="eastAsia" w:ascii="楷体_GB2312" w:hAnsi="楷体_GB2312" w:eastAsia="楷体_GB2312" w:cs="楷体_GB2312"/>
          <w:sz w:val="32"/>
          <w:szCs w:val="24"/>
          <w:lang w:eastAsia="zh-CN"/>
        </w:rPr>
        <w:t>（</w:t>
      </w:r>
      <w:r>
        <w:rPr>
          <w:rFonts w:hint="eastAsia" w:ascii="楷体_GB2312" w:hAnsi="楷体_GB2312" w:eastAsia="楷体_GB2312" w:cs="楷体_GB2312"/>
          <w:sz w:val="32"/>
          <w:szCs w:val="24"/>
          <w:lang w:val="en-US" w:eastAsia="zh-CN"/>
        </w:rPr>
        <w:t>二</w:t>
      </w:r>
      <w:r>
        <w:rPr>
          <w:rFonts w:hint="eastAsia" w:ascii="楷体_GB2312" w:hAnsi="楷体_GB2312" w:eastAsia="楷体_GB2312" w:cs="楷体_GB2312"/>
          <w:sz w:val="32"/>
          <w:szCs w:val="24"/>
          <w:lang w:eastAsia="zh-CN"/>
        </w:rPr>
        <w:t>）</w:t>
      </w:r>
      <w:r>
        <w:rPr>
          <w:rFonts w:hint="eastAsia" w:ascii="楷体_GB2312" w:hAnsi="楷体_GB2312" w:eastAsia="楷体_GB2312" w:cs="楷体_GB2312"/>
          <w:sz w:val="32"/>
          <w:szCs w:val="24"/>
          <w:lang w:val="en-US" w:eastAsia="zh-CN"/>
        </w:rPr>
        <w:t>岳阳楼区医疗救助政策规定</w:t>
      </w:r>
      <w:bookmarkEnd w:id="29"/>
    </w:p>
    <w:p>
      <w:pPr>
        <w:pStyle w:val="12"/>
        <w:adjustRightInd/>
        <w:snapToGrid/>
        <w:spacing w:beforeLines="0" w:afterLines="0" w:line="60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根据</w:t>
      </w:r>
      <w:r>
        <w:rPr>
          <w:rFonts w:hint="default" w:ascii="Times New Roman" w:hAnsi="Times New Roman" w:eastAsia="仿宋_GB2312" w:cs="Times New Roman"/>
          <w:sz w:val="32"/>
          <w:szCs w:val="32"/>
        </w:rPr>
        <w:t>《岳阳市医疗救助实施细则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岳政办发〔2021〕25号</w:t>
      </w:r>
      <w:r>
        <w:rPr>
          <w:rFonts w:hint="default" w:ascii="Times New Roman" w:hAnsi="Times New Roman" w:eastAsia="仿宋_GB2312" w:cs="Times New Roman"/>
          <w:sz w:val="32"/>
          <w:szCs w:val="32"/>
          <w:lang w:val="en-US" w:eastAsia="zh-CN"/>
        </w:rPr>
        <w:t>），岳阳楼区医疗救助对象分为三类。一类救助对象为特困供养人员、孤儿、事实无人抚养儿童（以下统称一类救助对象）；二类救助对象为最低生活保障对象、重度残疾人、最低生活保障边缘家庭成员和纳入监测范围的防止返贫监测对象（以下统称二类救助对象）；三类救助对象为不符合一类、二类救助对象条件，但因高额医疗费用支出导致家庭基本生活出现严重困难的因病致贫大病患者。三类救助对象申请认定标准是申请人向户籍所在地医疗保障部门提出医疗救助申请之前12个月的家庭人均可支配收入负担政策范围内自负医疗费用情况确定，原则上要求申请人年度医保政策范围内自负医疗费用达到其家庭年可支配总收入的50%以上以及因病致贫的大病患者，可以认定为三类救助对象。</w:t>
      </w:r>
    </w:p>
    <w:p>
      <w:pPr>
        <w:pStyle w:val="12"/>
        <w:adjustRightInd/>
        <w:snapToGrid/>
        <w:spacing w:beforeLines="0" w:afterLines="0" w:line="600" w:lineRule="exact"/>
        <w:ind w:left="0" w:leftChars="0" w:firstLine="640" w:firstLineChars="200"/>
        <w:rPr>
          <w:rFonts w:hint="default" w:ascii="Times New Roman" w:hAnsi="Times New Roman" w:eastAsia="仿宋_GB2312" w:cs="Times New Roman"/>
          <w:sz w:val="32"/>
          <w:szCs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仿宋_GB2312" w:cs="Times New Roman"/>
          <w:sz w:val="32"/>
          <w:szCs w:val="32"/>
          <w:lang w:val="en-US" w:eastAsia="zh-CN"/>
        </w:rPr>
        <w:t>岳阳楼区医疗救助方式包括参保资助、住院医疗救助、门诊医疗救助、再救助等方式，坚持尽力而为、量力而行，救助标准根据资金筹集情况、政策范围内个人负担医疗费用情况、患病家庭可支配收入情况等因素确定，分类分档确定救助比例和年度救助限额，并根据经济社会发展水平逐步提高。</w:t>
      </w:r>
    </w:p>
    <w:p>
      <w:pPr>
        <w:pStyle w:val="8"/>
        <w:bidi w:val="0"/>
        <w:jc w:val="center"/>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表1.1：岳阳楼区医疗救助方式和标准</w:t>
      </w: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1842"/>
        <w:gridCol w:w="2431"/>
        <w:gridCol w:w="1862"/>
        <w:gridCol w:w="2565"/>
        <w:gridCol w:w="2171"/>
        <w:gridCol w:w="2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349"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 xml:space="preserve">                                </w:t>
            </w:r>
          </w:p>
        </w:tc>
        <w:tc>
          <w:tcPr>
            <w:tcW w:w="65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参保资助</w:t>
            </w:r>
          </w:p>
        </w:tc>
        <w:tc>
          <w:tcPr>
            <w:tcW w:w="15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住院医疗救助</w:t>
            </w:r>
          </w:p>
        </w:tc>
        <w:tc>
          <w:tcPr>
            <w:tcW w:w="16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门诊医疗救助</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再救助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9"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spacing w:line="360" w:lineRule="exact"/>
              <w:jc w:val="left"/>
              <w:rPr>
                <w:rFonts w:hint="default" w:ascii="Times New Roman" w:hAnsi="Times New Roman" w:eastAsia="仿宋_GB2312" w:cs="Times New Roman"/>
                <w:b/>
                <w:bCs/>
                <w:i w:val="0"/>
                <w:iCs w:val="0"/>
                <w:color w:val="000000"/>
                <w:sz w:val="24"/>
                <w:szCs w:val="24"/>
                <w:u w:val="none"/>
              </w:rPr>
            </w:pPr>
          </w:p>
        </w:tc>
        <w:tc>
          <w:tcPr>
            <w:tcW w:w="650" w:type="pct"/>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left"/>
              <w:rPr>
                <w:rFonts w:hint="default" w:ascii="Times New Roman" w:hAnsi="Times New Roman" w:eastAsia="仿宋_GB2312" w:cs="Times New Roman"/>
                <w:b/>
                <w:bCs/>
                <w:i w:val="0"/>
                <w:iCs w:val="0"/>
                <w:color w:val="000000"/>
                <w:sz w:val="24"/>
                <w:szCs w:val="24"/>
                <w:u w:val="none"/>
              </w:rPr>
            </w:pPr>
          </w:p>
        </w:tc>
        <w:tc>
          <w:tcPr>
            <w:tcW w:w="15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b/>
                <w:bCs/>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特殊疾病门诊</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重特大疾病门诊</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一类救助对象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bidi="ar"/>
              </w:rPr>
              <w:t>个人缴费部分全额资助</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不设起付线，按照90%比例给予救助。年度救助最高支付限额为9万元。</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对符合医疗救助条件的困难退役军人，在年度救助限额内，对照同类困难人员医疗救助标准提高10%比例给予救助。</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不设起付线，年度限额内个人自负医疗费用按照90%比例给予救助，年度救助最高支付限额为7,200元。</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患重特大疾病需要长期门诊治疗的，按照相应类别救助对象住院医疗救助标准执行，纳入住院医疗救助年度限额范围。</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享受基本医保、大病保险和医疗救助保障后，政策范围内个人负担医疗费用超过当地上年度居民人均可支配收入的25%，且有返贫致贫风险的人员，经规范的申请、审核程序，按照不低于50%的比例进行再救助，防止发生因病返贫致贫。再救助年度最高支付限额为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二类救助对象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szCs w:val="24"/>
                <w:u w:val="none"/>
                <w:lang w:bidi="ar"/>
              </w:rPr>
              <w:t>重度残疾人个人缴费部分全额资助；其他第二类救助对象个人缴费部分50%比例资助</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年度起付线标准为1,500元，按照70%比例给予救助。年度救助最高支付限额为7万元。</w:t>
            </w: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年度起付线标准为1,000元，按照50%比例给予救助，年度救助最高支付限额为4,000元。</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三类救助对象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无</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年度起付线标准为7,500元，按照50%比例给予救助。年度救助最高支付限额为5万元。</w:t>
            </w: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eastAsia="仿宋_GB2312" w:cs="Times New Roman"/>
                <w:i w:val="0"/>
                <w:iCs w:val="0"/>
                <w:color w:val="000000"/>
                <w:sz w:val="24"/>
                <w:szCs w:val="24"/>
                <w:u w:val="none"/>
              </w:rPr>
            </w:pPr>
          </w:p>
        </w:tc>
      </w:tr>
    </w:tbl>
    <w:p>
      <w:pPr>
        <w:pStyle w:val="8"/>
        <w:bidi w:val="0"/>
        <w:spacing w:line="240" w:lineRule="auto"/>
        <w:jc w:val="both"/>
        <w:rPr>
          <w:rFonts w:hint="default" w:ascii="Times New Roman" w:hAnsi="Times New Roman" w:eastAsia="宋体" w:cs="Times New Roman"/>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1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救助的支付范围包括：救助对象经基本医疗保险、大病保险、补充医疗保险等报销后，符合基本医疗保险政策支付范围的自负费用；国家规定纳入医疗保障范围的罕见病医疗费用负担（包括基本医保政策范围内维持诊疗必需的医疗费用、罕见病特殊药品费用）。到非医保协议医药机构就医、购药的费用或无正当理由未经转诊程序到市域外就医的医疗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保健、整形美容等发生的医疗费用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交通、医疗事故等依法应由第三方承担支付责任的医疗费用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法律法规及政策规定的其他情形</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医疗费用不纳入救助范围</w:t>
      </w:r>
      <w:r>
        <w:rPr>
          <w:rFonts w:hint="default" w:ascii="Times New Roman" w:hAnsi="Times New Roman" w:eastAsia="仿宋_GB2312" w:cs="Times New Roman"/>
          <w:sz w:val="32"/>
          <w:szCs w:val="32"/>
          <w:lang w:eastAsia="zh-CN"/>
        </w:rPr>
        <w:t>。</w:t>
      </w:r>
    </w:p>
    <w:p>
      <w:pPr>
        <w:pStyle w:val="2"/>
        <w:bidi w:val="0"/>
        <w:spacing w:beforeLines="0" w:afterLines="0"/>
        <w:rPr>
          <w:rFonts w:hint="default"/>
          <w:bCs/>
          <w:kern w:val="2"/>
          <w:szCs w:val="32"/>
        </w:rPr>
      </w:pPr>
      <w:bookmarkStart w:id="30" w:name="_Toc29148"/>
      <w:bookmarkStart w:id="31" w:name="_Toc5961"/>
      <w:bookmarkStart w:id="32" w:name="_Toc32090"/>
      <w:r>
        <w:rPr>
          <w:rFonts w:hint="default"/>
          <w:bCs/>
          <w:kern w:val="2"/>
          <w:szCs w:val="32"/>
        </w:rPr>
        <w:t>二、</w:t>
      </w:r>
      <w:r>
        <w:rPr>
          <w:rFonts w:hint="default"/>
          <w:bCs/>
          <w:kern w:val="2"/>
          <w:szCs w:val="32"/>
          <w:lang w:val="en-US" w:eastAsia="zh-CN"/>
        </w:rPr>
        <w:t>2022年度岳阳楼区医疗救助资金执行</w:t>
      </w:r>
      <w:r>
        <w:rPr>
          <w:rFonts w:hint="default"/>
          <w:bCs/>
          <w:kern w:val="2"/>
          <w:szCs w:val="32"/>
        </w:rPr>
        <w:t>情况</w:t>
      </w:r>
      <w:bookmarkEnd w:id="30"/>
      <w:bookmarkEnd w:id="31"/>
      <w:bookmarkEnd w:id="32"/>
    </w:p>
    <w:p>
      <w:pPr>
        <w:pStyle w:val="3"/>
        <w:numPr>
          <w:ilvl w:val="0"/>
          <w:numId w:val="0"/>
        </w:numPr>
        <w:adjustRightInd/>
        <w:snapToGrid/>
        <w:spacing w:line="600" w:lineRule="exact"/>
        <w:ind w:firstLine="643" w:firstLineChars="200"/>
        <w:rPr>
          <w:rFonts w:hint="eastAsia" w:ascii="楷体_GB2312" w:hAnsi="楷体_GB2312" w:eastAsia="楷体_GB2312" w:cs="楷体_GB2312"/>
          <w:sz w:val="32"/>
          <w:szCs w:val="24"/>
          <w:highlight w:val="none"/>
          <w:lang w:val="en-US" w:eastAsia="zh-CN"/>
        </w:rPr>
      </w:pPr>
      <w:bookmarkStart w:id="33" w:name="_Toc22222"/>
      <w:r>
        <w:rPr>
          <w:rFonts w:hint="eastAsia" w:ascii="楷体_GB2312" w:hAnsi="楷体_GB2312" w:eastAsia="楷体_GB2312" w:cs="楷体_GB2312"/>
          <w:sz w:val="32"/>
          <w:szCs w:val="24"/>
          <w:highlight w:val="none"/>
          <w:lang w:val="en-US" w:eastAsia="zh-CN"/>
        </w:rPr>
        <w:t>（一）资金来源与预算安排</w:t>
      </w:r>
      <w:bookmarkEnd w:id="33"/>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医疗救助资金通过财政预算、福彩公益金、社会捐赠等多渠道筹集。</w:t>
      </w:r>
      <w:r>
        <w:rPr>
          <w:rFonts w:hint="default" w:ascii="Times New Roman" w:hAnsi="Times New Roman" w:eastAsia="仿宋_GB2312" w:cs="Times New Roman"/>
          <w:sz w:val="32"/>
          <w:szCs w:val="32"/>
          <w:highlight w:val="none"/>
          <w:lang w:val="en-US" w:eastAsia="zh-CN"/>
        </w:rPr>
        <w:t>岳阳区</w:t>
      </w:r>
      <w:r>
        <w:rPr>
          <w:rFonts w:hint="default" w:ascii="Times New Roman" w:hAnsi="Times New Roman" w:eastAsia="仿宋_GB2312" w:cs="Times New Roman"/>
          <w:sz w:val="32"/>
          <w:szCs w:val="32"/>
          <w:highlight w:val="none"/>
        </w:rPr>
        <w:t>医保</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根据救助对象规模、救助标准、医药费增长等因素科学测算医疗救助资金需求。</w:t>
      </w:r>
      <w:r>
        <w:rPr>
          <w:rFonts w:hint="default" w:ascii="Times New Roman" w:hAnsi="Times New Roman" w:eastAsia="仿宋_GB2312" w:cs="Times New Roman"/>
          <w:sz w:val="32"/>
          <w:szCs w:val="32"/>
          <w:highlight w:val="none"/>
          <w:lang w:val="en-US" w:eastAsia="zh-CN"/>
        </w:rPr>
        <w:t>岳阳区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根据资金需求，以及上级财政补助资金和社会捐赠资金情况，结合本地财力，统筹安排本级财政医疗救助资金，并纳入预算管理。</w:t>
      </w:r>
      <w:r>
        <w:rPr>
          <w:rFonts w:hint="default" w:ascii="Times New Roman" w:hAnsi="Times New Roman" w:eastAsia="仿宋_GB2312" w:cs="Times New Roman"/>
          <w:sz w:val="32"/>
          <w:szCs w:val="32"/>
          <w:highlight w:val="none"/>
          <w:lang w:val="en-US" w:eastAsia="zh-CN"/>
        </w:rPr>
        <w:t>2022年，岳阳楼区根据医疗救助资金需求，结合资金结余、</w:t>
      </w:r>
      <w:r>
        <w:rPr>
          <w:rFonts w:hint="default" w:ascii="Times New Roman" w:hAnsi="Times New Roman" w:eastAsia="仿宋_GB2312" w:cs="Times New Roman"/>
          <w:sz w:val="32"/>
          <w:szCs w:val="32"/>
          <w:highlight w:val="none"/>
        </w:rPr>
        <w:t>上级财政补助资金</w:t>
      </w:r>
      <w:r>
        <w:rPr>
          <w:rFonts w:hint="default" w:ascii="Times New Roman" w:hAnsi="Times New Roman" w:eastAsia="仿宋_GB2312" w:cs="Times New Roman"/>
          <w:sz w:val="32"/>
          <w:szCs w:val="32"/>
          <w:highlight w:val="none"/>
          <w:lang w:val="en-US" w:eastAsia="zh-CN"/>
        </w:rPr>
        <w:t>情况，安排本级预算550万元，其中本级财政医疗救助资金预算350万元，乡村振兴衔接资金200万元。</w:t>
      </w:r>
    </w:p>
    <w:p>
      <w:pPr>
        <w:pStyle w:val="3"/>
        <w:numPr>
          <w:ilvl w:val="0"/>
          <w:numId w:val="0"/>
        </w:numPr>
        <w:adjustRightInd/>
        <w:snapToGrid/>
        <w:spacing w:line="600" w:lineRule="exact"/>
        <w:ind w:firstLine="643" w:firstLineChars="200"/>
        <w:rPr>
          <w:rFonts w:hint="default" w:ascii="楷体_GB2312" w:hAnsi="楷体_GB2312" w:eastAsia="楷体_GB2312" w:cs="楷体_GB2312"/>
          <w:sz w:val="32"/>
          <w:szCs w:val="24"/>
          <w:highlight w:val="none"/>
          <w:lang w:val="en-US" w:eastAsia="zh-CN"/>
        </w:rPr>
      </w:pPr>
      <w:bookmarkStart w:id="34" w:name="_Toc4103"/>
      <w:r>
        <w:rPr>
          <w:rFonts w:hint="default" w:ascii="楷体_GB2312" w:hAnsi="楷体_GB2312" w:eastAsia="楷体_GB2312" w:cs="楷体_GB2312"/>
          <w:sz w:val="32"/>
          <w:szCs w:val="24"/>
          <w:highlight w:val="none"/>
          <w:lang w:val="en-US" w:eastAsia="zh-CN"/>
        </w:rPr>
        <w:t>（二）资金到位与使用管理情况</w:t>
      </w:r>
      <w:bookmarkEnd w:id="34"/>
    </w:p>
    <w:p>
      <w:pPr>
        <w:adjustRightInd w:val="0"/>
        <w:snapToGrid w:val="0"/>
        <w:spacing w:beforeLines="0" w:afterLines="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2022年度，岳阳楼区医疗救助资金到位总额1190.3万元，其中年初结转结余资金471.33万元，中央补助资金492.6万元，省补助资金147.55万元，区本级财政资金</w:t>
      </w:r>
      <w:r>
        <w:rPr>
          <w:rFonts w:hint="default" w:eastAsia="仿宋_GB2312" w:cs="Times New Roman"/>
          <w:color w:val="auto"/>
          <w:sz w:val="32"/>
          <w:szCs w:val="32"/>
          <w:highlight w:val="none"/>
          <w:lang w:val="en-US" w:eastAsia="zh-CN"/>
        </w:rPr>
        <w:t>550</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万元，具体情况如下：</w:t>
      </w:r>
    </w:p>
    <w:p>
      <w:pPr>
        <w:adjustRightInd w:val="0"/>
        <w:snapToGrid w:val="0"/>
        <w:spacing w:line="600" w:lineRule="exact"/>
        <w:ind w:firstLine="0" w:firstLineChars="0"/>
        <w:jc w:val="center"/>
        <w:rPr>
          <w:rFonts w:hint="default" w:ascii="Times New Roman" w:hAnsi="Times New Roman" w:eastAsia="仿宋" w:cs="Times New Roman"/>
          <w:b/>
          <w:bCs/>
          <w:kern w:val="2"/>
          <w:sz w:val="28"/>
          <w:szCs w:val="22"/>
          <w:lang w:val="en-US" w:eastAsia="zh-CN" w:bidi="ar-SA"/>
        </w:rPr>
      </w:pPr>
      <w:r>
        <w:rPr>
          <w:rFonts w:hint="default" w:ascii="Times New Roman" w:hAnsi="Times New Roman" w:eastAsia="仿宋" w:cs="Times New Roman"/>
          <w:b/>
          <w:bCs/>
          <w:kern w:val="2"/>
          <w:sz w:val="28"/>
          <w:szCs w:val="22"/>
          <w:lang w:val="en-US" w:eastAsia="zh-CN" w:bidi="ar-SA"/>
        </w:rPr>
        <w:t>表</w:t>
      </w:r>
      <w:r>
        <w:rPr>
          <w:rFonts w:hint="eastAsia" w:ascii="Times New Roman" w:hAnsi="Times New Roman" w:eastAsia="仿宋" w:cs="Times New Roman"/>
          <w:b/>
          <w:bCs/>
          <w:kern w:val="2"/>
          <w:sz w:val="28"/>
          <w:szCs w:val="22"/>
          <w:lang w:val="en-US" w:eastAsia="zh-CN" w:bidi="ar-SA"/>
        </w:rPr>
        <w:t>2</w:t>
      </w:r>
      <w:r>
        <w:rPr>
          <w:rFonts w:hint="default" w:ascii="Times New Roman" w:hAnsi="Times New Roman" w:eastAsia="仿宋" w:cs="Times New Roman"/>
          <w:b/>
          <w:bCs/>
          <w:kern w:val="2"/>
          <w:sz w:val="28"/>
          <w:szCs w:val="22"/>
          <w:lang w:val="en-US" w:eastAsia="zh-CN" w:bidi="ar-SA"/>
        </w:rPr>
        <w:t>.1：</w:t>
      </w:r>
      <w:r>
        <w:rPr>
          <w:rFonts w:hint="eastAsia" w:ascii="Times New Roman" w:hAnsi="Times New Roman" w:eastAsia="仿宋" w:cs="Times New Roman"/>
          <w:b/>
          <w:bCs/>
          <w:kern w:val="2"/>
          <w:sz w:val="28"/>
          <w:szCs w:val="22"/>
          <w:lang w:val="en-US" w:eastAsia="zh-CN" w:bidi="ar-SA"/>
        </w:rPr>
        <w:t>2022年度</w:t>
      </w:r>
      <w:r>
        <w:rPr>
          <w:rFonts w:hint="default" w:ascii="Times New Roman" w:hAnsi="Times New Roman" w:eastAsia="仿宋" w:cs="Times New Roman"/>
          <w:b/>
          <w:bCs/>
          <w:kern w:val="2"/>
          <w:sz w:val="28"/>
          <w:szCs w:val="22"/>
          <w:lang w:val="en-US" w:eastAsia="zh-CN" w:bidi="ar-SA"/>
        </w:rPr>
        <w:t>医疗救助</w:t>
      </w:r>
      <w:r>
        <w:rPr>
          <w:rFonts w:hint="eastAsia" w:ascii="Times New Roman" w:hAnsi="Times New Roman" w:eastAsia="仿宋" w:cs="Times New Roman"/>
          <w:b/>
          <w:bCs/>
          <w:kern w:val="2"/>
          <w:sz w:val="28"/>
          <w:szCs w:val="22"/>
          <w:lang w:val="en-US" w:eastAsia="zh-CN" w:bidi="ar-SA"/>
        </w:rPr>
        <w:t>资金到位情况（单位：万元）</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4"/>
        <w:gridCol w:w="2894"/>
        <w:gridCol w:w="1510"/>
        <w:gridCol w:w="2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资金</w:t>
            </w:r>
            <w:r>
              <w:rPr>
                <w:rFonts w:hint="eastAsia" w:ascii="Times New Roman" w:hAnsi="Times New Roman" w:eastAsia="仿宋_GB2312" w:cs="Times New Roman"/>
                <w:i w:val="0"/>
                <w:iCs w:val="0"/>
                <w:color w:val="000000"/>
                <w:kern w:val="0"/>
                <w:sz w:val="24"/>
                <w:szCs w:val="24"/>
                <w:u w:val="none"/>
                <w:lang w:val="en-US" w:eastAsia="zh-CN" w:bidi="ar"/>
              </w:rPr>
              <w:t>来源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预算额</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到位额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中央补助资金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492.60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省补助资金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147.55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区财政资金</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医疗救助资金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350</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default" w:ascii="Times New Roman" w:hAnsi="Times New Roman" w:eastAsia="仿宋_GB2312" w:cs="Times New Roman"/>
                <w:i w:val="0"/>
                <w:iCs w:val="0"/>
                <w:color w:val="000000"/>
                <w:sz w:val="24"/>
                <w:szCs w:val="24"/>
                <w:u w:val="none"/>
              </w:rPr>
            </w:pP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color w:val="auto"/>
                <w:lang w:val="en-US" w:eastAsia="zh-CN" w:bidi="ar"/>
              </w:rPr>
              <w:t>乡村振兴衔接资金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200</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6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350</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sz w:val="24"/>
                <w:szCs w:val="24"/>
                <w:u w:val="none"/>
                <w:lang w:val="en-US" w:eastAsia="zh-CN"/>
              </w:rPr>
              <w:t>1190.30</w:t>
            </w:r>
          </w:p>
        </w:tc>
      </w:tr>
    </w:tbl>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岳阳楼区医疗救助资金在100402“医疗救助”专户、100401“一站式”专户两个专户列支，实行滚动拨付管理。2022年年初余额合计1016.69万元，本年收入780.74万元，本年支出1676.36万元，年末余额121.07万元。</w:t>
      </w:r>
    </w:p>
    <w:p>
      <w:pPr>
        <w:adjustRightInd w:val="0"/>
        <w:snapToGrid w:val="0"/>
        <w:spacing w:line="600" w:lineRule="exact"/>
        <w:ind w:firstLine="0" w:firstLineChars="0"/>
        <w:jc w:val="center"/>
        <w:rPr>
          <w:rFonts w:hint="eastAsia" w:ascii="Times New Roman" w:hAnsi="Times New Roman" w:eastAsia="仿宋" w:cs="Times New Roman"/>
          <w:b/>
          <w:bCs/>
          <w:kern w:val="2"/>
          <w:sz w:val="28"/>
          <w:szCs w:val="22"/>
          <w:lang w:val="en-US" w:eastAsia="zh-CN" w:bidi="ar-SA"/>
        </w:rPr>
      </w:pPr>
      <w:r>
        <w:rPr>
          <w:rFonts w:hint="default" w:ascii="Times New Roman" w:hAnsi="Times New Roman" w:eastAsia="仿宋" w:cs="Times New Roman"/>
          <w:b/>
          <w:bCs/>
          <w:kern w:val="2"/>
          <w:sz w:val="28"/>
          <w:szCs w:val="22"/>
          <w:lang w:val="en-US" w:eastAsia="zh-CN" w:bidi="ar-SA"/>
        </w:rPr>
        <w:t>表</w:t>
      </w:r>
      <w:r>
        <w:rPr>
          <w:rFonts w:hint="eastAsia" w:ascii="Times New Roman" w:hAnsi="Times New Roman" w:eastAsia="仿宋" w:cs="Times New Roman"/>
          <w:b/>
          <w:bCs/>
          <w:kern w:val="2"/>
          <w:sz w:val="28"/>
          <w:szCs w:val="22"/>
          <w:lang w:val="en-US" w:eastAsia="zh-CN" w:bidi="ar-SA"/>
        </w:rPr>
        <w:t>2</w:t>
      </w:r>
      <w:r>
        <w:rPr>
          <w:rFonts w:hint="default" w:ascii="Times New Roman" w:hAnsi="Times New Roman" w:eastAsia="仿宋" w:cs="Times New Roman"/>
          <w:b/>
          <w:bCs/>
          <w:kern w:val="2"/>
          <w:sz w:val="28"/>
          <w:szCs w:val="22"/>
          <w:lang w:val="en-US" w:eastAsia="zh-CN" w:bidi="ar-SA"/>
        </w:rPr>
        <w:t>.1：</w:t>
      </w:r>
      <w:r>
        <w:rPr>
          <w:rFonts w:hint="eastAsia" w:ascii="Times New Roman" w:hAnsi="Times New Roman" w:eastAsia="仿宋" w:cs="Times New Roman"/>
          <w:b/>
          <w:bCs/>
          <w:kern w:val="2"/>
          <w:sz w:val="28"/>
          <w:szCs w:val="22"/>
          <w:lang w:val="en-US" w:eastAsia="zh-CN" w:bidi="ar-SA"/>
        </w:rPr>
        <w:t>2022年度</w:t>
      </w:r>
      <w:r>
        <w:rPr>
          <w:rFonts w:hint="default" w:ascii="Times New Roman" w:hAnsi="Times New Roman" w:eastAsia="仿宋" w:cs="Times New Roman"/>
          <w:b/>
          <w:bCs/>
          <w:kern w:val="2"/>
          <w:sz w:val="28"/>
          <w:szCs w:val="22"/>
          <w:lang w:val="en-US" w:eastAsia="zh-CN" w:bidi="ar-SA"/>
        </w:rPr>
        <w:t>医疗救助</w:t>
      </w:r>
      <w:r>
        <w:rPr>
          <w:rFonts w:hint="eastAsia" w:ascii="Times New Roman" w:hAnsi="Times New Roman" w:eastAsia="仿宋" w:cs="Times New Roman"/>
          <w:b/>
          <w:bCs/>
          <w:kern w:val="2"/>
          <w:sz w:val="28"/>
          <w:szCs w:val="22"/>
          <w:lang w:val="en-US" w:eastAsia="zh-CN" w:bidi="ar-SA"/>
        </w:rPr>
        <w:t>资金使用情况（单位：万元）</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604"/>
        <w:gridCol w:w="1911"/>
        <w:gridCol w:w="1674"/>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账户</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年初余额</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本年收入</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本年支出</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年末结余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医疗救助专户</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471.33</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708.87</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1066.15</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“一站式”专户</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545.36</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71.87</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610.21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1016.69</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780.74</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1676.36</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bidi="ar"/>
              </w:rPr>
            </w:pPr>
            <w:r>
              <w:rPr>
                <w:rFonts w:hint="default" w:ascii="Times New Roman" w:hAnsi="Times New Roman" w:eastAsia="仿宋_GB2312" w:cs="Times New Roman"/>
                <w:i w:val="0"/>
                <w:iCs w:val="0"/>
                <w:color w:val="000000"/>
                <w:kern w:val="0"/>
                <w:sz w:val="24"/>
                <w:szCs w:val="24"/>
                <w:u w:val="none"/>
                <w:lang w:val="en-US" w:eastAsia="zh-CN" w:bidi="ar"/>
              </w:rPr>
              <w:t>121.07</w:t>
            </w:r>
          </w:p>
        </w:tc>
      </w:tr>
    </w:tbl>
    <w:p>
      <w:pPr>
        <w:pStyle w:val="3"/>
        <w:numPr>
          <w:ilvl w:val="0"/>
          <w:numId w:val="0"/>
        </w:numPr>
        <w:adjustRightInd/>
        <w:snapToGrid/>
        <w:spacing w:line="600" w:lineRule="exact"/>
        <w:ind w:firstLine="643" w:firstLineChars="200"/>
        <w:rPr>
          <w:rFonts w:hint="default" w:ascii="楷体_GB2312" w:hAnsi="楷体_GB2312" w:eastAsia="楷体_GB2312" w:cs="楷体_GB2312"/>
          <w:sz w:val="32"/>
          <w:szCs w:val="24"/>
          <w:highlight w:val="none"/>
          <w:lang w:val="en-US" w:eastAsia="zh-CN"/>
        </w:rPr>
      </w:pPr>
      <w:bookmarkStart w:id="35" w:name="_Toc27677"/>
      <w:r>
        <w:rPr>
          <w:rFonts w:hint="default" w:ascii="楷体_GB2312" w:hAnsi="楷体_GB2312" w:eastAsia="楷体_GB2312" w:cs="楷体_GB2312"/>
          <w:sz w:val="32"/>
          <w:szCs w:val="24"/>
          <w:highlight w:val="none"/>
          <w:lang w:val="en-US" w:eastAsia="zh-CN"/>
        </w:rPr>
        <w:t>（三）</w:t>
      </w:r>
      <w:r>
        <w:rPr>
          <w:rFonts w:hint="default" w:ascii="Times New Roman" w:hAnsi="Times New Roman" w:eastAsia="楷体_GB2312" w:cs="Times New Roman"/>
          <w:sz w:val="32"/>
          <w:szCs w:val="24"/>
          <w:highlight w:val="none"/>
          <w:lang w:val="en-US" w:eastAsia="zh-CN"/>
        </w:rPr>
        <w:t>2022</w:t>
      </w:r>
      <w:r>
        <w:rPr>
          <w:rFonts w:hint="default" w:ascii="楷体_GB2312" w:hAnsi="楷体_GB2312" w:eastAsia="楷体_GB2312" w:cs="楷体_GB2312"/>
          <w:sz w:val="32"/>
          <w:szCs w:val="24"/>
          <w:highlight w:val="none"/>
          <w:lang w:val="en-US" w:eastAsia="zh-CN"/>
        </w:rPr>
        <w:t>年度岳阳楼区医疗救助政策落实情况</w:t>
      </w:r>
      <w:bookmarkEnd w:id="35"/>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岳阳楼区医保局提供的数据，2022年度，岳阳楼区医疗救助保障三类救助对象18510人次，救助资金总额1044.2万元。其中参保资助13218人次，救助资金267.53万元；门诊救助1868人次，救助资金58.8万元；医疗救助3424人次，救助资金717.87万元。</w:t>
      </w:r>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对比2020-2022年区医保局统计数据，2022年度岳阳楼区参保资助人数略有下降，门诊救助、住院救助人次显著增加，整体保障扩面效应明显。</w:t>
      </w:r>
    </w:p>
    <w:p>
      <w:pPr>
        <w:pStyle w:val="8"/>
        <w:bidi w:val="0"/>
        <w:jc w:val="center"/>
        <w:rPr>
          <w:rFonts w:hint="default" w:ascii="Times New Roman" w:hAnsi="Times New Roman" w:eastAsia="仿宋" w:cs="Times New Roman"/>
          <w:b/>
          <w:bCs/>
          <w:sz w:val="28"/>
          <w:szCs w:val="22"/>
          <w:lang w:val="en-US" w:eastAsia="zh-CN"/>
        </w:rPr>
      </w:pPr>
      <w:r>
        <w:rPr>
          <w:rFonts w:hint="default" w:ascii="Times New Roman" w:hAnsi="Times New Roman" w:eastAsia="宋体" w:cs="Times New Roman"/>
          <w:b/>
          <w:bCs/>
          <w:sz w:val="28"/>
          <w:szCs w:val="28"/>
          <w:lang w:val="en-US" w:eastAsia="zh-CN"/>
        </w:rPr>
        <w:t>表</w:t>
      </w:r>
      <w:r>
        <w:rPr>
          <w:rFonts w:hint="eastAsia" w:ascii="Times New Roman" w:hAnsi="Times New Roman" w:cs="Times New Roman"/>
          <w:b/>
          <w:bCs/>
          <w:sz w:val="28"/>
          <w:szCs w:val="28"/>
          <w:lang w:val="en-US" w:eastAsia="zh-CN"/>
        </w:rPr>
        <w:t>2</w:t>
      </w:r>
      <w:r>
        <w:rPr>
          <w:rFonts w:hint="default" w:ascii="Times New Roman" w:hAnsi="Times New Roman" w:eastAsia="宋体" w:cs="Times New Roman"/>
          <w:b/>
          <w:bCs/>
          <w:sz w:val="28"/>
          <w:szCs w:val="28"/>
          <w:lang w:val="en-US" w:eastAsia="zh-CN"/>
        </w:rPr>
        <w:t>.</w:t>
      </w:r>
      <w:r>
        <w:rPr>
          <w:rFonts w:hint="eastAsia" w:ascii="Times New Roman" w:hAnsi="Times New Roman" w:eastAsia="宋体" w:cs="Times New Roman"/>
          <w:b/>
          <w:bCs/>
          <w:sz w:val="28"/>
          <w:szCs w:val="28"/>
          <w:lang w:val="en-US" w:eastAsia="zh-CN"/>
        </w:rPr>
        <w:t>2</w:t>
      </w:r>
      <w:r>
        <w:rPr>
          <w:rFonts w:hint="default" w:ascii="Times New Roman" w:hAnsi="Times New Roman" w:eastAsia="宋体" w:cs="Times New Roman"/>
          <w:b/>
          <w:bCs/>
          <w:sz w:val="28"/>
          <w:szCs w:val="28"/>
          <w:lang w:val="en-US" w:eastAsia="zh-CN"/>
        </w:rPr>
        <w:t>：</w:t>
      </w:r>
      <w:r>
        <w:rPr>
          <w:rFonts w:hint="default" w:ascii="Times New Roman" w:hAnsi="Times New Roman" w:eastAsia="仿宋" w:cs="Times New Roman"/>
          <w:b/>
          <w:bCs/>
          <w:sz w:val="28"/>
          <w:szCs w:val="22"/>
          <w:lang w:val="en-US" w:eastAsia="zh-CN"/>
        </w:rPr>
        <w:t>2020-2022年医疗救助</w:t>
      </w:r>
      <w:r>
        <w:rPr>
          <w:rFonts w:hint="eastAsia" w:ascii="Times New Roman" w:hAnsi="Times New Roman" w:eastAsia="仿宋" w:cs="Times New Roman"/>
          <w:b/>
          <w:bCs/>
          <w:sz w:val="28"/>
          <w:szCs w:val="22"/>
          <w:lang w:val="en-US" w:eastAsia="zh-CN"/>
        </w:rPr>
        <w:t>政策落实情况</w:t>
      </w:r>
      <w:bookmarkStart w:id="36" w:name="_Toc28434"/>
      <w:bookmarkStart w:id="37" w:name="_Toc14485"/>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6"/>
        <w:gridCol w:w="1999"/>
        <w:gridCol w:w="1815"/>
        <w:gridCol w:w="1844"/>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年度</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2021年</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参保资助支出</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13218</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13950</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i w:val="0"/>
                <w:iCs w:val="0"/>
                <w:color w:val="000000"/>
                <w:sz w:val="24"/>
                <w:szCs w:val="24"/>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金额（万元）</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267.53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294.32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294.60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门诊救助支出</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人次</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1868</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i w:val="0"/>
                <w:iCs w:val="0"/>
                <w:color w:val="000000"/>
                <w:sz w:val="24"/>
                <w:szCs w:val="24"/>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金额（万元）</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58.80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7.90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住院救助支出</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人次</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3424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2108</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i w:val="0"/>
                <w:iCs w:val="0"/>
                <w:color w:val="000000"/>
                <w:sz w:val="24"/>
                <w:szCs w:val="24"/>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金额（万元）</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717.87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724.83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596.50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i w:val="0"/>
                <w:iCs w:val="0"/>
                <w:color w:val="000000"/>
                <w:sz w:val="24"/>
                <w:szCs w:val="24"/>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次均（元）</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2097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3438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人次</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18510</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16127</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default" w:ascii="Times New Roman" w:hAnsi="Times New Roman" w:eastAsia="仿宋_GB2312" w:cs="Times New Roman"/>
                <w:i w:val="0"/>
                <w:iCs w:val="0"/>
                <w:color w:val="000000"/>
                <w:sz w:val="24"/>
                <w:szCs w:val="24"/>
                <w:u w:val="none"/>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金额（万元）</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1,044.20</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1,027.33</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897.1</w:t>
            </w:r>
          </w:p>
        </w:tc>
      </w:tr>
    </w:tbl>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注：根据救助人数（次）、救助标准统计，部分人员存在跨年支付，与专户年度资金支出额存在差异</w:t>
      </w:r>
    </w:p>
    <w:p>
      <w:pPr>
        <w:pStyle w:val="2"/>
        <w:bidi w:val="0"/>
        <w:rPr>
          <w:rFonts w:hint="default"/>
        </w:rPr>
      </w:pPr>
      <w:bookmarkStart w:id="38" w:name="_Toc16581"/>
      <w:r>
        <w:rPr>
          <w:rFonts w:hint="eastAsia"/>
          <w:lang w:val="en-US" w:eastAsia="zh-CN"/>
        </w:rPr>
        <w:t>三、</w:t>
      </w:r>
      <w:r>
        <w:rPr>
          <w:rFonts w:hint="default"/>
        </w:rPr>
        <w:t>绩效评价工作情况</w:t>
      </w:r>
      <w:bookmarkEnd w:id="36"/>
      <w:bookmarkEnd w:id="37"/>
      <w:bookmarkEnd w:id="38"/>
    </w:p>
    <w:p>
      <w:pPr>
        <w:pStyle w:val="3"/>
        <w:numPr>
          <w:ilvl w:val="0"/>
          <w:numId w:val="1"/>
        </w:numPr>
        <w:bidi w:val="0"/>
        <w:ind w:left="0" w:leftChars="0" w:firstLine="420" w:firstLineChars="0"/>
        <w:rPr>
          <w:rFonts w:hint="eastAsia" w:ascii="楷体_GB2312" w:hAnsi="楷体_GB2312" w:eastAsia="楷体_GB2312" w:cs="楷体_GB2312"/>
        </w:rPr>
      </w:pPr>
      <w:bookmarkStart w:id="39" w:name="_Toc32363"/>
      <w:bookmarkStart w:id="40" w:name="_Toc30991"/>
      <w:bookmarkStart w:id="41" w:name="_Toc29843"/>
      <w:bookmarkStart w:id="42" w:name="_Toc18305"/>
      <w:bookmarkStart w:id="43" w:name="_Toc11089"/>
      <w:r>
        <w:rPr>
          <w:rFonts w:hint="eastAsia" w:ascii="楷体_GB2312" w:hAnsi="楷体_GB2312" w:eastAsia="楷体_GB2312" w:cs="楷体_GB2312"/>
        </w:rPr>
        <w:t>评价方法、指标体系和评分定级</w:t>
      </w:r>
      <w:bookmarkEnd w:id="39"/>
      <w:bookmarkEnd w:id="40"/>
      <w:bookmarkEnd w:id="41"/>
      <w:bookmarkEnd w:id="42"/>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eastAsia" w:ascii="仿宋_GB2312" w:hAnsi="仿宋_GB2312" w:eastAsia="仿宋_GB2312" w:cs="仿宋_GB2312"/>
        </w:rPr>
      </w:pPr>
      <w:bookmarkStart w:id="44" w:name="_Toc15201"/>
      <w:bookmarkStart w:id="45" w:name="_Toc28124"/>
      <w:bookmarkStart w:id="46" w:name="_Toc5443"/>
      <w:r>
        <w:rPr>
          <w:rFonts w:hint="eastAsia" w:ascii="仿宋_GB2312" w:hAnsi="仿宋_GB2312" w:eastAsia="仿宋_GB2312" w:cs="仿宋_GB2312"/>
        </w:rPr>
        <w:t>1.评价方法</w:t>
      </w:r>
      <w:bookmarkEnd w:id="44"/>
      <w:bookmarkEnd w:id="45"/>
      <w:bookmarkEnd w:id="46"/>
    </w:p>
    <w:p>
      <w:pPr>
        <w:pStyle w:val="8"/>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本次绩效评价采用定量评价与定性评价相结合方式，评价方法采用比较法和公众评判法等方法，</w:t>
      </w:r>
      <w:r>
        <w:rPr>
          <w:rFonts w:hint="eastAsia" w:ascii="仿宋_GB2312" w:hAnsi="仿宋_GB2312" w:eastAsia="仿宋_GB2312" w:cs="仿宋_GB2312"/>
          <w:szCs w:val="32"/>
          <w:lang w:val="en-US" w:eastAsia="zh-CN"/>
        </w:rPr>
        <w:t>评价方式包括</w:t>
      </w:r>
      <w:r>
        <w:rPr>
          <w:rFonts w:hint="eastAsia" w:ascii="仿宋_GB2312" w:hAnsi="仿宋_GB2312" w:eastAsia="仿宋_GB2312" w:cs="仿宋_GB2312"/>
          <w:szCs w:val="32"/>
        </w:rPr>
        <w:t>资料</w:t>
      </w:r>
      <w:r>
        <w:rPr>
          <w:rFonts w:hint="eastAsia" w:ascii="仿宋_GB2312" w:hAnsi="仿宋_GB2312" w:eastAsia="仿宋_GB2312" w:cs="仿宋_GB2312"/>
          <w:szCs w:val="32"/>
          <w:lang w:val="en-US" w:eastAsia="zh-CN"/>
        </w:rPr>
        <w:t>研究</w:t>
      </w:r>
      <w:r>
        <w:rPr>
          <w:rFonts w:hint="eastAsia" w:ascii="仿宋_GB2312" w:hAnsi="仿宋_GB2312" w:eastAsia="仿宋_GB2312" w:cs="仿宋_GB2312"/>
          <w:szCs w:val="32"/>
        </w:rPr>
        <w:t>、座谈交流、实地核查</w:t>
      </w:r>
      <w:r>
        <w:rPr>
          <w:rFonts w:hint="eastAsia" w:ascii="仿宋_GB2312" w:hAnsi="仿宋_GB2312" w:eastAsia="仿宋_GB2312" w:cs="仿宋_GB2312"/>
          <w:szCs w:val="32"/>
          <w:lang w:val="en-US" w:eastAsia="zh-CN"/>
        </w:rPr>
        <w:t>及</w:t>
      </w:r>
      <w:r>
        <w:rPr>
          <w:rFonts w:hint="eastAsia" w:ascii="仿宋_GB2312" w:hAnsi="仿宋_GB2312" w:eastAsia="仿宋_GB2312" w:cs="仿宋_GB2312"/>
          <w:szCs w:val="32"/>
        </w:rPr>
        <w:t>问卷调查</w:t>
      </w:r>
      <w:r>
        <w:rPr>
          <w:rFonts w:hint="eastAsia" w:ascii="仿宋_GB2312" w:hAnsi="仿宋_GB2312" w:eastAsia="仿宋_GB2312" w:cs="仿宋_GB2312"/>
          <w:szCs w:val="32"/>
          <w:lang w:val="en-US" w:eastAsia="zh-CN"/>
        </w:rPr>
        <w:t>等。</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rPr>
      </w:pPr>
      <w:bookmarkStart w:id="47" w:name="_Toc10924"/>
      <w:bookmarkStart w:id="48" w:name="_Toc17320"/>
      <w:bookmarkStart w:id="49" w:name="_Toc12969"/>
      <w:r>
        <w:rPr>
          <w:rFonts w:hint="default" w:ascii="Times New Roman" w:hAnsi="Times New Roman" w:eastAsia="仿宋_GB2312" w:cs="Times New Roman"/>
        </w:rPr>
        <w:t>2.指标体系</w:t>
      </w:r>
      <w:bookmarkEnd w:id="47"/>
      <w:bookmarkEnd w:id="48"/>
      <w:bookmarkEnd w:id="49"/>
    </w:p>
    <w:p>
      <w:pPr>
        <w:pStyle w:val="8"/>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本次绩效评价</w:t>
      </w:r>
      <w:r>
        <w:rPr>
          <w:rFonts w:hint="default" w:ascii="Times New Roman" w:hAnsi="Times New Roman" w:eastAsia="仿宋_GB2312" w:cs="Times New Roman"/>
          <w:szCs w:val="32"/>
          <w:lang w:val="en-US" w:eastAsia="zh-CN"/>
        </w:rPr>
        <w:t>按项目</w:t>
      </w:r>
      <w:r>
        <w:rPr>
          <w:rFonts w:hint="default" w:ascii="Times New Roman" w:hAnsi="Times New Roman" w:eastAsia="仿宋_GB2312" w:cs="Times New Roman"/>
          <w:szCs w:val="32"/>
        </w:rPr>
        <w:t>支出绩效评价框架设计</w:t>
      </w:r>
      <w:r>
        <w:rPr>
          <w:rFonts w:hint="default" w:ascii="Times New Roman" w:hAnsi="Times New Roman" w:eastAsia="仿宋_GB2312" w:cs="Times New Roman"/>
          <w:szCs w:val="32"/>
          <w:lang w:val="en-US" w:eastAsia="zh-CN"/>
        </w:rPr>
        <w:t>三级</w:t>
      </w:r>
      <w:r>
        <w:rPr>
          <w:rFonts w:hint="default" w:ascii="Times New Roman" w:hAnsi="Times New Roman" w:eastAsia="仿宋_GB2312" w:cs="Times New Roman"/>
          <w:szCs w:val="32"/>
        </w:rPr>
        <w:t>指标体系，</w:t>
      </w:r>
      <w:r>
        <w:rPr>
          <w:rFonts w:hint="default" w:ascii="Times New Roman" w:hAnsi="Times New Roman" w:eastAsia="仿宋_GB2312" w:cs="Times New Roman"/>
          <w:szCs w:val="32"/>
          <w:lang w:val="en-US" w:eastAsia="zh-CN"/>
        </w:rPr>
        <w:t>其中</w:t>
      </w:r>
      <w:r>
        <w:rPr>
          <w:rFonts w:hint="default" w:ascii="Times New Roman" w:hAnsi="Times New Roman" w:eastAsia="仿宋_GB2312" w:cs="Times New Roman"/>
          <w:szCs w:val="32"/>
        </w:rPr>
        <w:t>一级指标4个，二级指标</w:t>
      </w:r>
      <w:r>
        <w:rPr>
          <w:rFonts w:hint="default" w:ascii="Times New Roman" w:hAnsi="Times New Roman" w:eastAsia="仿宋_GB2312" w:cs="Times New Roman"/>
          <w:szCs w:val="32"/>
          <w:lang w:val="en-US" w:eastAsia="zh-CN"/>
        </w:rPr>
        <w:t>12</w:t>
      </w:r>
      <w:r>
        <w:rPr>
          <w:rFonts w:hint="default" w:ascii="Times New Roman" w:hAnsi="Times New Roman" w:eastAsia="仿宋_GB2312" w:cs="Times New Roman"/>
          <w:szCs w:val="32"/>
        </w:rPr>
        <w:t>个，三级指标</w:t>
      </w:r>
      <w:r>
        <w:rPr>
          <w:rFonts w:hint="default" w:ascii="Times New Roman" w:hAnsi="Times New Roman" w:eastAsia="仿宋_GB2312" w:cs="Times New Roman"/>
          <w:szCs w:val="32"/>
          <w:lang w:val="en-US" w:eastAsia="zh-CN"/>
        </w:rPr>
        <w:t>22</w:t>
      </w:r>
      <w:r>
        <w:rPr>
          <w:rFonts w:hint="default" w:ascii="Times New Roman" w:hAnsi="Times New Roman" w:eastAsia="仿宋_GB2312" w:cs="Times New Roman"/>
          <w:szCs w:val="32"/>
        </w:rPr>
        <w:t>个。</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rPr>
      </w:pPr>
      <w:bookmarkStart w:id="50" w:name="_Toc31930"/>
      <w:bookmarkStart w:id="51" w:name="_Toc11465"/>
      <w:bookmarkStart w:id="52" w:name="_Toc25493"/>
      <w:r>
        <w:rPr>
          <w:rFonts w:hint="default" w:ascii="Times New Roman" w:hAnsi="Times New Roman" w:eastAsia="仿宋_GB2312" w:cs="Times New Roman"/>
        </w:rPr>
        <w:t>3.评分定级</w:t>
      </w:r>
      <w:bookmarkEnd w:id="50"/>
      <w:bookmarkEnd w:id="51"/>
      <w:bookmarkEnd w:id="52"/>
    </w:p>
    <w:p>
      <w:pPr>
        <w:pStyle w:val="8"/>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本次绩效评价采取评分与评级相结合</w:t>
      </w:r>
      <w:r>
        <w:rPr>
          <w:rFonts w:hint="default" w:ascii="Times New Roman" w:hAnsi="Times New Roman" w:eastAsia="仿宋_GB2312" w:cs="Times New Roman"/>
          <w:szCs w:val="32"/>
          <w:lang w:val="en-US" w:eastAsia="zh-CN"/>
        </w:rPr>
        <w:t>方式</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总分为100分，等级划分为四档：90分（含）</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rPr>
        <w:t>100分为优，80分（含）</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rPr>
        <w:t>90分为良，60分（含）</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rPr>
        <w:t>80分为合格，60分以下不合格。</w:t>
      </w:r>
    </w:p>
    <w:p>
      <w:pPr>
        <w:pStyle w:val="3"/>
        <w:numPr>
          <w:ilvl w:val="0"/>
          <w:numId w:val="1"/>
        </w:numPr>
        <w:bidi w:val="0"/>
        <w:ind w:left="0" w:leftChars="0" w:firstLine="420" w:firstLineChars="0"/>
        <w:rPr>
          <w:rFonts w:hint="default" w:ascii="Times New Roman" w:hAnsi="Times New Roman" w:eastAsia="仿宋_GB2312" w:cs="Times New Roman"/>
        </w:rPr>
      </w:pPr>
      <w:bookmarkStart w:id="53" w:name="_Toc26590"/>
      <w:bookmarkStart w:id="54" w:name="_Toc9953"/>
      <w:bookmarkStart w:id="55" w:name="_Toc5581"/>
      <w:bookmarkStart w:id="56" w:name="_Toc27961"/>
      <w:r>
        <w:rPr>
          <w:rFonts w:hint="default" w:ascii="Times New Roman" w:hAnsi="Times New Roman" w:eastAsia="仿宋_GB2312" w:cs="Times New Roman"/>
        </w:rPr>
        <w:t>绩效评价过程</w:t>
      </w:r>
      <w:bookmarkEnd w:id="53"/>
      <w:bookmarkEnd w:id="54"/>
      <w:bookmarkEnd w:id="55"/>
      <w:bookmarkEnd w:id="56"/>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rPr>
      </w:pPr>
      <w:bookmarkStart w:id="57" w:name="_Toc16038"/>
      <w:bookmarkStart w:id="58" w:name="_Toc25264"/>
      <w:bookmarkStart w:id="59" w:name="_Toc29537"/>
      <w:r>
        <w:rPr>
          <w:rFonts w:hint="default" w:ascii="Times New Roman" w:hAnsi="Times New Roman" w:eastAsia="仿宋_GB2312" w:cs="Times New Roman"/>
        </w:rPr>
        <w:t>1.成立评价组织</w:t>
      </w:r>
      <w:bookmarkEnd w:id="57"/>
      <w:bookmarkEnd w:id="58"/>
      <w:bookmarkEnd w:id="59"/>
    </w:p>
    <w:p>
      <w:pPr>
        <w:pStyle w:val="8"/>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本次评价工作分别成立一个评价组和一个专家组，评价组负责具体资料研究和现场调研，以及报告撰写工作，专家组参与指标体系设立以及业务问题提炼和针对性建议指导工作。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_GB2312" w:cs="Times New Roman"/>
        </w:rPr>
      </w:pPr>
      <w:bookmarkStart w:id="60" w:name="_Toc31203"/>
      <w:bookmarkStart w:id="61" w:name="_Toc32084"/>
      <w:bookmarkStart w:id="62" w:name="_Toc6571"/>
      <w:r>
        <w:rPr>
          <w:rFonts w:hint="default" w:ascii="Times New Roman" w:hAnsi="Times New Roman" w:eastAsia="仿宋_GB2312" w:cs="Times New Roman"/>
        </w:rPr>
        <w:t>2.召开项目启动会</w:t>
      </w:r>
      <w:bookmarkEnd w:id="60"/>
      <w:bookmarkEnd w:id="61"/>
      <w:bookmarkEnd w:id="62"/>
    </w:p>
    <w:p>
      <w:pPr>
        <w:pStyle w:val="8"/>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rPr>
        <w:t>根据岳阳楼区财政局对本次绩效评价工作的要求和指导意见，公司召开内部启动会，明确本次绩效评价工作目标、时间安排和评价思路。</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63" w:name="_Toc3833"/>
      <w:bookmarkStart w:id="64" w:name="_Toc28259"/>
      <w:bookmarkStart w:id="65" w:name="_Toc10276"/>
      <w:r>
        <w:rPr>
          <w:rFonts w:hint="default" w:ascii="Times New Roman" w:hAnsi="Times New Roman" w:eastAsia="仿宋" w:cs="Times New Roman"/>
        </w:rPr>
        <w:t>3.非现场评价</w:t>
      </w:r>
      <w:bookmarkEnd w:id="63"/>
      <w:bookmarkEnd w:id="64"/>
      <w:bookmarkEnd w:id="65"/>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内部启动会召开后，实施以书面审核为主要工作的非现场评价。正式开始非现场评价以前，走访岳阳楼区财政局预算绩效管理部门和业务主管部门，了解客户对本次绩效评价关注重点。拟定资料清单，向</w:t>
      </w:r>
      <w:r>
        <w:rPr>
          <w:rFonts w:hint="eastAsia" w:ascii="Times New Roman" w:hAnsi="Times New Roman" w:eastAsia="仿宋_GB2312" w:cs="Times New Roman"/>
          <w:sz w:val="32"/>
          <w:szCs w:val="32"/>
          <w:lang w:val="en-US" w:eastAsia="zh-CN"/>
        </w:rPr>
        <w:t>岳阳楼区医保局</w:t>
      </w:r>
      <w:r>
        <w:rPr>
          <w:rFonts w:hint="default" w:ascii="Times New Roman" w:hAnsi="Times New Roman" w:eastAsia="仿宋_GB2312" w:cs="Times New Roman"/>
          <w:sz w:val="32"/>
          <w:szCs w:val="32"/>
          <w:lang w:val="en-US" w:eastAsia="zh-CN"/>
        </w:rPr>
        <w:t>发送资料清单，明确资料要求，答复对方疑问。</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根据收集的资料，正式开展非现场评价。根据2022年</w:t>
      </w:r>
      <w:r>
        <w:rPr>
          <w:rFonts w:hint="eastAsia" w:eastAsia="仿宋_GB2312" w:cs="Times New Roman"/>
          <w:sz w:val="32"/>
          <w:szCs w:val="32"/>
          <w:lang w:val="en-US" w:eastAsia="zh-CN"/>
        </w:rPr>
        <w:t>医疗救助财务和业务数据</w:t>
      </w:r>
      <w:r>
        <w:rPr>
          <w:rFonts w:hint="default" w:ascii="Times New Roman" w:hAnsi="Times New Roman" w:eastAsia="仿宋_GB2312" w:cs="Times New Roman"/>
          <w:sz w:val="32"/>
          <w:szCs w:val="32"/>
          <w:lang w:val="en-US" w:eastAsia="zh-CN"/>
        </w:rPr>
        <w:t>，分析</w:t>
      </w:r>
      <w:r>
        <w:rPr>
          <w:rFonts w:hint="eastAsia" w:eastAsia="仿宋_GB2312" w:cs="Times New Roman"/>
          <w:sz w:val="32"/>
          <w:szCs w:val="32"/>
          <w:lang w:val="en-US" w:eastAsia="zh-CN"/>
        </w:rPr>
        <w:t>资金筹集、使用和结余情况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设计本次绩效评价的指标体系，经专家组讨论通过后实施。</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66" w:name="_Toc29020"/>
      <w:bookmarkStart w:id="67" w:name="_Toc14722"/>
      <w:bookmarkStart w:id="68" w:name="_Toc32575"/>
      <w:r>
        <w:rPr>
          <w:rFonts w:hint="default" w:ascii="Times New Roman" w:hAnsi="Times New Roman" w:eastAsia="仿宋" w:cs="Times New Roman"/>
        </w:rPr>
        <w:t>4.现场调研</w:t>
      </w:r>
      <w:bookmarkEnd w:id="66"/>
      <w:bookmarkEnd w:id="67"/>
      <w:bookmarkEnd w:id="68"/>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评价组带着问题进入现场开展调研工作，全面和重点调研相结合，查阅资料和访谈相结合：</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（1）全面了解</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分析</w:t>
      </w:r>
      <w:r>
        <w:rPr>
          <w:rFonts w:hint="eastAsia" w:ascii="Times New Roman" w:hAnsi="Times New Roman" w:eastAsia="仿宋_GB2312" w:cs="Times New Roman"/>
          <w:sz w:val="32"/>
          <w:szCs w:val="32"/>
          <w:lang w:val="en-US" w:eastAsia="zh-CN"/>
        </w:rPr>
        <w:t>岳阳楼区医保局</w:t>
      </w: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医疗救助</w:t>
      </w:r>
      <w:r>
        <w:rPr>
          <w:rFonts w:hint="eastAsia" w:eastAsia="仿宋_GB2312" w:cs="Times New Roman"/>
          <w:sz w:val="32"/>
          <w:szCs w:val="32"/>
          <w:lang w:val="en-US" w:eastAsia="zh-CN"/>
        </w:rPr>
        <w:t>资金筹集、使用和结余情况</w:t>
      </w:r>
      <w:r>
        <w:rPr>
          <w:rFonts w:hint="default" w:ascii="Times New Roman" w:hAnsi="Times New Roman" w:eastAsia="仿宋_GB2312" w:cs="Times New Roman"/>
          <w:sz w:val="32"/>
          <w:szCs w:val="32"/>
          <w:lang w:val="en-US" w:eastAsia="zh-CN"/>
        </w:rPr>
        <w:t>和绩效实现情况</w:t>
      </w:r>
      <w:r>
        <w:rPr>
          <w:rFonts w:hint="eastAsia" w:eastAsia="仿宋_GB2312" w:cs="Times New Roman"/>
          <w:sz w:val="32"/>
          <w:szCs w:val="32"/>
          <w:lang w:val="en-US" w:eastAsia="zh-CN"/>
        </w:rPr>
        <w:t>；</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（2）根据</w:t>
      </w:r>
      <w:r>
        <w:rPr>
          <w:rFonts w:hint="eastAsia" w:ascii="Times New Roman" w:hAnsi="Times New Roman" w:eastAsia="仿宋_GB2312" w:cs="Times New Roman"/>
          <w:sz w:val="32"/>
          <w:szCs w:val="32"/>
          <w:lang w:val="en-US" w:eastAsia="zh-CN"/>
        </w:rPr>
        <w:t>岳阳楼区医保局医疗救助项目的主要特点</w:t>
      </w:r>
      <w:r>
        <w:rPr>
          <w:rFonts w:hint="default" w:ascii="Times New Roman" w:hAnsi="Times New Roman" w:eastAsia="仿宋_GB2312" w:cs="Times New Roman"/>
          <w:sz w:val="32"/>
          <w:szCs w:val="32"/>
          <w:lang w:val="en-US" w:eastAsia="zh-CN"/>
        </w:rPr>
        <w:t>，重点调研</w:t>
      </w:r>
      <w:r>
        <w:rPr>
          <w:rFonts w:hint="eastAsia" w:ascii="Times New Roman" w:hAnsi="Times New Roman" w:eastAsia="仿宋_GB2312" w:cs="Times New Roman"/>
          <w:sz w:val="32"/>
          <w:szCs w:val="32"/>
          <w:lang w:val="en-US" w:eastAsia="zh-CN"/>
        </w:rPr>
        <w:t>三类</w:t>
      </w:r>
      <w:r>
        <w:rPr>
          <w:rFonts w:hint="eastAsia" w:eastAsia="仿宋_GB2312" w:cs="Times New Roman"/>
          <w:sz w:val="32"/>
          <w:szCs w:val="32"/>
          <w:lang w:val="en-US" w:eastAsia="zh-CN"/>
        </w:rPr>
        <w:t>救助对象的申请资格认定</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申请时效性以及资金</w:t>
      </w:r>
      <w:r>
        <w:rPr>
          <w:rFonts w:hint="eastAsia" w:ascii="Times New Roman" w:hAnsi="Times New Roman" w:eastAsia="仿宋_GB2312" w:cs="Times New Roman"/>
          <w:sz w:val="32"/>
          <w:szCs w:val="32"/>
          <w:lang w:val="en-US" w:eastAsia="zh-CN"/>
        </w:rPr>
        <w:t>审批</w:t>
      </w:r>
      <w:r>
        <w:rPr>
          <w:rFonts w:hint="eastAsia" w:eastAsia="仿宋_GB2312" w:cs="Times New Roman"/>
          <w:sz w:val="32"/>
          <w:szCs w:val="32"/>
          <w:lang w:val="en-US" w:eastAsia="zh-CN"/>
        </w:rPr>
        <w:t>程序</w:t>
      </w:r>
      <w:r>
        <w:rPr>
          <w:rFonts w:hint="eastAsia" w:ascii="Times New Roman" w:hAnsi="Times New Roman" w:eastAsia="仿宋_GB2312" w:cs="Times New Roman"/>
          <w:sz w:val="32"/>
          <w:szCs w:val="32"/>
          <w:lang w:val="en-US" w:eastAsia="zh-CN"/>
        </w:rPr>
        <w:t>等</w:t>
      </w:r>
      <w:r>
        <w:rPr>
          <w:rFonts w:hint="eastAsia" w:eastAsia="仿宋_GB2312" w:cs="Times New Roman"/>
          <w:sz w:val="32"/>
          <w:szCs w:val="32"/>
          <w:lang w:val="en-US" w:eastAsia="zh-CN"/>
        </w:rPr>
        <w:t>合规事项；</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）针对辖区内</w:t>
      </w:r>
      <w:r>
        <w:rPr>
          <w:rFonts w:hint="eastAsia" w:eastAsia="仿宋_GB2312" w:cs="Times New Roman"/>
          <w:sz w:val="32"/>
          <w:szCs w:val="32"/>
          <w:lang w:val="en-US" w:eastAsia="zh-CN"/>
        </w:rPr>
        <w:t>救助</w:t>
      </w:r>
      <w:r>
        <w:rPr>
          <w:rFonts w:hint="default" w:ascii="Times New Roman" w:hAnsi="Times New Roman" w:eastAsia="仿宋_GB2312" w:cs="Times New Roman"/>
          <w:sz w:val="32"/>
          <w:szCs w:val="32"/>
          <w:lang w:val="en-US" w:eastAsia="zh-CN"/>
        </w:rPr>
        <w:t>对象</w:t>
      </w:r>
      <w:r>
        <w:rPr>
          <w:rFonts w:hint="eastAsia" w:eastAsia="仿宋_GB2312" w:cs="Times New Roman"/>
          <w:sz w:val="32"/>
          <w:szCs w:val="32"/>
          <w:lang w:val="en-US" w:eastAsia="zh-CN"/>
        </w:rPr>
        <w:t>或者潜在救助对象</w:t>
      </w:r>
      <w:r>
        <w:rPr>
          <w:rFonts w:hint="default" w:ascii="Times New Roman" w:hAnsi="Times New Roman" w:eastAsia="仿宋_GB2312" w:cs="Times New Roman"/>
          <w:sz w:val="32"/>
          <w:szCs w:val="32"/>
          <w:lang w:val="en-US" w:eastAsia="zh-CN"/>
        </w:rPr>
        <w:t>开展满意度问卷调研。</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69" w:name="_Toc3503"/>
      <w:bookmarkStart w:id="70" w:name="_Toc25549"/>
      <w:bookmarkStart w:id="71" w:name="_Toc2548"/>
      <w:r>
        <w:rPr>
          <w:rFonts w:hint="default" w:ascii="Times New Roman" w:hAnsi="Times New Roman" w:eastAsia="仿宋" w:cs="Times New Roman"/>
        </w:rPr>
        <w:t>5.内部专家研讨</w:t>
      </w:r>
      <w:bookmarkEnd w:id="69"/>
      <w:bookmarkEnd w:id="70"/>
      <w:bookmarkEnd w:id="71"/>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组织内部专家会议，就非现场评价和现场调研发现的问题，按照重要性和相关性原则，进行重点分析，梳理出关键问题清单和针对性建议清单。</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72" w:name="_Toc4590"/>
      <w:bookmarkStart w:id="73" w:name="_Toc16427"/>
      <w:bookmarkStart w:id="74" w:name="_Toc25657"/>
      <w:r>
        <w:rPr>
          <w:rFonts w:hint="default" w:ascii="Times New Roman" w:hAnsi="Times New Roman" w:eastAsia="仿宋" w:cs="Times New Roman"/>
        </w:rPr>
        <w:t>6.形成评价结论</w:t>
      </w:r>
      <w:bookmarkEnd w:id="72"/>
      <w:bookmarkEnd w:id="73"/>
      <w:bookmarkEnd w:id="74"/>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基于前期评价成果，依据评价指标体系，开展赋分评价</w:t>
      </w:r>
      <w:r>
        <w:rPr>
          <w:rFonts w:hint="eastAsia" w:ascii="Times New Roman" w:hAnsi="Times New Roman" w:eastAsia="仿宋_GB2312" w:cs="Times New Roman"/>
          <w:sz w:val="32"/>
          <w:szCs w:val="32"/>
          <w:lang w:val="en-US" w:eastAsia="zh-CN"/>
        </w:rPr>
        <w:t>。对于</w:t>
      </w:r>
      <w:r>
        <w:rPr>
          <w:rFonts w:hint="default" w:ascii="Times New Roman" w:hAnsi="Times New Roman" w:eastAsia="仿宋_GB2312" w:cs="Times New Roman"/>
          <w:sz w:val="32"/>
          <w:szCs w:val="32"/>
          <w:lang w:val="en-US" w:eastAsia="zh-CN"/>
        </w:rPr>
        <w:t>扣分点在评价组内部先行讨论，</w:t>
      </w:r>
      <w:r>
        <w:rPr>
          <w:rFonts w:hint="eastAsia" w:ascii="Times New Roman" w:hAnsi="Times New Roman" w:eastAsia="仿宋_GB2312" w:cs="Times New Roman"/>
          <w:sz w:val="32"/>
          <w:szCs w:val="32"/>
          <w:lang w:val="en-US" w:eastAsia="zh-CN"/>
        </w:rPr>
        <w:t>然后</w:t>
      </w:r>
      <w:r>
        <w:rPr>
          <w:rFonts w:hint="default" w:ascii="Times New Roman" w:hAnsi="Times New Roman" w:eastAsia="仿宋_GB2312" w:cs="Times New Roman"/>
          <w:sz w:val="32"/>
          <w:szCs w:val="32"/>
          <w:lang w:val="en-US" w:eastAsia="zh-CN"/>
        </w:rPr>
        <w:t>与专家组进一步研讨，形成最终评价评分结果。</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75" w:name="_Toc11807"/>
      <w:bookmarkStart w:id="76" w:name="_Toc18256"/>
      <w:bookmarkStart w:id="77" w:name="_Toc24251"/>
      <w:r>
        <w:rPr>
          <w:rFonts w:hint="default" w:ascii="Times New Roman" w:hAnsi="Times New Roman" w:eastAsia="仿宋" w:cs="Times New Roman"/>
        </w:rPr>
        <w:t>7.撰写评价报告</w:t>
      </w:r>
      <w:bookmarkEnd w:id="75"/>
      <w:bookmarkEnd w:id="76"/>
      <w:bookmarkEnd w:id="77"/>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根据《湖南省预算</w:t>
      </w:r>
      <w:r>
        <w:rPr>
          <w:rFonts w:hint="eastAsia" w:eastAsia="仿宋_GB2312" w:cs="Times New Roman"/>
          <w:sz w:val="32"/>
          <w:szCs w:val="32"/>
          <w:lang w:val="en-US" w:eastAsia="zh-CN"/>
        </w:rPr>
        <w:t>支出</w:t>
      </w:r>
      <w:r>
        <w:rPr>
          <w:rFonts w:hint="default" w:ascii="Times New Roman" w:hAnsi="Times New Roman" w:eastAsia="仿宋_GB2312" w:cs="Times New Roman"/>
          <w:sz w:val="32"/>
          <w:szCs w:val="32"/>
          <w:lang w:val="en-US" w:eastAsia="zh-CN"/>
        </w:rPr>
        <w:t>绩效评价管理办法》</w:t>
      </w:r>
      <w:r>
        <w:rPr>
          <w:rFonts w:hint="eastAsia" w:eastAsia="仿宋_GB2312" w:cs="Times New Roman"/>
          <w:sz w:val="32"/>
          <w:szCs w:val="32"/>
          <w:lang w:val="en-US" w:eastAsia="zh-CN"/>
        </w:rPr>
        <w:t>要求撰写</w:t>
      </w:r>
      <w:r>
        <w:rPr>
          <w:rFonts w:hint="default" w:ascii="Times New Roman" w:hAnsi="Times New Roman" w:eastAsia="仿宋_GB2312" w:cs="Times New Roman"/>
          <w:sz w:val="32"/>
          <w:szCs w:val="32"/>
          <w:lang w:val="en-US" w:eastAsia="zh-CN"/>
        </w:rPr>
        <w:t>绩效评价报告初稿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w:t>
      </w:r>
      <w:r>
        <w:rPr>
          <w:rFonts w:hint="eastAsia" w:eastAsia="仿宋_GB2312" w:cs="Times New Roman"/>
          <w:sz w:val="32"/>
          <w:szCs w:val="32"/>
          <w:lang w:val="en-US" w:eastAsia="zh-CN"/>
        </w:rPr>
        <w:t>楼区财政局审核以及</w:t>
      </w:r>
      <w:r>
        <w:rPr>
          <w:rFonts w:hint="default" w:ascii="Times New Roman" w:hAnsi="Times New Roman" w:eastAsia="仿宋_GB2312" w:cs="Times New Roman"/>
          <w:sz w:val="32"/>
          <w:szCs w:val="32"/>
          <w:lang w:val="en-US" w:eastAsia="zh-CN"/>
        </w:rPr>
        <w:t>公司内部三级审核</w:t>
      </w:r>
      <w:r>
        <w:rPr>
          <w:rFonts w:hint="eastAsia" w:eastAsia="仿宋_GB2312" w:cs="Times New Roman"/>
          <w:sz w:val="32"/>
          <w:szCs w:val="32"/>
          <w:lang w:val="en-US" w:eastAsia="zh-CN"/>
        </w:rPr>
        <w:t>初稿</w:t>
      </w:r>
      <w:r>
        <w:rPr>
          <w:rFonts w:hint="default" w:ascii="Times New Roman" w:hAnsi="Times New Roman" w:eastAsia="仿宋_GB2312" w:cs="Times New Roman"/>
          <w:sz w:val="32"/>
          <w:szCs w:val="32"/>
          <w:lang w:val="en-US" w:eastAsia="zh-CN"/>
        </w:rPr>
        <w:t>，修改完善后，形成报告征求意见稿，将征求意见稿提交给岳阳楼区</w:t>
      </w:r>
      <w:r>
        <w:rPr>
          <w:rFonts w:hint="eastAsia" w:ascii="Times New Roman" w:hAnsi="Times New Roman" w:eastAsia="仿宋_GB2312" w:cs="Times New Roman"/>
          <w:sz w:val="32"/>
          <w:szCs w:val="32"/>
          <w:lang w:val="en-US" w:eastAsia="zh-CN"/>
        </w:rPr>
        <w:t>医保局</w:t>
      </w:r>
      <w:r>
        <w:rPr>
          <w:rFonts w:hint="default" w:ascii="Times New Roman" w:hAnsi="Times New Roman" w:eastAsia="仿宋_GB2312" w:cs="Times New Roman"/>
          <w:sz w:val="32"/>
          <w:szCs w:val="32"/>
          <w:lang w:val="en-US" w:eastAsia="zh-CN"/>
        </w:rPr>
        <w:t>征求意见</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修改完善</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lang w:val="en-US" w:eastAsia="zh-CN"/>
        </w:rPr>
        <w:t>形成最终绩效评价报告。</w:t>
      </w:r>
    </w:p>
    <w:p>
      <w:pPr>
        <w:pStyle w:val="2"/>
        <w:bidi w:val="0"/>
        <w:rPr>
          <w:rFonts w:hint="eastAsia"/>
        </w:rPr>
      </w:pPr>
      <w:bookmarkStart w:id="78" w:name="_Toc11928"/>
      <w:bookmarkStart w:id="79" w:name="_Toc26875"/>
      <w:r>
        <w:rPr>
          <w:rFonts w:hint="eastAsia"/>
        </w:rPr>
        <w:t>四、</w:t>
      </w:r>
      <w:r>
        <w:rPr>
          <w:rFonts w:hint="eastAsia"/>
          <w:lang w:val="en-US" w:eastAsia="zh-CN"/>
        </w:rPr>
        <w:t>综合</w:t>
      </w:r>
      <w:r>
        <w:rPr>
          <w:rFonts w:hint="eastAsia"/>
        </w:rPr>
        <w:t>绩效及评价结论</w:t>
      </w:r>
      <w:bookmarkEnd w:id="43"/>
      <w:bookmarkEnd w:id="78"/>
      <w:bookmarkEnd w:id="79"/>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经综合评价</w:t>
      </w:r>
      <w:r>
        <w:rPr>
          <w:rFonts w:hint="eastAsia" w:ascii="Times New Roman" w:hAnsi="Times New Roman" w:eastAsia="仿宋_GB2312" w:cs="Times New Roman"/>
          <w:sz w:val="32"/>
          <w:szCs w:val="32"/>
          <w:lang w:val="en-US" w:eastAsia="zh-CN"/>
        </w:rPr>
        <w:t>，2022年岳阳楼区</w:t>
      </w:r>
      <w:r>
        <w:rPr>
          <w:rFonts w:hint="eastAsia" w:eastAsia="仿宋_GB2312" w:cs="Times New Roman"/>
          <w:sz w:val="32"/>
          <w:szCs w:val="32"/>
          <w:lang w:val="en-US" w:eastAsia="zh-CN"/>
        </w:rPr>
        <w:t>医疗保障局</w:t>
      </w:r>
      <w:r>
        <w:rPr>
          <w:rFonts w:hint="eastAsia" w:ascii="Times New Roman" w:hAnsi="Times New Roman" w:eastAsia="仿宋_GB2312" w:cs="Times New Roman"/>
          <w:sz w:val="32"/>
          <w:szCs w:val="32"/>
          <w:lang w:val="en-US" w:eastAsia="zh-CN"/>
        </w:rPr>
        <w:t>医疗救助资金绩效评价总得分为</w:t>
      </w:r>
      <w:r>
        <w:rPr>
          <w:rFonts w:hint="eastAsia" w:eastAsia="仿宋_GB2312" w:cs="Times New Roman"/>
          <w:b/>
          <w:bCs/>
          <w:sz w:val="32"/>
          <w:szCs w:val="32"/>
          <w:u w:val="single"/>
          <w:lang w:val="en-US" w:eastAsia="zh-CN"/>
        </w:rPr>
        <w:t>92</w:t>
      </w:r>
      <w:r>
        <w:rPr>
          <w:rFonts w:hint="eastAsia"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lang w:val="en-US" w:eastAsia="zh-CN"/>
        </w:rPr>
        <w:t>评价等级为“</w:t>
      </w:r>
      <w:r>
        <w:rPr>
          <w:rFonts w:hint="eastAsia" w:eastAsia="仿宋_GB2312" w:cs="Times New Roman"/>
          <w:b/>
          <w:bCs/>
          <w:sz w:val="32"/>
          <w:szCs w:val="32"/>
          <w:u w:val="single"/>
          <w:lang w:val="en-US" w:eastAsia="zh-CN"/>
        </w:rPr>
        <w:t>优</w:t>
      </w:r>
      <w:r>
        <w:rPr>
          <w:rFonts w:hint="default" w:ascii="Times New Roman" w:hAnsi="Times New Roman" w:eastAsia="仿宋_GB2312" w:cs="Times New Roman"/>
          <w:sz w:val="32"/>
          <w:szCs w:val="32"/>
          <w:lang w:val="en-US" w:eastAsia="zh-CN"/>
        </w:rPr>
        <w:t>”。</w:t>
      </w:r>
    </w:p>
    <w:p>
      <w:pPr>
        <w:adjustRightInd w:val="0"/>
        <w:snapToGrid w:val="0"/>
        <w:spacing w:line="600" w:lineRule="exact"/>
        <w:ind w:firstLine="640" w:firstLineChars="200"/>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决策方面</w:t>
      </w:r>
      <w:r>
        <w:rPr>
          <w:rFonts w:hint="eastAsia" w:eastAsia="仿宋_GB2312" w:cs="Times New Roman"/>
          <w:sz w:val="32"/>
          <w:szCs w:val="32"/>
          <w:lang w:val="en-US" w:eastAsia="zh-CN"/>
        </w:rPr>
        <w:t>，预算与绩效目标方面，医保局部门整体支出绩效目标设置了医疗救助人次的目标，未能全面反映业务任务、规模</w:t>
      </w:r>
      <w:r>
        <w:rPr>
          <w:rFonts w:hint="eastAsia"/>
          <w:lang w:eastAsia="zh-CN"/>
        </w:rPr>
        <w:t>；</w:t>
      </w:r>
      <w:r>
        <w:rPr>
          <w:rFonts w:hint="eastAsia" w:eastAsia="仿宋_GB2312" w:cs="Times New Roman"/>
          <w:i w:val="0"/>
          <w:iCs w:val="0"/>
          <w:color w:val="auto"/>
          <w:kern w:val="2"/>
          <w:sz w:val="32"/>
          <w:szCs w:val="32"/>
          <w:u w:val="none"/>
          <w:lang w:val="en-US" w:eastAsia="zh-CN" w:bidi="ar"/>
        </w:rPr>
        <w:t>因救助对象动态变化，存在预算与执行不匹配的情况，</w:t>
      </w:r>
      <w:r>
        <w:rPr>
          <w:rFonts w:hint="eastAsia" w:eastAsia="仿宋_GB2312" w:cs="Times New Roman"/>
          <w:sz w:val="32"/>
          <w:szCs w:val="32"/>
          <w:lang w:val="en-US" w:eastAsia="zh-CN"/>
        </w:rPr>
        <w:t>。</w:t>
      </w:r>
    </w:p>
    <w:p>
      <w:pPr>
        <w:adjustRightInd w:val="0"/>
        <w:snapToGrid w:val="0"/>
        <w:spacing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过程方面，三类救助对象采取线下申请，逐层核实、分批审核，便利性方面相对不足；发现部分救助申请的传签缺少主要领导签字，审批程序上不完整。</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效益方面，居民对医疗救助政策知晓率不高，仅为76.61%，缓解医疗费用负担、申请便利程度等方面满意度为85.74%。群众对医疗救助政策的获得感有待进一步提升。</w:t>
      </w:r>
    </w:p>
    <w:p>
      <w:pPr>
        <w:pStyle w:val="6"/>
        <w:jc w:val="center"/>
        <w:rPr>
          <w:rFonts w:hint="eastAsia"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综合评价得分表</w:t>
      </w:r>
    </w:p>
    <w:tbl>
      <w:tblPr>
        <w:tblStyle w:val="14"/>
        <w:tblW w:w="8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96"/>
        <w:gridCol w:w="2110"/>
        <w:gridCol w:w="2470"/>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一级指标</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标准值</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得分</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rPr>
              <w:t>决策</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rPr>
            </w:pPr>
            <w:r>
              <w:rPr>
                <w:rFonts w:hint="eastAsia" w:eastAsia="仿宋" w:cs="Times New Roman"/>
                <w:i w:val="0"/>
                <w:iCs w:val="0"/>
                <w:color w:val="auto"/>
                <w:kern w:val="0"/>
                <w:sz w:val="21"/>
                <w:szCs w:val="21"/>
                <w:u w:val="none"/>
                <w:lang w:val="en-US" w:eastAsia="zh-CN" w:bidi="ar"/>
              </w:rPr>
              <w:t>10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rPr>
            </w:pPr>
            <w:r>
              <w:rPr>
                <w:rFonts w:hint="eastAsia" w:eastAsia="仿宋" w:cs="Times New Roman"/>
                <w:i w:val="0"/>
                <w:iCs w:val="0"/>
                <w:color w:val="auto"/>
                <w:kern w:val="0"/>
                <w:sz w:val="21"/>
                <w:szCs w:val="21"/>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8</w:t>
            </w:r>
            <w:r>
              <w:rPr>
                <w:rFonts w:hint="default" w:ascii="Times New Roman" w:hAnsi="Times New Roman" w:eastAsia="仿宋" w:cs="Times New Roman"/>
                <w:i w:val="0"/>
                <w:iCs w:val="0"/>
                <w:color w:val="auto"/>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过程</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rPr>
            </w:pPr>
            <w:r>
              <w:rPr>
                <w:rFonts w:hint="eastAsia" w:eastAsia="仿宋" w:cs="Times New Roman"/>
                <w:i w:val="0"/>
                <w:iCs w:val="0"/>
                <w:color w:val="auto"/>
                <w:kern w:val="0"/>
                <w:sz w:val="21"/>
                <w:szCs w:val="21"/>
                <w:u w:val="none"/>
                <w:lang w:val="en-US" w:eastAsia="zh-CN" w:bidi="ar"/>
              </w:rPr>
              <w:t>35</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91.43</w:t>
            </w:r>
            <w:r>
              <w:rPr>
                <w:rFonts w:hint="default" w:ascii="Times New Roman" w:hAnsi="Times New Roman" w:eastAsia="仿宋"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产出</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30</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lang w:val="en-US" w:eastAsia="zh-CN"/>
              </w:rPr>
            </w:pPr>
            <w:r>
              <w:rPr>
                <w:rFonts w:hint="default" w:ascii="Times New Roman" w:hAnsi="Times New Roman" w:eastAsia="仿宋" w:cs="Times New Roman"/>
                <w:b/>
                <w:bCs/>
                <w:i w:val="0"/>
                <w:iCs w:val="0"/>
                <w:color w:val="000000"/>
                <w:sz w:val="21"/>
                <w:szCs w:val="21"/>
                <w:u w:val="none"/>
                <w:lang w:val="en-US" w:eastAsia="zh-CN"/>
              </w:rPr>
              <w:t>效益</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25</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rPr>
            </w:pPr>
            <w:r>
              <w:rPr>
                <w:rFonts w:hint="eastAsia" w:eastAsia="仿宋" w:cs="Times New Roman"/>
                <w:i w:val="0"/>
                <w:iCs w:val="0"/>
                <w:color w:val="auto"/>
                <w:kern w:val="0"/>
                <w:sz w:val="21"/>
                <w:szCs w:val="21"/>
                <w:u w:val="none"/>
                <w:lang w:val="en-US" w:eastAsia="zh-CN" w:bidi="ar"/>
              </w:rPr>
              <w:t>22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88</w:t>
            </w:r>
            <w:r>
              <w:rPr>
                <w:rFonts w:hint="default" w:ascii="Times New Roman" w:hAnsi="Times New Roman" w:eastAsia="仿宋"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sz w:val="21"/>
                <w:szCs w:val="21"/>
                <w:u w:val="none"/>
                <w:lang w:val="en-US" w:eastAsia="zh-CN"/>
              </w:rPr>
              <w:t>合计</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100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lang w:val="en-US" w:eastAsia="zh-CN"/>
              </w:rPr>
            </w:pPr>
            <w:r>
              <w:rPr>
                <w:rFonts w:hint="eastAsia" w:eastAsia="仿宋" w:cs="Times New Roman"/>
                <w:i w:val="0"/>
                <w:iCs w:val="0"/>
                <w:color w:val="auto"/>
                <w:sz w:val="21"/>
                <w:szCs w:val="21"/>
                <w:u w:val="none"/>
                <w:lang w:val="en-US" w:eastAsia="zh-CN"/>
              </w:rPr>
              <w:t>92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92</w:t>
            </w:r>
            <w:r>
              <w:rPr>
                <w:rFonts w:hint="default" w:ascii="Times New Roman" w:hAnsi="Times New Roman" w:eastAsia="仿宋" w:cs="Times New Roman"/>
                <w:i w:val="0"/>
                <w:iCs w:val="0"/>
                <w:color w:val="auto"/>
                <w:kern w:val="0"/>
                <w:sz w:val="21"/>
                <w:szCs w:val="21"/>
                <w:u w:val="none"/>
                <w:lang w:val="en-US" w:eastAsia="zh-CN" w:bidi="ar"/>
              </w:rPr>
              <w:t>%</w:t>
            </w:r>
          </w:p>
        </w:tc>
      </w:tr>
    </w:tbl>
    <w:p>
      <w:pPr>
        <w:pStyle w:val="2"/>
        <w:bidi w:val="0"/>
        <w:rPr>
          <w:rFonts w:hint="eastAsia" w:eastAsia="黑体"/>
          <w:lang w:eastAsia="zh-CN"/>
        </w:rPr>
      </w:pPr>
      <w:bookmarkStart w:id="80" w:name="_Toc5019"/>
      <w:bookmarkStart w:id="81" w:name="_Toc4397"/>
      <w:r>
        <w:rPr>
          <w:rFonts w:hint="eastAsia"/>
          <w:lang w:val="en-US" w:eastAsia="zh-CN"/>
        </w:rPr>
        <w:t>五、综合</w:t>
      </w:r>
      <w:r>
        <w:t>绩效</w:t>
      </w:r>
      <w:bookmarkEnd w:id="80"/>
      <w:r>
        <w:rPr>
          <w:rFonts w:hint="eastAsia"/>
          <w:lang w:val="en-US" w:eastAsia="zh-CN"/>
        </w:rPr>
        <w:t>分析</w:t>
      </w:r>
      <w:bookmarkEnd w:id="81"/>
    </w:p>
    <w:p>
      <w:pPr>
        <w:pStyle w:val="3"/>
        <w:numPr>
          <w:ilvl w:val="0"/>
          <w:numId w:val="2"/>
        </w:numPr>
        <w:bidi w:val="0"/>
        <w:ind w:left="0" w:leftChars="0" w:firstLine="420" w:firstLineChars="0"/>
        <w:rPr>
          <w:rFonts w:hint="default"/>
          <w:lang w:val="en-US" w:eastAsia="zh-CN"/>
        </w:rPr>
      </w:pPr>
      <w:bookmarkStart w:id="82" w:name="_Toc24450"/>
      <w:bookmarkStart w:id="83" w:name="_Toc28281"/>
      <w:bookmarkStart w:id="84" w:name="_Toc32750"/>
      <w:r>
        <w:rPr>
          <w:rFonts w:hint="default"/>
          <w:lang w:val="en-US" w:eastAsia="zh-CN"/>
        </w:rPr>
        <w:t>决策绩效分析</w:t>
      </w:r>
      <w:bookmarkEnd w:id="82"/>
      <w:bookmarkEnd w:id="83"/>
      <w:bookmarkEnd w:id="84"/>
    </w:p>
    <w:p>
      <w:pPr>
        <w:adjustRightInd w:val="0"/>
        <w:snapToGrid w:val="0"/>
        <w:spacing w:line="600" w:lineRule="exact"/>
        <w:ind w:firstLine="640" w:firstLineChars="200"/>
        <w:rPr>
          <w:rFonts w:hint="eastAsia" w:eastAsia="仿宋_GB2312" w:cs="Times New Roman"/>
          <w:sz w:val="32"/>
          <w:szCs w:val="32"/>
          <w:lang w:val="en-US" w:eastAsia="zh-CN"/>
        </w:rPr>
      </w:pPr>
      <w:r>
        <w:rPr>
          <w:rFonts w:hint="default" w:eastAsia="仿宋_GB2312" w:cs="Times New Roman"/>
          <w:sz w:val="32"/>
          <w:szCs w:val="32"/>
          <w:lang w:val="en-US" w:eastAsia="zh-CN"/>
        </w:rPr>
        <w:t>绩效目标</w:t>
      </w:r>
      <w:r>
        <w:rPr>
          <w:rFonts w:hint="eastAsia" w:eastAsia="仿宋_GB2312" w:cs="Times New Roman"/>
          <w:sz w:val="32"/>
          <w:szCs w:val="32"/>
          <w:lang w:val="en-US" w:eastAsia="zh-CN"/>
        </w:rPr>
        <w:t>方面：医保局部门整体支出绩效目标设置了医疗救助人次的目标，未能全面反映业务任务、规模，扣1分。</w:t>
      </w:r>
    </w:p>
    <w:p>
      <w:pPr>
        <w:adjustRightInd w:val="0"/>
        <w:snapToGrid w:val="0"/>
        <w:spacing w:line="600" w:lineRule="exact"/>
        <w:ind w:firstLine="640" w:firstLineChars="200"/>
        <w:rPr>
          <w:rFonts w:hint="default"/>
          <w:lang w:val="en-US" w:eastAsia="zh-CN"/>
        </w:rPr>
      </w:pPr>
      <w:r>
        <w:rPr>
          <w:rFonts w:hint="default" w:eastAsia="仿宋_GB2312" w:cs="Times New Roman"/>
          <w:sz w:val="32"/>
          <w:szCs w:val="32"/>
          <w:lang w:val="en-US" w:eastAsia="zh-CN"/>
        </w:rPr>
        <w:t>预算编制</w:t>
      </w:r>
      <w:r>
        <w:rPr>
          <w:rFonts w:hint="eastAsia" w:eastAsia="仿宋_GB2312" w:cs="Times New Roman"/>
          <w:sz w:val="32"/>
          <w:szCs w:val="32"/>
          <w:lang w:val="en-US" w:eastAsia="zh-CN"/>
        </w:rPr>
        <w:t>方面：</w:t>
      </w:r>
      <w:r>
        <w:rPr>
          <w:rFonts w:hint="eastAsia" w:eastAsia="仿宋_GB2312" w:cs="Times New Roman"/>
          <w:i w:val="0"/>
          <w:iCs w:val="0"/>
          <w:color w:val="auto"/>
          <w:kern w:val="2"/>
          <w:sz w:val="32"/>
          <w:szCs w:val="32"/>
          <w:u w:val="none"/>
          <w:lang w:val="en-US" w:eastAsia="zh-CN" w:bidi="ar"/>
        </w:rPr>
        <w:t>因救助对象动态变化，存在预算与执行不匹配的情况，</w:t>
      </w:r>
      <w:r>
        <w:rPr>
          <w:rFonts w:hint="eastAsia" w:eastAsia="仿宋_GB2312" w:cs="Times New Roman"/>
          <w:sz w:val="32"/>
          <w:szCs w:val="32"/>
          <w:lang w:val="en-US" w:eastAsia="zh-CN"/>
        </w:rPr>
        <w:t>预算编制扣1分。</w:t>
      </w:r>
    </w:p>
    <w:p>
      <w:pPr>
        <w:pStyle w:val="6"/>
        <w:jc w:val="center"/>
        <w:rPr>
          <w:rFonts w:hint="eastAsia" w:ascii="Times New Roman" w:hAnsi="Times New Roman" w:eastAsia="仿宋" w:cs="Times New Roman"/>
          <w:b/>
          <w:bCs/>
          <w:color w:val="auto"/>
          <w:kern w:val="2"/>
          <w:sz w:val="32"/>
          <w:szCs w:val="32"/>
          <w:lang w:val="en-US" w:eastAsia="zh-CN" w:bidi="ar-SA"/>
        </w:rPr>
      </w:pPr>
    </w:p>
    <w:p>
      <w:pPr>
        <w:pStyle w:val="6"/>
        <w:jc w:val="center"/>
        <w:rPr>
          <w:rFonts w:hint="eastAsia"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决策指标得分表</w:t>
      </w:r>
    </w:p>
    <w:tbl>
      <w:tblPr>
        <w:tblStyle w:val="14"/>
        <w:tblW w:w="0" w:type="auto"/>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7"/>
        <w:gridCol w:w="1900"/>
        <w:gridCol w:w="2225"/>
        <w:gridCol w:w="1487"/>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一级指标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三级指标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仿宋" w:cs="Times New Roman"/>
                <w:b/>
                <w:bCs/>
                <w:i w:val="0"/>
                <w:iCs w:val="0"/>
                <w:color w:val="auto"/>
                <w:kern w:val="0"/>
                <w:sz w:val="21"/>
                <w:szCs w:val="21"/>
                <w:u w:val="none"/>
                <w:lang w:val="en-US" w:eastAsia="zh-CN" w:bidi="ar"/>
              </w:rPr>
              <w:t>标准分值</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Style w:val="22"/>
                <w:rFonts w:hint="default" w:ascii="Times New Roman" w:hAnsi="Times New Roman" w:eastAsia="仿宋" w:cs="Times New Roman"/>
                <w:color w:val="auto"/>
                <w:sz w:val="21"/>
                <w:szCs w:val="21"/>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决策</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绩效目标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绩效目标合理性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绩效指标明确性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9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资金投入</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预算编制科学性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9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预算编制合理性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Style w:val="24"/>
                <w:rFonts w:hint="default" w:ascii="Times New Roman" w:hAnsi="Times New Roman" w:eastAsia="仿宋" w:cs="Times New Roman"/>
                <w:color w:val="auto"/>
                <w:sz w:val="21"/>
                <w:szCs w:val="21"/>
                <w:lang w:val="en-US" w:eastAsia="zh-CN" w:bidi="ar"/>
              </w:rPr>
              <w:t>合计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lang w:val="en-US"/>
              </w:rPr>
            </w:pPr>
            <w:r>
              <w:rPr>
                <w:rFonts w:hint="eastAsia" w:eastAsia="仿宋" w:cs="Times New Roman"/>
                <w:b/>
                <w:bCs/>
                <w:i w:val="0"/>
                <w:iCs w:val="0"/>
                <w:color w:val="auto"/>
                <w:kern w:val="0"/>
                <w:sz w:val="21"/>
                <w:szCs w:val="21"/>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u w:val="none"/>
              </w:rPr>
            </w:pPr>
            <w:r>
              <w:rPr>
                <w:rFonts w:hint="eastAsia" w:eastAsia="仿宋" w:cs="Times New Roman"/>
                <w:b/>
                <w:bCs/>
                <w:i w:val="0"/>
                <w:iCs w:val="0"/>
                <w:color w:val="auto"/>
                <w:kern w:val="0"/>
                <w:sz w:val="21"/>
                <w:szCs w:val="21"/>
                <w:u w:val="none"/>
                <w:lang w:val="en-US" w:eastAsia="zh-CN" w:bidi="ar"/>
              </w:rPr>
              <w:t>8</w:t>
            </w:r>
          </w:p>
        </w:tc>
      </w:tr>
    </w:tbl>
    <w:p>
      <w:pPr>
        <w:pStyle w:val="3"/>
        <w:numPr>
          <w:ilvl w:val="-1"/>
          <w:numId w:val="0"/>
        </w:numPr>
        <w:bidi w:val="0"/>
        <w:ind w:left="0" w:leftChars="0" w:firstLine="643" w:firstLineChars="200"/>
        <w:rPr>
          <w:rFonts w:hint="default"/>
          <w:lang w:val="en-US" w:eastAsia="zh-CN"/>
        </w:rPr>
      </w:pPr>
      <w:bookmarkStart w:id="85" w:name="_Toc18586"/>
      <w:bookmarkStart w:id="86" w:name="_Toc10357"/>
      <w:r>
        <w:rPr>
          <w:rFonts w:hint="eastAsia"/>
          <w:lang w:val="en-US" w:eastAsia="zh-CN"/>
        </w:rPr>
        <w:t>（二）过程</w:t>
      </w:r>
      <w:r>
        <w:rPr>
          <w:rFonts w:hint="default"/>
          <w:lang w:val="en-US" w:eastAsia="zh-CN"/>
        </w:rPr>
        <w:t>绩效分析</w:t>
      </w:r>
      <w:bookmarkEnd w:id="85"/>
      <w:bookmarkEnd w:id="86"/>
    </w:p>
    <w:p>
      <w:pPr>
        <w:adjustRightInd w:val="0"/>
        <w:snapToGrid w:val="0"/>
        <w:spacing w:beforeLines="0" w:afterLines="0" w:line="600" w:lineRule="exact"/>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补助申请流程便利性方面：一二类人群开通了绿色通道，简化申请材料，仅要求救助对象提供身份证、社会保障卡、病史证明和医院费用结算单，申请便利、审批高效；对于三类救助对象，线下申请，逐层核实，分批审核，基本便利扣1分。</w:t>
      </w:r>
    </w:p>
    <w:p>
      <w:pPr>
        <w:adjustRightInd w:val="0"/>
        <w:snapToGrid w:val="0"/>
        <w:spacing w:beforeLines="0" w:afterLines="0"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资金审批流程方面，一、二类救助对象的资金使用审批规范，因为支付依据来自医保系统，经过各方确认，三类救助对象的资金申请需要线下提交，发现部分救助申请的传签缺少主要领导签字（有的申请单据局长和书记均签，有的仅是书记签但局长未签），审批程序上不完整，综上评价，扣2分。</w:t>
      </w:r>
    </w:p>
    <w:p>
      <w:pPr>
        <w:pStyle w:val="6"/>
        <w:jc w:val="center"/>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过程指标得分表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1290"/>
        <w:gridCol w:w="2645"/>
        <w:gridCol w:w="162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11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一级指标</w:t>
            </w:r>
          </w:p>
        </w:tc>
        <w:tc>
          <w:tcPr>
            <w:tcW w:w="12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二级指标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标准分值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2"/>
                <w:rFonts w:hint="eastAsia" w:ascii="仿宋" w:hAnsi="仿宋" w:eastAsia="仿宋" w:cs="仿宋"/>
                <w:sz w:val="24"/>
                <w:szCs w:val="24"/>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1196"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过程</w:t>
            </w:r>
          </w:p>
        </w:tc>
        <w:tc>
          <w:tcPr>
            <w:tcW w:w="129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业务</w:t>
            </w:r>
            <w:r>
              <w:rPr>
                <w:rFonts w:hint="default" w:ascii="Times New Roman" w:hAnsi="Times New Roman" w:eastAsia="仿宋" w:cs="Times New Roman"/>
                <w:i w:val="0"/>
                <w:iCs w:val="0"/>
                <w:color w:val="auto"/>
                <w:kern w:val="0"/>
                <w:sz w:val="21"/>
                <w:szCs w:val="21"/>
                <w:u w:val="none"/>
                <w:lang w:val="en-US" w:eastAsia="zh-CN" w:bidi="ar"/>
              </w:rPr>
              <w:t>管理</w:t>
            </w:r>
          </w:p>
        </w:tc>
        <w:tc>
          <w:tcPr>
            <w:tcW w:w="2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管理制度健全性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2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补助申请流程便利性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p>
        </w:tc>
        <w:tc>
          <w:tcPr>
            <w:tcW w:w="2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监控机制有效性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p>
        </w:tc>
        <w:tc>
          <w:tcPr>
            <w:tcW w:w="2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政策宣传力度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p>
        </w:tc>
        <w:tc>
          <w:tcPr>
            <w:tcW w:w="26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信息公开透明度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资金管理</w:t>
            </w:r>
          </w:p>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本级资金到位率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本级预算执行率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资金审批流程</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补助发放准确性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19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“一站式”即时结算覆盖率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1"/>
                <w:szCs w:val="21"/>
                <w:u w:val="none"/>
                <w:lang w:val="en-US" w:eastAsia="zh-CN" w:bidi="ar"/>
              </w:rPr>
            </w:pPr>
            <w:r>
              <w:rPr>
                <w:rFonts w:hint="default" w:ascii="Times New Roman" w:hAnsi="Times New Roman" w:eastAsia="仿宋" w:cs="Times New Roman"/>
                <w:b/>
                <w:bCs/>
                <w:i w:val="0"/>
                <w:iCs w:val="0"/>
                <w:color w:val="auto"/>
                <w:kern w:val="0"/>
                <w:sz w:val="21"/>
                <w:szCs w:val="21"/>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32</w:t>
            </w:r>
          </w:p>
        </w:tc>
      </w:tr>
    </w:tbl>
    <w:p>
      <w:pPr>
        <w:pStyle w:val="3"/>
        <w:numPr>
          <w:ilvl w:val="-1"/>
          <w:numId w:val="0"/>
        </w:numPr>
        <w:bidi w:val="0"/>
        <w:ind w:left="420" w:leftChars="0" w:firstLine="0" w:firstLineChars="0"/>
        <w:rPr>
          <w:rFonts w:hint="default"/>
          <w:lang w:val="en-US" w:eastAsia="zh-CN"/>
        </w:rPr>
      </w:pPr>
      <w:bookmarkStart w:id="87" w:name="_Toc8378"/>
      <w:bookmarkStart w:id="88" w:name="_Toc22457"/>
      <w:r>
        <w:rPr>
          <w:rFonts w:hint="eastAsia"/>
          <w:lang w:val="en-US" w:eastAsia="zh-CN"/>
        </w:rPr>
        <w:t>（三）产出</w:t>
      </w:r>
      <w:r>
        <w:rPr>
          <w:rFonts w:hint="default"/>
          <w:lang w:val="en-US" w:eastAsia="zh-CN"/>
        </w:rPr>
        <w:t>绩效分析</w:t>
      </w:r>
      <w:bookmarkEnd w:id="87"/>
      <w:bookmarkEnd w:id="88"/>
    </w:p>
    <w:p>
      <w:pPr>
        <w:adjustRightInd w:val="0"/>
        <w:snapToGrid w:val="0"/>
        <w:spacing w:line="600" w:lineRule="exact"/>
        <w:ind w:firstLine="640" w:firstLineChars="200"/>
        <w:rPr>
          <w:rFonts w:hint="eastAsia" w:eastAsia="仿宋_GB2312" w:cs="Times New Roman"/>
          <w:sz w:val="32"/>
          <w:szCs w:val="32"/>
          <w:lang w:val="en-US" w:eastAsia="zh-CN"/>
        </w:rPr>
      </w:pPr>
      <w:r>
        <w:rPr>
          <w:rFonts w:hint="default" w:eastAsia="仿宋_GB2312" w:cs="Times New Roman"/>
          <w:sz w:val="32"/>
          <w:szCs w:val="32"/>
          <w:lang w:val="en-US" w:eastAsia="zh-CN"/>
        </w:rPr>
        <w:t>产出数量</w:t>
      </w:r>
      <w:r>
        <w:rPr>
          <w:rFonts w:hint="eastAsia" w:eastAsia="仿宋_GB2312" w:cs="Times New Roman"/>
          <w:sz w:val="32"/>
          <w:szCs w:val="32"/>
          <w:lang w:val="en-US" w:eastAsia="zh-CN"/>
        </w:rPr>
        <w:t>方面：2022年计划符合救助条件的对象按规定纳入救助范围，实际均纳入救助范围。</w:t>
      </w:r>
    </w:p>
    <w:p>
      <w:pPr>
        <w:adjustRightInd w:val="0"/>
        <w:snapToGri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default" w:eastAsia="仿宋_GB2312" w:cs="Times New Roman"/>
          <w:sz w:val="32"/>
          <w:szCs w:val="32"/>
          <w:lang w:val="en-US" w:eastAsia="zh-CN"/>
        </w:rPr>
        <w:t>产出质量</w:t>
      </w:r>
      <w:r>
        <w:rPr>
          <w:rFonts w:hint="eastAsia" w:eastAsia="仿宋_GB2312" w:cs="Times New Roman"/>
          <w:sz w:val="32"/>
          <w:szCs w:val="32"/>
          <w:lang w:val="en-US" w:eastAsia="zh-CN"/>
        </w:rPr>
        <w:t>方面：2022年重点救助对象政策范围内个人自付费用年度限额内住院救助比例≥82%，符合资助条件的农村低收入人口资助参保政策覆盖率100%，均达到甚至超过预期目标。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 w:cs="Times New Roman"/>
          <w:b/>
          <w:bCs/>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产出时效</w:t>
      </w:r>
      <w:r>
        <w:rPr>
          <w:rFonts w:hint="eastAsia" w:ascii="Times New Roman" w:hAnsi="Times New Roman" w:eastAsia="仿宋_GB2312" w:cs="Times New Roman"/>
          <w:kern w:val="2"/>
          <w:sz w:val="32"/>
          <w:szCs w:val="32"/>
          <w:lang w:val="en-US" w:eastAsia="zh-CN" w:bidi="ar-SA"/>
        </w:rPr>
        <w:t>方面：经调查</w:t>
      </w:r>
      <w:r>
        <w:rPr>
          <w:rFonts w:hint="default" w:ascii="Times New Roman" w:hAnsi="Times New Roman" w:eastAsia="仿宋_GB2312" w:cs="Times New Roman"/>
          <w:kern w:val="2"/>
          <w:sz w:val="32"/>
          <w:szCs w:val="32"/>
          <w:lang w:val="en-US" w:eastAsia="zh-CN" w:bidi="ar-SA"/>
        </w:rPr>
        <w:t>，2022年部分二类救助对象参加其它医疗保险后，会导致救助对象无法享受“一站式”医疗救助服务，岳阳楼区医保局采取手工追补，开启开启绿色通道，简化申请材料，仅要求救助对象提交身份证、社会保障卡、病史证明和医院费用结算单，并快速审批和支付。对于三类救助对象，线下申请，逐层核实，分批审核，传签完成后财务支付时间为7天，</w:t>
      </w:r>
      <w:r>
        <w:rPr>
          <w:rFonts w:hint="eastAsia" w:ascii="Times New Roman" w:hAnsi="Times New Roman" w:eastAsia="仿宋_GB2312" w:cs="Times New Roman"/>
          <w:kern w:val="2"/>
          <w:sz w:val="32"/>
          <w:szCs w:val="32"/>
          <w:lang w:val="en-US" w:eastAsia="zh-CN" w:bidi="ar-SA"/>
        </w:rPr>
        <w:t xml:space="preserve">总体上看，能够在合理期限内及时支付。 </w:t>
      </w:r>
      <w:r>
        <w:rPr>
          <w:rFonts w:hint="eastAsia" w:ascii="Times New Roman" w:hAnsi="Times New Roman" w:eastAsia="仿宋" w:cs="Times New Roman"/>
          <w:b/>
          <w:bCs/>
          <w:color w:val="auto"/>
          <w:kern w:val="2"/>
          <w:sz w:val="32"/>
          <w:szCs w:val="32"/>
          <w:lang w:val="en-US" w:eastAsia="zh-CN" w:bidi="ar-SA"/>
        </w:rPr>
        <w:t>产出指标得分表</w:t>
      </w:r>
    </w:p>
    <w:tbl>
      <w:tblPr>
        <w:tblStyle w:val="14"/>
        <w:tblpPr w:leftFromText="181" w:rightFromText="181" w:vertAnchor="text" w:horzAnchor="page" w:tblpX="2104"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8"/>
        <w:gridCol w:w="1230"/>
        <w:gridCol w:w="3195"/>
        <w:gridCol w:w="141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58"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123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二级指标</w:t>
            </w:r>
          </w:p>
        </w:tc>
        <w:tc>
          <w:tcPr>
            <w:tcW w:w="319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1415"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1191"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22"/>
                <w:rFonts w:hint="eastAsia" w:ascii="仿宋" w:hAnsi="仿宋" w:eastAsia="仿宋" w:cs="仿宋"/>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58" w:type="dxa"/>
            <w:vMerge w:val="restart"/>
            <w:shd w:val="clear" w:color="auto" w:fill="auto"/>
            <w:vAlign w:val="center"/>
          </w:tcPr>
          <w:p>
            <w:pPr>
              <w:keepNext w:val="0"/>
              <w:keepLines w:val="0"/>
              <w:widowControl/>
              <w:suppressLineNumbers w:val="0"/>
              <w:tabs>
                <w:tab w:val="left" w:pos="502"/>
              </w:tabs>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产出</w:t>
            </w:r>
          </w:p>
        </w:tc>
        <w:tc>
          <w:tcPr>
            <w:tcW w:w="123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产出数量</w:t>
            </w:r>
          </w:p>
        </w:tc>
        <w:tc>
          <w:tcPr>
            <w:tcW w:w="3195"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年度救助任务完成情况</w:t>
            </w:r>
          </w:p>
        </w:tc>
        <w:tc>
          <w:tcPr>
            <w:tcW w:w="141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10</w:t>
            </w:r>
          </w:p>
        </w:tc>
        <w:tc>
          <w:tcPr>
            <w:tcW w:w="1191" w:type="dxa"/>
            <w:shd w:val="clear" w:color="auto" w:fill="auto"/>
            <w:vAlign w:val="center"/>
          </w:tcPr>
          <w:p>
            <w:pPr>
              <w:keepNext w:val="0"/>
              <w:keepLines w:val="0"/>
              <w:widowControl/>
              <w:suppressLineNumbers w:val="0"/>
              <w:jc w:val="center"/>
              <w:textAlignment w:val="center"/>
              <w:rPr>
                <w:rStyle w:val="22"/>
                <w:rFonts w:hint="default" w:ascii="Times New Roman" w:hAnsi="Times New Roman" w:eastAsia="仿宋" w:cs="Times New Roman"/>
                <w:b w:val="0"/>
                <w:bCs w:val="0"/>
                <w:sz w:val="21"/>
                <w:szCs w:val="21"/>
                <w:lang w:val="en-US" w:eastAsia="zh-CN" w:bidi="ar"/>
              </w:rPr>
            </w:pPr>
            <w:r>
              <w:rPr>
                <w:rStyle w:val="22"/>
                <w:rFonts w:hint="default" w:ascii="Times New Roman" w:hAnsi="Times New Roman" w:eastAsia="仿宋" w:cs="Times New Roman"/>
                <w:b w:val="0"/>
                <w:bCs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58"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30"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产出质量</w:t>
            </w:r>
          </w:p>
        </w:tc>
        <w:tc>
          <w:tcPr>
            <w:tcW w:w="3195"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重点救助对象住院救助比例</w:t>
            </w:r>
          </w:p>
        </w:tc>
        <w:tc>
          <w:tcPr>
            <w:tcW w:w="141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191" w:type="dxa"/>
            <w:shd w:val="clear" w:color="auto" w:fill="auto"/>
            <w:vAlign w:val="center"/>
          </w:tcPr>
          <w:p>
            <w:pPr>
              <w:keepNext w:val="0"/>
              <w:keepLines w:val="0"/>
              <w:widowControl/>
              <w:suppressLineNumbers w:val="0"/>
              <w:jc w:val="center"/>
              <w:textAlignment w:val="center"/>
              <w:rPr>
                <w:rStyle w:val="22"/>
                <w:rFonts w:hint="default" w:ascii="Times New Roman" w:hAnsi="Times New Roman" w:eastAsia="仿宋" w:cs="Times New Roman"/>
                <w:b w:val="0"/>
                <w:bCs w:val="0"/>
                <w:sz w:val="21"/>
                <w:szCs w:val="21"/>
                <w:lang w:val="en-US" w:eastAsia="zh-CN" w:bidi="ar"/>
              </w:rPr>
            </w:pPr>
            <w:r>
              <w:rPr>
                <w:rStyle w:val="22"/>
                <w:rFonts w:hint="default" w:ascii="Times New Roman" w:hAnsi="Times New Roman" w:eastAsia="仿宋" w:cs="Times New Roman"/>
                <w:b w:val="0"/>
                <w:bCs w:val="0"/>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7" w:hRule="atLeast"/>
        </w:trPr>
        <w:tc>
          <w:tcPr>
            <w:tcW w:w="1258"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30"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3195"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农村低收入人口参保资助覆盖率</w:t>
            </w:r>
          </w:p>
        </w:tc>
        <w:tc>
          <w:tcPr>
            <w:tcW w:w="141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191" w:type="dxa"/>
            <w:shd w:val="clear" w:color="auto" w:fill="auto"/>
            <w:vAlign w:val="center"/>
          </w:tcPr>
          <w:p>
            <w:pPr>
              <w:keepNext w:val="0"/>
              <w:keepLines w:val="0"/>
              <w:widowControl/>
              <w:suppressLineNumbers w:val="0"/>
              <w:jc w:val="center"/>
              <w:textAlignment w:val="center"/>
              <w:rPr>
                <w:rStyle w:val="22"/>
                <w:rFonts w:hint="default" w:ascii="Times New Roman" w:hAnsi="Times New Roman" w:eastAsia="仿宋" w:cs="Times New Roman"/>
                <w:b w:val="0"/>
                <w:bCs w:val="0"/>
                <w:sz w:val="21"/>
                <w:szCs w:val="21"/>
                <w:lang w:val="en-US" w:eastAsia="zh-CN" w:bidi="ar"/>
              </w:rPr>
            </w:pPr>
            <w:r>
              <w:rPr>
                <w:rStyle w:val="22"/>
                <w:rFonts w:hint="default" w:ascii="Times New Roman" w:hAnsi="Times New Roman" w:eastAsia="仿宋" w:cs="Times New Roman"/>
                <w:b w:val="0"/>
                <w:bCs w:val="0"/>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258"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30"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产出时效</w:t>
            </w:r>
          </w:p>
        </w:tc>
        <w:tc>
          <w:tcPr>
            <w:tcW w:w="3195" w:type="dxa"/>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医疗救助及时性</w:t>
            </w:r>
          </w:p>
        </w:tc>
        <w:tc>
          <w:tcPr>
            <w:tcW w:w="1415" w:type="dxa"/>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10</w:t>
            </w:r>
          </w:p>
        </w:tc>
        <w:tc>
          <w:tcPr>
            <w:tcW w:w="1191" w:type="dxa"/>
            <w:shd w:val="clear" w:color="auto" w:fill="auto"/>
            <w:vAlign w:val="center"/>
          </w:tcPr>
          <w:p>
            <w:pPr>
              <w:keepNext w:val="0"/>
              <w:keepLines w:val="0"/>
              <w:widowControl/>
              <w:suppressLineNumbers w:val="0"/>
              <w:jc w:val="center"/>
              <w:textAlignment w:val="center"/>
              <w:rPr>
                <w:rStyle w:val="22"/>
                <w:rFonts w:hint="default" w:ascii="Times New Roman" w:hAnsi="Times New Roman" w:eastAsia="仿宋" w:cs="Times New Roman"/>
                <w:b w:val="0"/>
                <w:bCs w:val="0"/>
                <w:sz w:val="21"/>
                <w:szCs w:val="21"/>
                <w:lang w:val="en-US" w:eastAsia="zh-CN" w:bidi="ar"/>
              </w:rPr>
            </w:pPr>
            <w:r>
              <w:rPr>
                <w:rStyle w:val="22"/>
                <w:rFonts w:hint="default" w:ascii="Times New Roman" w:hAnsi="Times New Roman" w:eastAsia="仿宋" w:cs="Times New Roman"/>
                <w:b w:val="0"/>
                <w:bCs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5683" w:type="dxa"/>
            <w:gridSpan w:val="3"/>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1415" w:type="dxa"/>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1191" w:type="dxa"/>
            <w:shd w:val="clear" w:color="auto" w:fill="auto"/>
            <w:vAlign w:val="center"/>
          </w:tcPr>
          <w:p>
            <w:pPr>
              <w:keepNext w:val="0"/>
              <w:keepLines w:val="0"/>
              <w:widowControl/>
              <w:suppressLineNumbers w:val="0"/>
              <w:jc w:val="center"/>
              <w:textAlignment w:val="center"/>
              <w:rPr>
                <w:rStyle w:val="22"/>
                <w:rFonts w:hint="default" w:ascii="仿宋" w:hAnsi="仿宋" w:eastAsia="仿宋" w:cs="仿宋"/>
                <w:sz w:val="21"/>
                <w:szCs w:val="21"/>
                <w:lang w:val="en-US" w:eastAsia="zh-CN" w:bidi="ar"/>
              </w:rPr>
            </w:pPr>
            <w:r>
              <w:rPr>
                <w:rStyle w:val="22"/>
                <w:rFonts w:hint="eastAsia" w:ascii="仿宋" w:hAnsi="仿宋" w:eastAsia="仿宋" w:cs="仿宋"/>
                <w:sz w:val="21"/>
                <w:szCs w:val="21"/>
                <w:lang w:val="en-US" w:eastAsia="zh-CN" w:bidi="ar"/>
              </w:rPr>
              <w:t>30</w:t>
            </w:r>
          </w:p>
        </w:tc>
      </w:tr>
    </w:tbl>
    <w:p>
      <w:pPr>
        <w:pStyle w:val="3"/>
        <w:numPr>
          <w:ilvl w:val="-1"/>
          <w:numId w:val="0"/>
        </w:numPr>
        <w:bidi w:val="0"/>
        <w:ind w:left="420" w:leftChars="0" w:firstLine="0" w:firstLineChars="0"/>
        <w:rPr>
          <w:rFonts w:hint="eastAsia" w:ascii="楷体_GB2312" w:hAnsi="楷体_GB2312" w:eastAsia="楷体_GB2312" w:cs="楷体_GB2312"/>
          <w:lang w:val="en-US" w:eastAsia="zh-CN"/>
        </w:rPr>
      </w:pPr>
      <w:bookmarkStart w:id="89" w:name="_Toc12484"/>
      <w:bookmarkStart w:id="90" w:name="_Toc31173"/>
      <w:r>
        <w:rPr>
          <w:rFonts w:hint="eastAsia" w:ascii="楷体_GB2312" w:hAnsi="楷体_GB2312" w:eastAsia="楷体_GB2312" w:cs="楷体_GB2312"/>
          <w:lang w:val="en-US" w:eastAsia="zh-CN"/>
        </w:rPr>
        <w:t>（四）效益绩效分析</w:t>
      </w:r>
      <w:bookmarkEnd w:id="89"/>
      <w:bookmarkEnd w:id="90"/>
    </w:p>
    <w:p>
      <w:pPr>
        <w:adjustRightInd w:val="0"/>
        <w:snapToGrid w:val="0"/>
        <w:spacing w:line="600" w:lineRule="exact"/>
        <w:ind w:firstLine="640" w:firstLineChars="200"/>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社会效益方面：</w:t>
      </w:r>
      <w:r>
        <w:rPr>
          <w:rFonts w:hint="default" w:ascii="Times New Roman" w:hAnsi="Times New Roman" w:eastAsia="仿宋_GB2312" w:cs="Times New Roman"/>
          <w:sz w:val="32"/>
          <w:szCs w:val="32"/>
          <w:highlight w:val="none"/>
          <w:lang w:val="en-US" w:eastAsia="zh-CN"/>
        </w:rPr>
        <w:t>对比2020-2022年区医保局统计数据，2022年度岳阳楼区参保资助人数略有下降，门诊救助、住院救助人次显著增加，整体保障扩面效应明显。在减轻医疗负担方面，</w:t>
      </w:r>
      <w:r>
        <w:rPr>
          <w:rFonts w:hint="default" w:ascii="Times New Roman" w:hAnsi="Times New Roman" w:eastAsia="仿宋_GB2312" w:cs="Times New Roman"/>
          <w:i w:val="0"/>
          <w:iCs w:val="0"/>
          <w:color w:val="auto"/>
          <w:kern w:val="2"/>
          <w:sz w:val="32"/>
          <w:szCs w:val="32"/>
          <w:highlight w:val="none"/>
          <w:u w:val="none"/>
          <w:lang w:val="en-US" w:eastAsia="zh-CN" w:bidi="ar"/>
        </w:rPr>
        <w:t>困难群众医疗费用负担有效缓解</w:t>
      </w:r>
      <w:r>
        <w:rPr>
          <w:rFonts w:hint="default" w:eastAsia="仿宋_GB2312" w:cs="Times New Roman"/>
          <w:sz w:val="32"/>
          <w:szCs w:val="32"/>
          <w:highlight w:val="none"/>
          <w:lang w:val="en-US" w:eastAsia="zh-CN"/>
        </w:rPr>
        <w:t>。</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满意度方面：面向岳阳楼区居民发放调查问卷，居民对医疗救助政策知晓率不高，仅为76.61%，</w:t>
      </w:r>
      <w:r>
        <w:rPr>
          <w:rFonts w:hint="eastAsia" w:eastAsia="仿宋_GB2312" w:cs="Times New Roman"/>
          <w:sz w:val="32"/>
          <w:szCs w:val="32"/>
          <w:lang w:val="en-US" w:eastAsia="zh-CN"/>
        </w:rPr>
        <w:t>扣1分，</w:t>
      </w:r>
      <w:r>
        <w:rPr>
          <w:rFonts w:hint="default" w:ascii="Times New Roman" w:hAnsi="Times New Roman" w:eastAsia="仿宋_GB2312" w:cs="Times New Roman"/>
          <w:sz w:val="32"/>
          <w:szCs w:val="32"/>
          <w:lang w:val="en-US" w:eastAsia="zh-CN"/>
        </w:rPr>
        <w:t>缓解医疗费用负担、申请便利程度等方面满意度为85.74%，根据评分标准，2项指标各扣1分。</w:t>
      </w:r>
    </w:p>
    <w:p>
      <w:pPr>
        <w:pStyle w:val="6"/>
        <w:adjustRightInd w:val="0"/>
        <w:snapToGrid w:val="0"/>
        <w:spacing w:line="600" w:lineRule="exact"/>
        <w:ind w:firstLine="643" w:firstLineChars="200"/>
        <w:jc w:val="center"/>
        <w:rPr>
          <w:rFonts w:hint="default" w:eastAsia="仿宋_GB2312" w:cs="Times New Roman"/>
          <w:sz w:val="32"/>
          <w:szCs w:val="32"/>
          <w:lang w:val="en-US" w:eastAsia="zh-CN"/>
        </w:rPr>
      </w:pPr>
      <w:r>
        <w:rPr>
          <w:rFonts w:hint="eastAsia" w:ascii="Times New Roman" w:hAnsi="Times New Roman" w:eastAsia="仿宋" w:cs="Times New Roman"/>
          <w:b/>
          <w:bCs/>
          <w:color w:val="auto"/>
          <w:kern w:val="2"/>
          <w:sz w:val="32"/>
          <w:szCs w:val="32"/>
          <w:lang w:val="en-US" w:eastAsia="zh-CN" w:bidi="ar-SA"/>
        </w:rPr>
        <w:t>效益指标得分表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1290"/>
        <w:gridCol w:w="2645"/>
        <w:gridCol w:w="162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二级指标</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标准分值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22"/>
                <w:rFonts w:hint="eastAsia" w:ascii="仿宋" w:hAnsi="仿宋" w:eastAsia="仿宋" w:cs="仿宋"/>
                <w:sz w:val="24"/>
                <w:szCs w:val="24"/>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11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eastAsia="仿宋" w:cs="Times New Roman"/>
                <w:i w:val="0"/>
                <w:iCs w:val="0"/>
                <w:color w:val="auto"/>
                <w:kern w:val="0"/>
                <w:sz w:val="21"/>
                <w:szCs w:val="21"/>
                <w:u w:val="none"/>
                <w:lang w:val="en-US" w:eastAsia="zh-CN" w:bidi="ar"/>
              </w:rPr>
              <w:t>效益</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imes New Roman" w:hAnsi="Times New Roman" w:eastAsia="仿宋" w:cs="Times New Roman"/>
                <w:i w:val="0"/>
                <w:iCs w:val="0"/>
                <w:color w:val="auto"/>
                <w:sz w:val="21"/>
                <w:szCs w:val="21"/>
                <w:u w:val="none"/>
                <w:lang w:val="en-US"/>
              </w:rPr>
            </w:pPr>
            <w:r>
              <w:rPr>
                <w:rFonts w:hint="eastAsia" w:eastAsia="仿宋" w:cs="Times New Roman"/>
                <w:i w:val="0"/>
                <w:iCs w:val="0"/>
                <w:color w:val="auto"/>
                <w:kern w:val="0"/>
                <w:sz w:val="21"/>
                <w:szCs w:val="21"/>
                <w:u w:val="none"/>
                <w:lang w:val="en-US" w:eastAsia="zh-CN" w:bidi="ar"/>
              </w:rPr>
              <w:t>社会效益</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医疗救助对象覆盖范围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sz w:val="21"/>
                <w:szCs w:val="21"/>
                <w:u w:val="none"/>
              </w:rPr>
            </w:pPr>
            <w:r>
              <w:rPr>
                <w:rFonts w:hint="eastAsia" w:eastAsia="仿宋" w:cs="Times New Roman"/>
                <w:b w:val="0"/>
                <w:bCs w:val="0"/>
                <w:i w:val="0"/>
                <w:iCs w:val="0"/>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减轻医疗负担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96"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r>
              <w:rPr>
                <w:rFonts w:hint="eastAsia" w:eastAsia="仿宋" w:cs="Times New Roman"/>
                <w:color w:val="auto"/>
                <w:sz w:val="21"/>
                <w:szCs w:val="21"/>
                <w:lang w:val="en-US" w:eastAsia="zh-CN"/>
              </w:rPr>
              <w:t>满意度</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政策知晓度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11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auto"/>
                <w:sz w:val="21"/>
                <w:szCs w:val="21"/>
                <w:u w:val="none"/>
              </w:rPr>
            </w:pP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color w:val="auto"/>
                <w:sz w:val="21"/>
                <w:szCs w:val="21"/>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公众满意度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5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1"/>
                <w:szCs w:val="21"/>
                <w:u w:val="none"/>
                <w:lang w:val="en-US" w:eastAsia="zh-CN" w:bidi="ar"/>
              </w:rPr>
            </w:pPr>
            <w:r>
              <w:rPr>
                <w:rFonts w:hint="default" w:ascii="Times New Roman" w:hAnsi="Times New Roman" w:eastAsia="仿宋" w:cs="Times New Roman"/>
                <w:b/>
                <w:bCs/>
                <w:i w:val="0"/>
                <w:iCs w:val="0"/>
                <w:color w:val="auto"/>
                <w:kern w:val="0"/>
                <w:sz w:val="21"/>
                <w:szCs w:val="21"/>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eastAsia" w:eastAsia="仿宋" w:cs="Times New Roman"/>
                <w:b w:val="0"/>
                <w:bCs w:val="0"/>
                <w:i w:val="0"/>
                <w:iCs w:val="0"/>
                <w:color w:val="auto"/>
                <w:kern w:val="0"/>
                <w:sz w:val="21"/>
                <w:szCs w:val="21"/>
                <w:u w:val="none"/>
                <w:lang w:val="en-US" w:eastAsia="zh-CN" w:bidi="ar"/>
              </w:rPr>
              <w:t>22</w:t>
            </w:r>
          </w:p>
        </w:tc>
      </w:tr>
    </w:tbl>
    <w:p>
      <w:pPr>
        <w:pStyle w:val="2"/>
        <w:bidi w:val="0"/>
        <w:rPr>
          <w:rFonts w:hint="eastAsia"/>
          <w:lang w:val="en-US" w:eastAsia="zh-CN"/>
        </w:rPr>
      </w:pPr>
      <w:bookmarkStart w:id="91" w:name="_Toc5016"/>
      <w:bookmarkStart w:id="92" w:name="_Toc22924"/>
      <w:r>
        <w:rPr>
          <w:rFonts w:hint="eastAsia"/>
          <w:lang w:val="en-US" w:eastAsia="zh-CN"/>
        </w:rPr>
        <w:t>六、主要成绩与经验</w:t>
      </w:r>
      <w:bookmarkEnd w:id="91"/>
      <w:bookmarkEnd w:id="92"/>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sz w:val="32"/>
          <w:szCs w:val="24"/>
          <w:highlight w:val="none"/>
          <w:lang w:val="en-US" w:eastAsia="zh-CN"/>
        </w:rPr>
      </w:pPr>
      <w:bookmarkStart w:id="93" w:name="_Toc10274"/>
      <w:bookmarkStart w:id="94" w:name="_Toc23983"/>
      <w:r>
        <w:rPr>
          <w:rFonts w:hint="eastAsia" w:ascii="楷体_GB2312" w:hAnsi="楷体_GB2312" w:eastAsia="楷体_GB2312" w:cs="楷体_GB2312"/>
          <w:sz w:val="32"/>
          <w:szCs w:val="24"/>
          <w:highlight w:val="none"/>
          <w:lang w:val="en-US" w:eastAsia="zh-CN"/>
        </w:rPr>
        <w:t>（一）年度任务目标基本实现</w:t>
      </w:r>
      <w:bookmarkEnd w:id="93"/>
    </w:p>
    <w:p>
      <w:pPr>
        <w:adjustRightInd w:val="0"/>
        <w:snapToGrid w:val="0"/>
        <w:spacing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2022年计划符合救助条件的对象按规定纳入救助范围，实际均纳入救助范围，重点救助对象政策范围内个人自付费用年度限额内住院救助比例≥82%，符合资助条件的农村低收入人口资助参保政策覆盖率100%，均达到甚至超过预期目标。</w:t>
      </w:r>
    </w:p>
    <w:p>
      <w:pPr>
        <w:pStyle w:val="3"/>
        <w:numPr>
          <w:ilvl w:val="0"/>
          <w:numId w:val="0"/>
        </w:numPr>
        <w:adjustRightInd w:val="0"/>
        <w:snapToGrid w:val="0"/>
        <w:spacing w:line="240" w:lineRule="auto"/>
        <w:ind w:firstLine="643" w:firstLineChars="200"/>
        <w:rPr>
          <w:rFonts w:hint="eastAsia" w:ascii="楷体_GB2312" w:hAnsi="楷体_GB2312" w:eastAsia="楷体_GB2312" w:cs="楷体_GB2312"/>
          <w:sz w:val="32"/>
          <w:szCs w:val="24"/>
          <w:highlight w:val="none"/>
          <w:lang w:val="en-US" w:eastAsia="zh-CN"/>
        </w:rPr>
      </w:pPr>
      <w:bookmarkStart w:id="95" w:name="_Toc29582"/>
      <w:r>
        <w:rPr>
          <w:rFonts w:hint="eastAsia" w:ascii="楷体_GB2312" w:hAnsi="楷体_GB2312" w:eastAsia="楷体_GB2312" w:cs="楷体_GB2312"/>
          <w:sz w:val="32"/>
          <w:szCs w:val="24"/>
          <w:highlight w:val="none"/>
          <w:lang w:val="en-US" w:eastAsia="zh-CN"/>
        </w:rPr>
        <w:t>（二）政策兑现效益明显</w:t>
      </w:r>
      <w:bookmarkEnd w:id="95"/>
    </w:p>
    <w:p>
      <w:pPr>
        <w:adjustRightInd w:val="0"/>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对比2020-2022年区医保局统计数据，2022年度岳阳楼区参保资助人数略有下降，门诊救助、住院救助人次显著增加，整体保障扩面效应明显。在减轻医疗负担方面，</w:t>
      </w:r>
      <w:r>
        <w:rPr>
          <w:rFonts w:hint="default" w:ascii="Times New Roman" w:hAnsi="Times New Roman" w:eastAsia="仿宋_GB2312" w:cs="Times New Roman"/>
          <w:i w:val="0"/>
          <w:iCs w:val="0"/>
          <w:kern w:val="2"/>
          <w:sz w:val="32"/>
          <w:szCs w:val="32"/>
          <w:highlight w:val="none"/>
          <w:u w:val="none"/>
          <w:lang w:val="en-US" w:eastAsia="zh-CN" w:bidi="ar"/>
        </w:rPr>
        <w:t>困难群众医疗费用负担有效缓解，有效发挥了医疗救助资金对特定群体的兜底保障功能</w:t>
      </w:r>
      <w:r>
        <w:rPr>
          <w:rFonts w:hint="default" w:ascii="Times New Roman" w:hAnsi="Times New Roman" w:eastAsia="仿宋_GB2312" w:cs="Times New Roman"/>
          <w:sz w:val="32"/>
          <w:szCs w:val="32"/>
          <w:highlight w:val="none"/>
          <w:lang w:val="en-US" w:eastAsia="zh-CN"/>
        </w:rPr>
        <w:t>。</w:t>
      </w:r>
    </w:p>
    <w:p>
      <w:pPr>
        <w:pStyle w:val="3"/>
        <w:numPr>
          <w:ilvl w:val="0"/>
          <w:numId w:val="0"/>
        </w:numPr>
        <w:adjustRightInd w:val="0"/>
        <w:snapToGrid w:val="0"/>
        <w:spacing w:line="240" w:lineRule="auto"/>
        <w:ind w:firstLine="643" w:firstLineChars="200"/>
        <w:rPr>
          <w:rFonts w:hint="eastAsia" w:ascii="楷体_GB2312" w:hAnsi="楷体_GB2312" w:eastAsia="楷体_GB2312" w:cs="楷体_GB2312"/>
          <w:sz w:val="32"/>
          <w:szCs w:val="24"/>
          <w:highlight w:val="none"/>
          <w:lang w:val="en-US" w:eastAsia="zh-CN"/>
        </w:rPr>
      </w:pPr>
      <w:bookmarkStart w:id="96" w:name="_Toc10482"/>
      <w:r>
        <w:rPr>
          <w:rFonts w:hint="eastAsia" w:ascii="楷体_GB2312" w:hAnsi="楷体_GB2312" w:eastAsia="楷体_GB2312" w:cs="楷体_GB2312"/>
          <w:sz w:val="32"/>
          <w:szCs w:val="24"/>
          <w:highlight w:val="none"/>
          <w:lang w:val="en-US" w:eastAsia="zh-CN"/>
        </w:rPr>
        <w:t>（三）简化流程便利群众</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人工追补，简化材料</w:t>
      </w:r>
      <w:bookmarkEnd w:id="94"/>
      <w:r>
        <w:rPr>
          <w:rFonts w:hint="default" w:ascii="Times New Roman" w:hAnsi="Times New Roman" w:eastAsia="仿宋_GB2312" w:cs="Times New Roman"/>
          <w:sz w:val="32"/>
          <w:szCs w:val="32"/>
          <w:lang w:val="en-US" w:eastAsia="zh-CN"/>
        </w:rPr>
        <w:t>，便利群众。根据目前相关政策，一、二类救助对象可以享受“一站式”医疗救助服务，即一、二类救助对象享受定点医疗机构的先诊疗后付费服务（诊疗结束后，救助资金由医保局与定点医疗机构进行结算）。由于医保系统设置原因，部分二类救助对象参加其它医疗保险后，该救助对象无法继续享受“一站式”医疗救助服务。为不影响这部分困难群众就医，岳阳楼区医保局通过手工追补方式，每个月定期排查追补。若出现应补未补情况，及时通知社区工作人员进行核对，核对无误后，为追补人员开启绿色通道，简化申请材料，仅要求提供身份证、社会保障卡、病史证明和医院费用结算单材料，便利追补人员及时享受医疗救助服务。</w:t>
      </w:r>
    </w:p>
    <w:p>
      <w:pPr>
        <w:pStyle w:val="2"/>
        <w:numPr>
          <w:ilvl w:val="0"/>
          <w:numId w:val="0"/>
        </w:numPr>
        <w:bidi w:val="0"/>
        <w:spacing w:beforeLines="0" w:afterLines="0"/>
        <w:ind w:firstLine="643" w:firstLineChars="200"/>
      </w:pPr>
      <w:bookmarkStart w:id="97" w:name="_Toc19007"/>
      <w:bookmarkStart w:id="98" w:name="_Toc5474"/>
      <w:r>
        <w:rPr>
          <w:rFonts w:hint="eastAsia" w:cs="Times New Roman"/>
          <w:b/>
          <w:kern w:val="44"/>
          <w:sz w:val="32"/>
          <w:szCs w:val="24"/>
          <w:lang w:val="en-US" w:eastAsia="zh-CN" w:bidi="ar-SA"/>
        </w:rPr>
        <w:t>七</w:t>
      </w:r>
      <w:r>
        <w:rPr>
          <w:rFonts w:hint="eastAsia" w:ascii="Times New Roman" w:hAnsi="Times New Roman" w:eastAsia="黑体" w:cs="Times New Roman"/>
          <w:b/>
          <w:kern w:val="44"/>
          <w:sz w:val="32"/>
          <w:szCs w:val="24"/>
          <w:lang w:val="en-US" w:eastAsia="zh-CN" w:bidi="ar-SA"/>
        </w:rPr>
        <w:t>、</w:t>
      </w:r>
      <w:r>
        <w:t>存在的问题及原因分析</w:t>
      </w:r>
      <w:bookmarkEnd w:id="97"/>
      <w:bookmarkEnd w:id="98"/>
    </w:p>
    <w:p>
      <w:pPr>
        <w:pStyle w:val="3"/>
        <w:numPr>
          <w:ilvl w:val="0"/>
          <w:numId w:val="0"/>
        </w:numPr>
        <w:bidi w:val="0"/>
        <w:ind w:left="0" w:leftChars="0" w:firstLine="643" w:firstLineChars="200"/>
        <w:rPr>
          <w:rFonts w:hint="eastAsia" w:ascii="楷体_GB2312" w:hAnsi="楷体_GB2312" w:eastAsia="楷体_GB2312" w:cs="楷体_GB2312"/>
          <w:highlight w:val="none"/>
          <w:lang w:val="en-US" w:eastAsia="zh-CN"/>
        </w:rPr>
      </w:pPr>
      <w:bookmarkStart w:id="99" w:name="_Toc31184"/>
      <w:bookmarkStart w:id="100" w:name="_Toc18587"/>
      <w:r>
        <w:rPr>
          <w:rFonts w:hint="eastAsia" w:ascii="楷体_GB2312" w:hAnsi="楷体_GB2312" w:eastAsia="楷体_GB2312" w:cs="楷体_GB2312"/>
          <w:highlight w:val="none"/>
          <w:lang w:val="en-US" w:eastAsia="zh-CN"/>
        </w:rPr>
        <w:t>（一）</w:t>
      </w:r>
      <w:bookmarkEnd w:id="99"/>
      <w:r>
        <w:rPr>
          <w:rFonts w:hint="eastAsia" w:ascii="楷体_GB2312" w:hAnsi="楷体_GB2312" w:eastAsia="楷体_GB2312" w:cs="楷体_GB2312"/>
          <w:highlight w:val="none"/>
          <w:lang w:val="en-US" w:eastAsia="zh-CN"/>
        </w:rPr>
        <w:t>预算与绩效目标精准性有待加强</w:t>
      </w:r>
      <w:bookmarkEnd w:id="100"/>
    </w:p>
    <w:p>
      <w:pPr>
        <w:adjustRightInd w:val="0"/>
        <w:snapToGrid w:val="0"/>
        <w:spacing w:beforeLines="0" w:afterLines="0" w:line="600" w:lineRule="exact"/>
        <w:ind w:firstLine="640" w:firstLineChars="200"/>
        <w:rPr>
          <w:rFonts w:hint="eastAsia" w:eastAsia="仿宋_GB2312" w:cs="Times New Roman"/>
          <w:sz w:val="32"/>
          <w:szCs w:val="32"/>
          <w:lang w:val="en-US" w:eastAsia="zh-CN"/>
        </w:rPr>
      </w:pPr>
      <w:r>
        <w:rPr>
          <w:rFonts w:hint="eastAsia" w:ascii="仿宋_GB2312" w:hAnsi="仿宋_GB2312" w:eastAsia="仿宋_GB2312" w:cs="仿宋_GB2312"/>
          <w:sz w:val="32"/>
          <w:szCs w:val="32"/>
          <w:lang w:val="en-US" w:eastAsia="zh-CN"/>
        </w:rPr>
        <w:t>根据救助对象规模、救助标准、医药费增长等因素测算医疗救助资金需求，编制年度资金预算；但因救助对象动态变化，存在预算与执行不匹配的情况。同时年度绩效目标较单一，不能完全体现年度任务，以及对应的资金需求。</w:t>
      </w:r>
    </w:p>
    <w:p>
      <w:pPr>
        <w:adjustRightInd w:val="0"/>
        <w:snapToGrid w:val="0"/>
        <w:spacing w:beforeLines="0" w:afterLines="0" w:line="600" w:lineRule="exact"/>
        <w:ind w:firstLine="643" w:firstLineChars="200"/>
        <w:outlineLvl w:val="1"/>
        <w:rPr>
          <w:rFonts w:hint="eastAsia" w:eastAsia="仿宋_GB2312" w:cs="Times New Roman"/>
          <w:b/>
          <w:sz w:val="32"/>
          <w:szCs w:val="24"/>
          <w:highlight w:val="none"/>
          <w:lang w:val="en-US" w:eastAsia="zh-CN"/>
        </w:rPr>
      </w:pPr>
      <w:bookmarkStart w:id="101" w:name="_Toc29361"/>
      <w:r>
        <w:rPr>
          <w:rFonts w:hint="eastAsia" w:ascii="楷体_GB2312" w:hAnsi="楷体_GB2312" w:eastAsia="楷体_GB2312" w:cs="楷体_GB2312"/>
          <w:b/>
          <w:sz w:val="32"/>
          <w:szCs w:val="24"/>
          <w:highlight w:val="none"/>
          <w:lang w:val="en-US" w:eastAsia="zh-CN"/>
        </w:rPr>
        <w:t>（二）资金审批流程存在瑕疵</w:t>
      </w:r>
      <w:bookmarkEnd w:id="101"/>
    </w:p>
    <w:p>
      <w:pPr>
        <w:adjustRightInd w:val="0"/>
        <w:snapToGrid w:val="0"/>
        <w:spacing w:beforeLines="0" w:afterLines="0"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存在已完成审批，后补交资料情况。例如胡迎（救助资金1598.11元）、陈士库（救助资金3529.98元）和廖珍华（救助资金3306.37元），三笔资金申请均为2022年10月21日。然而，申请审批表显示：上述三笔已于2022年10月14日已完成审批。另一方面，三类救助对象部分申请单的签字不完整，缺少医保局主要领导签字。</w:t>
      </w:r>
    </w:p>
    <w:p>
      <w:pPr>
        <w:numPr>
          <w:ilvl w:val="0"/>
          <w:numId w:val="0"/>
        </w:numPr>
        <w:bidi w:val="0"/>
        <w:adjustRightInd w:val="0"/>
        <w:snapToGrid w:val="0"/>
        <w:spacing w:beforeLines="0" w:afterLines="0" w:line="600" w:lineRule="exact"/>
        <w:ind w:left="420" w:leftChars="200" w:firstLine="420" w:firstLineChars="0"/>
        <w:outlineLvl w:val="1"/>
        <w:rPr>
          <w:rFonts w:hint="default" w:eastAsia="仿宋_GB2312"/>
          <w:b/>
          <w:sz w:val="32"/>
          <w:highlight w:val="none"/>
          <w:lang w:val="en-US" w:eastAsia="zh-CN"/>
        </w:rPr>
      </w:pPr>
      <w:bookmarkStart w:id="102" w:name="_Toc24867"/>
      <w:r>
        <w:rPr>
          <w:rFonts w:hint="eastAsia" w:ascii="楷体_GB2312" w:hAnsi="楷体_GB2312" w:eastAsia="楷体_GB2312" w:cs="楷体_GB2312"/>
          <w:b/>
          <w:sz w:val="32"/>
          <w:highlight w:val="none"/>
          <w:lang w:val="en-US" w:eastAsia="zh-CN"/>
        </w:rPr>
        <w:t>（三）群众获得感仍需提升</w:t>
      </w:r>
      <w:bookmarkEnd w:id="102"/>
    </w:p>
    <w:p>
      <w:pPr>
        <w:adjustRightInd w:val="0"/>
        <w:snapToGrid w:val="0"/>
        <w:spacing w:beforeLines="0" w:afterLines="0" w:line="600" w:lineRule="exact"/>
        <w:ind w:firstLine="640" w:firstLineChars="20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根据问卷调查分析，居民对医疗救助政策知晓率不高，仅为76.61%，对缓解医疗费用负担、申请便利程度等方面满意度为85.74%</w:t>
      </w:r>
      <w:r>
        <w:rPr>
          <w:rFonts w:hint="default" w:eastAsia="仿宋_GB2312"/>
          <w:sz w:val="32"/>
          <w:szCs w:val="32"/>
          <w:lang w:eastAsia="zh-CN"/>
        </w:rPr>
        <w:t>。</w:t>
      </w:r>
      <w:r>
        <w:rPr>
          <w:rFonts w:hint="default" w:ascii="Times New Roman" w:hAnsi="Times New Roman" w:eastAsia="仿宋_GB2312" w:cs="Times New Roman"/>
          <w:sz w:val="32"/>
          <w:szCs w:val="32"/>
          <w:lang w:val="en-US" w:eastAsia="zh-CN"/>
        </w:rPr>
        <w:t>符合救助条件的群众很少主动关注公开公示信息，导致政策知晓度较低，此外特困群体对信息化平台操作的熟悉程度也会影响对政策的满意度</w:t>
      </w:r>
      <w:r>
        <w:rPr>
          <w:rFonts w:hint="default" w:eastAsia="仿宋_GB2312"/>
          <w:sz w:val="32"/>
          <w:szCs w:val="32"/>
          <w:lang w:val="en-US" w:eastAsia="zh-CN"/>
        </w:rPr>
        <w:t>。</w:t>
      </w:r>
    </w:p>
    <w:p>
      <w:pPr>
        <w:pStyle w:val="2"/>
        <w:bidi w:val="0"/>
        <w:spacing w:beforeLines="0" w:afterLines="0"/>
        <w:ind w:firstLine="643"/>
      </w:pPr>
      <w:bookmarkStart w:id="103" w:name="_Toc31520"/>
      <w:bookmarkStart w:id="104" w:name="_Toc24960"/>
      <w:r>
        <w:rPr>
          <w:rFonts w:hint="eastAsia"/>
          <w:lang w:val="en-US" w:eastAsia="zh-CN"/>
        </w:rPr>
        <w:t>八</w:t>
      </w:r>
      <w:r>
        <w:t>、有关建议</w:t>
      </w:r>
      <w:bookmarkEnd w:id="103"/>
      <w:bookmarkEnd w:id="104"/>
    </w:p>
    <w:p>
      <w:pPr>
        <w:pStyle w:val="3"/>
        <w:numPr>
          <w:ilvl w:val="0"/>
          <w:numId w:val="0"/>
        </w:numPr>
        <w:bidi w:val="0"/>
        <w:spacing w:line="600" w:lineRule="exact"/>
        <w:ind w:left="0" w:leftChars="0" w:firstLine="643" w:firstLineChars="200"/>
        <w:rPr>
          <w:rFonts w:hint="eastAsia" w:ascii="楷体_GB2312" w:hAnsi="楷体_GB2312" w:eastAsia="楷体_GB2312" w:cs="楷体_GB2312"/>
          <w:highlight w:val="none"/>
          <w:lang w:val="en-US" w:eastAsia="zh-CN"/>
        </w:rPr>
      </w:pPr>
      <w:bookmarkStart w:id="105" w:name="_Toc15069"/>
      <w:bookmarkStart w:id="106" w:name="_Toc22111"/>
      <w:r>
        <w:rPr>
          <w:rFonts w:hint="eastAsia" w:ascii="楷体_GB2312" w:hAnsi="楷体_GB2312" w:eastAsia="楷体_GB2312" w:cs="楷体_GB2312"/>
          <w:highlight w:val="none"/>
          <w:lang w:val="en-US" w:eastAsia="zh-CN"/>
        </w:rPr>
        <w:t>（一）提高预算与绩效目标编制精确性</w:t>
      </w:r>
      <w:bookmarkEnd w:id="105"/>
    </w:p>
    <w:p>
      <w:pPr>
        <w:adjustRightInd w:val="0"/>
        <w:snapToGrid w:val="0"/>
        <w:spacing w:beforeLines="0" w:afterLines="0" w:line="600" w:lineRule="exact"/>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建议根据三类人员监控信息数据，分别参保救助、住院救助、门诊救助等类别测算年度资金需求，结合专户滚动余额，更精准的预测资金需求，编制年度预算与绩效目标。</w:t>
      </w:r>
    </w:p>
    <w:bookmarkEnd w:id="106"/>
    <w:p>
      <w:pPr>
        <w:adjustRightInd w:val="0"/>
        <w:snapToGrid w:val="0"/>
        <w:spacing w:beforeLines="0" w:afterLines="0" w:line="600" w:lineRule="exact"/>
        <w:ind w:firstLine="643" w:firstLineChars="200"/>
        <w:outlineLvl w:val="1"/>
        <w:rPr>
          <w:rFonts w:hint="default" w:eastAsia="仿宋_GB2312"/>
          <w:b/>
          <w:sz w:val="32"/>
          <w:highlight w:val="none"/>
          <w:lang w:val="en-US" w:eastAsia="zh-CN"/>
        </w:rPr>
      </w:pPr>
      <w:bookmarkStart w:id="107" w:name="_Toc22905"/>
      <w:bookmarkStart w:id="108" w:name="_Toc15660"/>
      <w:r>
        <w:rPr>
          <w:rFonts w:hint="eastAsia" w:ascii="楷体_GB2312" w:hAnsi="楷体_GB2312" w:eastAsia="楷体_GB2312" w:cs="楷体_GB2312"/>
          <w:b/>
          <w:sz w:val="32"/>
          <w:highlight w:val="none"/>
          <w:lang w:eastAsia="zh-CN"/>
        </w:rPr>
        <w:t>（</w:t>
      </w:r>
      <w:r>
        <w:rPr>
          <w:rFonts w:hint="eastAsia" w:ascii="楷体_GB2312" w:hAnsi="楷体_GB2312" w:eastAsia="楷体_GB2312" w:cs="楷体_GB2312"/>
          <w:b/>
          <w:sz w:val="32"/>
          <w:highlight w:val="none"/>
          <w:lang w:val="en-US" w:eastAsia="zh-CN"/>
        </w:rPr>
        <w:t>二</w:t>
      </w:r>
      <w:r>
        <w:rPr>
          <w:rFonts w:hint="eastAsia" w:ascii="楷体_GB2312" w:hAnsi="楷体_GB2312" w:eastAsia="楷体_GB2312" w:cs="楷体_GB2312"/>
          <w:b/>
          <w:sz w:val="32"/>
          <w:highlight w:val="none"/>
          <w:lang w:eastAsia="zh-CN"/>
        </w:rPr>
        <w:t>）</w:t>
      </w:r>
      <w:r>
        <w:rPr>
          <w:rFonts w:hint="eastAsia" w:ascii="楷体_GB2312" w:hAnsi="楷体_GB2312" w:eastAsia="楷体_GB2312" w:cs="楷体_GB2312"/>
          <w:b/>
          <w:sz w:val="32"/>
          <w:highlight w:val="none"/>
          <w:lang w:val="en-US" w:eastAsia="zh-CN"/>
        </w:rPr>
        <w:t>规范资金审批流程</w:t>
      </w:r>
      <w:bookmarkEnd w:id="107"/>
    </w:p>
    <w:p>
      <w:pPr>
        <w:adjustRightInd w:val="0"/>
        <w:snapToGrid w:val="0"/>
        <w:spacing w:beforeLines="0" w:afterLines="0" w:line="600" w:lineRule="exact"/>
        <w:ind w:firstLine="640" w:firstLineChars="200"/>
        <w:rPr>
          <w:rFonts w:hint="eastAsia" w:ascii="Times New Roman" w:hAnsi="Times New Roman" w:eastAsia="仿宋_GB2312" w:cs="Times New Roman"/>
          <w:sz w:val="32"/>
          <w:szCs w:val="32"/>
          <w:lang w:val="en-US" w:eastAsia="zh-CN"/>
        </w:rPr>
      </w:pPr>
      <w:r>
        <w:rPr>
          <w:rFonts w:hint="eastAsia" w:eastAsia="仿宋_GB2312"/>
          <w:sz w:val="32"/>
          <w:szCs w:val="32"/>
          <w:lang w:val="en-US" w:eastAsia="zh-CN"/>
        </w:rPr>
        <w:t>严格执行资金拨付审签流程，缺少签字的支出自查补齐。同时，</w:t>
      </w:r>
      <w:r>
        <w:rPr>
          <w:rFonts w:hint="eastAsia" w:eastAsia="仿宋_GB2312" w:cs="Times New Roman"/>
          <w:sz w:val="32"/>
          <w:szCs w:val="32"/>
          <w:lang w:val="en-US" w:eastAsia="zh-CN"/>
        </w:rPr>
        <w:t>完善绿色通道制度，在合规性审批基础上，为困难群众开辟更加便利的绿色通道。</w:t>
      </w:r>
    </w:p>
    <w:bookmarkEnd w:id="108"/>
    <w:p>
      <w:pPr>
        <w:numPr>
          <w:ilvl w:val="0"/>
          <w:numId w:val="0"/>
        </w:numPr>
        <w:bidi w:val="0"/>
        <w:adjustRightInd w:val="0"/>
        <w:snapToGrid w:val="0"/>
        <w:spacing w:beforeLines="0" w:afterLines="0" w:line="600" w:lineRule="exact"/>
        <w:ind w:left="420" w:leftChars="200" w:firstLine="420" w:firstLineChars="0"/>
        <w:outlineLvl w:val="1"/>
        <w:rPr>
          <w:rFonts w:hint="eastAsia" w:ascii="楷体_GB2312" w:hAnsi="楷体_GB2312" w:eastAsia="楷体_GB2312" w:cs="楷体_GB2312"/>
          <w:b/>
          <w:bCs/>
          <w:sz w:val="32"/>
          <w:szCs w:val="32"/>
          <w:highlight w:val="none"/>
          <w:lang w:val="en-US" w:eastAsia="zh-CN"/>
        </w:rPr>
      </w:pPr>
      <w:bookmarkStart w:id="109" w:name="_Toc23354"/>
      <w:bookmarkStart w:id="110" w:name="_Toc3937"/>
    </w:p>
    <w:p>
      <w:pPr>
        <w:numPr>
          <w:ilvl w:val="0"/>
          <w:numId w:val="0"/>
        </w:numPr>
        <w:bidi w:val="0"/>
        <w:adjustRightInd w:val="0"/>
        <w:snapToGrid w:val="0"/>
        <w:spacing w:beforeLines="0" w:afterLines="0" w:line="600" w:lineRule="exact"/>
        <w:ind w:left="420" w:leftChars="200" w:firstLine="420" w:firstLineChars="0"/>
        <w:outlineLvl w:val="1"/>
        <w:rPr>
          <w:rFonts w:hint="eastAsia" w:eastAsia="仿宋_GB2312"/>
          <w:sz w:val="32"/>
          <w:szCs w:val="32"/>
          <w:lang w:val="en-US" w:eastAsia="zh-CN"/>
        </w:rPr>
      </w:pP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lang w:val="en-US" w:eastAsia="zh-CN"/>
        </w:rPr>
        <w:t>下沉提升基层服务效果</w:t>
      </w:r>
      <w:bookmarkEnd w:id="109"/>
      <w:bookmarkEnd w:id="110"/>
    </w:p>
    <w:p>
      <w:pPr>
        <w:numPr>
          <w:ilvl w:val="-1"/>
          <w:numId w:val="0"/>
        </w:numPr>
        <w:adjustRightInd w:val="0"/>
        <w:snapToGrid w:val="0"/>
        <w:spacing w:beforeLines="0" w:afterLines="0" w:line="600" w:lineRule="exact"/>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政策宣传、宣讲更下沉到基层，宣讲内容更加通俗易懂。通过社区网格员上门发送政策资料，解答疑问，提高政策宣传的有效性。进一步提高“一站式”即时结算覆盖率，为困难群众提供更多便利，提升群众对政策兑现的获得感。</w:t>
      </w:r>
    </w:p>
    <w:p>
      <w:pPr>
        <w:adjustRightInd w:val="0"/>
        <w:snapToGrid w:val="0"/>
        <w:spacing w:line="600" w:lineRule="exact"/>
        <w:ind w:firstLine="640" w:firstLineChars="200"/>
        <w:outlineLvl w:val="0"/>
        <w:rPr>
          <w:rFonts w:hint="eastAsia" w:eastAsia="黑体"/>
          <w:sz w:val="32"/>
          <w:szCs w:val="32"/>
          <w:lang w:eastAsia="zh-CN"/>
        </w:rPr>
      </w:pPr>
      <w:bookmarkStart w:id="111" w:name="_Toc25833"/>
      <w:bookmarkStart w:id="112" w:name="_Toc30434"/>
      <w:r>
        <w:rPr>
          <w:rFonts w:hint="eastAsia" w:eastAsia="黑体"/>
          <w:sz w:val="32"/>
          <w:szCs w:val="32"/>
          <w:lang w:val="en-US" w:eastAsia="zh-CN"/>
        </w:rPr>
        <w:t>九</w:t>
      </w:r>
      <w:r>
        <w:rPr>
          <w:rFonts w:eastAsia="黑体"/>
          <w:sz w:val="32"/>
          <w:szCs w:val="32"/>
        </w:rPr>
        <w:t>、</w:t>
      </w:r>
      <w:bookmarkEnd w:id="111"/>
      <w:r>
        <w:rPr>
          <w:rFonts w:hint="eastAsia" w:eastAsia="黑体"/>
          <w:sz w:val="32"/>
          <w:szCs w:val="32"/>
          <w:lang w:val="en-US" w:eastAsia="zh-CN"/>
        </w:rPr>
        <w:t>附件</w:t>
      </w:r>
      <w:bookmarkEnd w:id="112"/>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2022年岳阳楼区医疗保障局医疗救助资金绩效评价指标评分表</w:t>
      </w: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center"/>
        <w:textAlignment w:val="auto"/>
        <w:rPr>
          <w:rFonts w:hint="eastAsia" w:ascii="Times New Roman" w:hAnsi="Times New Roman" w:eastAsia="仿宋_GB2312" w:cs="Times New Roman"/>
          <w:kern w:val="2"/>
          <w:sz w:val="32"/>
          <w:szCs w:val="32"/>
          <w:lang w:val="en-US" w:eastAsia="zh-CN" w:bidi="zh-CN"/>
        </w:rPr>
      </w:pPr>
      <w:r>
        <w:rPr>
          <w:rFonts w:hint="eastAsia" w:eastAsia="仿宋_GB2312" w:cs="Times New Roman"/>
          <w:kern w:val="2"/>
          <w:sz w:val="32"/>
          <w:szCs w:val="32"/>
          <w:lang w:val="en-US" w:eastAsia="zh-CN" w:bidi="zh-CN"/>
        </w:rPr>
        <w:t xml:space="preserve">         </w:t>
      </w:r>
      <w:r>
        <w:rPr>
          <w:rFonts w:hint="eastAsia" w:ascii="Times New Roman" w:hAnsi="Times New Roman" w:eastAsia="仿宋_GB2312" w:cs="Times New Roman"/>
          <w:kern w:val="2"/>
          <w:sz w:val="32"/>
          <w:szCs w:val="32"/>
          <w:lang w:val="en-US" w:eastAsia="zh-CN" w:bidi="zh-CN"/>
        </w:rPr>
        <w:t>中政智信（北京）经济咨询有限公司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2147483648" w:line="600" w:lineRule="exact"/>
        <w:ind w:firstLine="640" w:firstLineChars="200"/>
        <w:jc w:val="center"/>
        <w:textAlignment w:val="auto"/>
        <w:rPr>
          <w:rFonts w:hint="eastAsia" w:ascii="Times New Roman" w:hAnsi="Times New Roman" w:eastAsia="仿宋_GB2312" w:cs="Times New Roman"/>
          <w:b w:val="0"/>
          <w:bCs w:val="0"/>
          <w:i w:val="0"/>
          <w:iCs w:val="0"/>
          <w:color w:val="auto"/>
          <w:spacing w:val="0"/>
          <w:kern w:val="2"/>
          <w:sz w:val="32"/>
          <w:szCs w:val="32"/>
          <w:lang w:val="en-US" w:eastAsia="zh-CN" w:bidi="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eastAsia="仿宋" w:cs="Times New Roman"/>
          <w:sz w:val="32"/>
          <w:szCs w:val="32"/>
          <w:lang w:val="en-US" w:bidi="zh-CN"/>
        </w:rPr>
        <w:t xml:space="preserve">       </w:t>
      </w:r>
      <w:r>
        <w:rPr>
          <w:rFonts w:hint="default" w:ascii="Times New Roman" w:hAnsi="Times New Roman" w:eastAsia="仿宋" w:cs="Times New Roman"/>
          <w:sz w:val="32"/>
          <w:szCs w:val="32"/>
          <w:lang w:bidi="zh-CN"/>
        </w:rPr>
        <w:t>2023</w:t>
      </w:r>
      <w:r>
        <w:rPr>
          <w:rFonts w:hint="default" w:ascii="Times New Roman" w:hAnsi="Times New Roman" w:eastAsia="仿宋_GB2312" w:cs="Times New Roman"/>
          <w:kern w:val="2"/>
          <w:sz w:val="32"/>
          <w:szCs w:val="32"/>
          <w:lang w:val="en-US" w:eastAsia="zh-CN" w:bidi="zh-CN"/>
        </w:rPr>
        <w:t>年</w:t>
      </w:r>
      <w:r>
        <w:rPr>
          <w:rFonts w:hint="default" w:ascii="Times New Roman" w:hAnsi="Times New Roman" w:cs="Times New Roman"/>
          <w:kern w:val="2"/>
          <w:sz w:val="32"/>
          <w:szCs w:val="32"/>
          <w:lang w:val="en-US" w:eastAsia="zh-CN" w:bidi="zh-CN"/>
        </w:rPr>
        <w:t>10月</w:t>
      </w:r>
    </w:p>
    <w:p>
      <w:pPr>
        <w:bidi w:val="0"/>
        <w:jc w:val="both"/>
        <w:rPr>
          <w:rFonts w:hint="default" w:ascii="Times New Roman" w:hAnsi="Times New Roman" w:eastAsia="仿宋" w:cs="Times New Roman"/>
          <w:b/>
          <w:bCs/>
          <w:sz w:val="32"/>
          <w:szCs w:val="32"/>
          <w:lang w:val="en-US" w:eastAsia="zh-CN"/>
        </w:rPr>
      </w:pPr>
      <w:bookmarkStart w:id="113" w:name="_Toc18797"/>
      <w:r>
        <w:rPr>
          <w:rFonts w:hint="default" w:ascii="Times New Roman" w:hAnsi="Times New Roman" w:eastAsia="仿宋" w:cs="Times New Roman"/>
          <w:b/>
          <w:bCs/>
          <w:sz w:val="32"/>
          <w:szCs w:val="32"/>
          <w:lang w:val="en-US" w:eastAsia="zh-CN"/>
        </w:rPr>
        <w:t>附件</w:t>
      </w:r>
      <w:r>
        <w:rPr>
          <w:rFonts w:hint="default" w:ascii="Times New Roman" w:hAnsi="Times New Roman" w:eastAsia="仿宋" w:cs="Times New Roman"/>
          <w:sz w:val="32"/>
          <w:szCs w:val="32"/>
          <w:lang w:val="en-US" w:eastAsia="zh-CN"/>
        </w:rPr>
        <w:t>：</w:t>
      </w:r>
      <w:r>
        <w:rPr>
          <w:rFonts w:hint="eastAsia" w:eastAsia="仿宋" w:cs="Times New Roman"/>
          <w:sz w:val="32"/>
          <w:szCs w:val="32"/>
          <w:lang w:val="en-US" w:eastAsia="zh-CN"/>
        </w:rPr>
        <w:t xml:space="preserve">           </w:t>
      </w:r>
      <w:r>
        <w:rPr>
          <w:rFonts w:hint="default" w:ascii="Times New Roman" w:hAnsi="Times New Roman" w:eastAsia="仿宋" w:cs="Times New Roman"/>
          <w:b/>
          <w:bCs/>
          <w:sz w:val="32"/>
          <w:szCs w:val="32"/>
          <w:lang w:val="en-US" w:eastAsia="zh-CN"/>
        </w:rPr>
        <w:t>2022年岳阳楼区医疗保障局医疗救助资金绩效评价指标评分表</w:t>
      </w:r>
      <w:bookmarkEnd w:id="113"/>
    </w:p>
    <w:p>
      <w:pPr>
        <w:pStyle w:val="11"/>
        <w:rPr>
          <w:rFonts w:hint="eastAsia"/>
          <w:lang w:val="en-US" w:eastAsia="zh-CN"/>
        </w:rPr>
      </w:pPr>
    </w:p>
    <w:tbl>
      <w:tblPr>
        <w:tblStyle w:val="14"/>
        <w:tblW w:w="21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5"/>
        <w:gridCol w:w="840"/>
        <w:gridCol w:w="1290"/>
        <w:gridCol w:w="3630"/>
        <w:gridCol w:w="3270"/>
        <w:gridCol w:w="780"/>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3" w:hRule="atLeast"/>
          <w:tblHeader/>
        </w:trPr>
        <w:tc>
          <w:tcPr>
            <w:tcW w:w="301" w:type="pct"/>
            <w:shd w:val="clear" w:color="auto" w:fill="auto"/>
            <w:vAlign w:val="center"/>
          </w:tcPr>
          <w:p>
            <w:pPr>
              <w:keepNext w:val="0"/>
              <w:keepLines w:val="0"/>
              <w:widowControl/>
              <w:suppressLineNumbers w:val="0"/>
              <w:jc w:val="center"/>
              <w:textAlignment w:val="center"/>
              <w:rPr>
                <w:rStyle w:val="27"/>
                <w:rFonts w:hint="default" w:ascii="Times New Roman" w:hAnsi="Times New Roman" w:eastAsia="仿宋_GB2312" w:cs="Times New Roman"/>
                <w:lang w:val="en-US" w:eastAsia="zh-CN" w:bidi="ar"/>
              </w:rPr>
            </w:pPr>
            <w:r>
              <w:rPr>
                <w:rStyle w:val="27"/>
                <w:rFonts w:hint="default" w:ascii="Times New Roman" w:hAnsi="Times New Roman" w:eastAsia="仿宋_GB2312" w:cs="Times New Roman"/>
                <w:lang w:val="en-US" w:eastAsia="zh-CN" w:bidi="ar"/>
              </w:rPr>
              <w:t>一级</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指标</w:t>
            </w:r>
          </w:p>
        </w:tc>
        <w:tc>
          <w:tcPr>
            <w:tcW w:w="2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二级指标</w:t>
            </w:r>
          </w:p>
        </w:tc>
        <w:tc>
          <w:tcPr>
            <w:tcW w:w="45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三级指标</w:t>
            </w:r>
          </w:p>
        </w:tc>
        <w:tc>
          <w:tcPr>
            <w:tcW w:w="1281"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指标解释</w:t>
            </w:r>
          </w:p>
        </w:tc>
        <w:tc>
          <w:tcPr>
            <w:tcW w:w="1154"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评价标准与评分方法</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得分</w:t>
            </w:r>
          </w:p>
        </w:tc>
        <w:tc>
          <w:tcPr>
            <w:tcW w:w="1234"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得分或扣分理由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trPr>
        <w:tc>
          <w:tcPr>
            <w:tcW w:w="30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决策</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（10分）</w:t>
            </w: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5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绩效目标合理性（3）</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所设定的绩效目标是否依据充分，是否符合客观实际，用以反映绩效目标的有效性。①是否有绩效目标；②绩效目标与实际工作内容是否具有相关性；③预期产出效益效果是否符合正常业绩水平。</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w:t>
            </w:r>
            <w:r>
              <w:rPr>
                <w:rStyle w:val="28"/>
                <w:rFonts w:hint="default" w:ascii="Times New Roman" w:hAnsi="Times New Roman" w:eastAsia="仿宋_GB2312" w:cs="Times New Roman"/>
                <w:lang w:val="en-US" w:eastAsia="zh-CN" w:bidi="ar"/>
              </w:rPr>
              <w:t>①</w:t>
            </w:r>
            <w:r>
              <w:rPr>
                <w:rFonts w:hint="default" w:ascii="Times New Roman" w:hAnsi="Times New Roman" w:eastAsia="仿宋_GB2312" w:cs="Times New Roman"/>
                <w:i w:val="0"/>
                <w:iCs w:val="0"/>
                <w:color w:val="000000"/>
                <w:kern w:val="0"/>
                <w:sz w:val="21"/>
                <w:szCs w:val="21"/>
                <w:u w:val="none"/>
                <w:lang w:val="en-US" w:eastAsia="zh-CN" w:bidi="ar"/>
              </w:rPr>
              <w:t>、</w:t>
            </w:r>
            <w:r>
              <w:rPr>
                <w:rStyle w:val="28"/>
                <w:rFonts w:hint="default" w:ascii="Times New Roman" w:hAnsi="Times New Roman" w:eastAsia="仿宋_GB2312" w:cs="Times New Roman"/>
                <w:lang w:val="en-US" w:eastAsia="zh-CN" w:bidi="ar"/>
              </w:rPr>
              <w:t>②</w:t>
            </w:r>
            <w:r>
              <w:rPr>
                <w:rFonts w:hint="default" w:ascii="Times New Roman" w:hAnsi="Times New Roman" w:eastAsia="仿宋_GB2312" w:cs="Times New Roman"/>
                <w:i w:val="0"/>
                <w:iCs w:val="0"/>
                <w:color w:val="000000"/>
                <w:kern w:val="0"/>
                <w:sz w:val="21"/>
                <w:szCs w:val="21"/>
                <w:u w:val="none"/>
                <w:lang w:val="en-US" w:eastAsia="zh-CN" w:bidi="ar"/>
              </w:rPr>
              <w:t>和</w:t>
            </w:r>
            <w:r>
              <w:rPr>
                <w:rStyle w:val="28"/>
                <w:rFonts w:hint="default" w:ascii="Times New Roman" w:hAnsi="Times New Roman" w:eastAsia="仿宋_GB2312" w:cs="Times New Roman"/>
                <w:lang w:val="en-US" w:eastAsia="zh-CN" w:bidi="ar"/>
              </w:rPr>
              <w:t>③</w:t>
            </w:r>
            <w:r>
              <w:rPr>
                <w:rFonts w:hint="default" w:ascii="Times New Roman" w:hAnsi="Times New Roman" w:eastAsia="仿宋_GB2312" w:cs="Times New Roman"/>
                <w:i w:val="0"/>
                <w:iCs w:val="0"/>
                <w:color w:val="000000"/>
                <w:kern w:val="0"/>
                <w:sz w:val="21"/>
                <w:szCs w:val="21"/>
                <w:u w:val="none"/>
                <w:lang w:val="en-US" w:eastAsia="zh-CN" w:bidi="ar"/>
              </w:rPr>
              <w:t>，得3分；满足</w:t>
            </w:r>
            <w:r>
              <w:rPr>
                <w:rStyle w:val="28"/>
                <w:rFonts w:hint="default" w:ascii="Times New Roman" w:hAnsi="Times New Roman" w:eastAsia="仿宋_GB2312" w:cs="Times New Roman"/>
                <w:lang w:val="en-US" w:eastAsia="zh-CN" w:bidi="ar"/>
              </w:rPr>
              <w:t>①</w:t>
            </w:r>
            <w:r>
              <w:rPr>
                <w:rFonts w:hint="default" w:ascii="Times New Roman" w:hAnsi="Times New Roman" w:eastAsia="仿宋_GB2312" w:cs="Times New Roman"/>
                <w:i w:val="0"/>
                <w:iCs w:val="0"/>
                <w:color w:val="000000"/>
                <w:kern w:val="0"/>
                <w:sz w:val="21"/>
                <w:szCs w:val="21"/>
                <w:u w:val="none"/>
                <w:lang w:val="en-US" w:eastAsia="zh-CN" w:bidi="ar"/>
              </w:rPr>
              <w:t>和</w:t>
            </w:r>
            <w:r>
              <w:rPr>
                <w:rStyle w:val="28"/>
                <w:rFonts w:hint="default" w:ascii="Times New Roman" w:hAnsi="Times New Roman" w:eastAsia="仿宋_GB2312" w:cs="Times New Roman"/>
                <w:lang w:val="en-US" w:eastAsia="zh-CN" w:bidi="ar"/>
              </w:rPr>
              <w:t>②</w:t>
            </w:r>
            <w:r>
              <w:rPr>
                <w:rFonts w:hint="default" w:ascii="Times New Roman" w:hAnsi="Times New Roman" w:eastAsia="仿宋_GB2312" w:cs="Times New Roman"/>
                <w:i w:val="0"/>
                <w:iCs w:val="0"/>
                <w:color w:val="000000"/>
                <w:kern w:val="0"/>
                <w:sz w:val="21"/>
                <w:szCs w:val="21"/>
                <w:u w:val="none"/>
                <w:lang w:val="en-US" w:eastAsia="zh-CN" w:bidi="ar"/>
              </w:rPr>
              <w:t>，或满足</w:t>
            </w:r>
            <w:r>
              <w:rPr>
                <w:rStyle w:val="28"/>
                <w:rFonts w:hint="default" w:ascii="Times New Roman" w:hAnsi="Times New Roman" w:eastAsia="仿宋_GB2312" w:cs="Times New Roman"/>
                <w:lang w:val="en-US" w:eastAsia="zh-CN" w:bidi="ar"/>
              </w:rPr>
              <w:t>①</w:t>
            </w:r>
            <w:r>
              <w:rPr>
                <w:rFonts w:hint="default" w:ascii="Times New Roman" w:hAnsi="Times New Roman" w:eastAsia="仿宋_GB2312" w:cs="Times New Roman"/>
                <w:i w:val="0"/>
                <w:iCs w:val="0"/>
                <w:color w:val="000000"/>
                <w:kern w:val="0"/>
                <w:sz w:val="21"/>
                <w:szCs w:val="21"/>
                <w:u w:val="none"/>
                <w:lang w:val="en-US" w:eastAsia="zh-CN" w:bidi="ar"/>
              </w:rPr>
              <w:t>和</w:t>
            </w:r>
            <w:r>
              <w:rPr>
                <w:rStyle w:val="28"/>
                <w:rFonts w:hint="default" w:ascii="Times New Roman" w:hAnsi="Times New Roman" w:eastAsia="仿宋_GB2312" w:cs="Times New Roman"/>
                <w:lang w:val="en-US" w:eastAsia="zh-CN" w:bidi="ar"/>
              </w:rPr>
              <w:t>③</w:t>
            </w:r>
            <w:r>
              <w:rPr>
                <w:rFonts w:hint="default" w:ascii="Times New Roman" w:hAnsi="Times New Roman" w:eastAsia="仿宋_GB2312" w:cs="Times New Roman"/>
                <w:i w:val="0"/>
                <w:iCs w:val="0"/>
                <w:color w:val="000000"/>
                <w:kern w:val="0"/>
                <w:sz w:val="21"/>
                <w:szCs w:val="21"/>
                <w:u w:val="none"/>
                <w:lang w:val="en-US" w:eastAsia="zh-CN" w:bidi="ar"/>
              </w:rPr>
              <w:t>，得2分；不满足</w:t>
            </w:r>
            <w:r>
              <w:rPr>
                <w:rStyle w:val="28"/>
                <w:rFonts w:hint="default" w:ascii="Times New Roman" w:hAnsi="Times New Roman" w:eastAsia="仿宋_GB2312" w:cs="Times New Roman"/>
                <w:lang w:val="en-US" w:eastAsia="zh-CN" w:bidi="ar"/>
              </w:rPr>
              <w:t>①</w:t>
            </w:r>
            <w:r>
              <w:rPr>
                <w:rFonts w:hint="default" w:ascii="Times New Roman" w:hAnsi="Times New Roman" w:eastAsia="仿宋_GB2312" w:cs="Times New Roman"/>
                <w:i w:val="0"/>
                <w:iCs w:val="0"/>
                <w:color w:val="000000"/>
                <w:kern w:val="0"/>
                <w:sz w:val="21"/>
                <w:szCs w:val="21"/>
                <w:u w:val="none"/>
                <w:lang w:val="en-US" w:eastAsia="zh-CN" w:bidi="ar"/>
              </w:rPr>
              <w:t>，得0分。</w:t>
            </w:r>
          </w:p>
        </w:tc>
        <w:tc>
          <w:tcPr>
            <w:tcW w:w="275"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医保局部门整体支出绩效目标设置了医疗救助人次的目标，部分反映产出效益效果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绩效指标明确性（2）</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依据绩效目标设定的绩效指标是否清晰、细化、可衡量，用以反映绩效目标的明确性。①是否将绩效目标细化分解为具体的绩效指标；②是否通过清晰、可衡量的指标值予以体现。</w:t>
            </w:r>
          </w:p>
        </w:tc>
        <w:tc>
          <w:tcPr>
            <w:tcW w:w="115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满足①和②，得1分；满仅足①或②，得0.5分；均不满足，得0分。</w:t>
            </w:r>
          </w:p>
        </w:tc>
        <w:tc>
          <w:tcPr>
            <w:tcW w:w="275"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医保局部门整体支出绩效目标设置了医疗救助人次的目标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预算</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管理</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（5分）</w:t>
            </w:r>
          </w:p>
        </w:tc>
        <w:tc>
          <w:tcPr>
            <w:tcW w:w="45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预算编制科学性（3）</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预算编制是否经过科学论证、有明确标准，用以反映预算编制的科学性。①预算内容与基金任务是否匹配；②预算确定的投资额是否与年度任务相匹配。</w:t>
            </w:r>
          </w:p>
        </w:tc>
        <w:tc>
          <w:tcPr>
            <w:tcW w:w="115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满足①和②，得2分；仅满足①或②，得1分；均不满足，得0分。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根据救助对象规模、救助标准、医药费增长等因素测算医疗救助资金需求，编制年度资金预算；但因救助对象动态变化，存在预算与执行不匹配的情况。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预算编制合理性（2）</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预算编制是否有测算依据，用以反映预算编制的合理性情况。①预算编制依据是否充分；②测算标准是否合理。</w:t>
            </w:r>
          </w:p>
        </w:tc>
        <w:tc>
          <w:tcPr>
            <w:tcW w:w="1154" w:type="pct"/>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满足①和②，得1分；仅满足①或②，得0.5分；均不满足，得0分。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根据救助对象规模、救助标准、医药费增长等因素测算医疗救助资金需求，编制年度资金预算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过程（35）</w:t>
            </w: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业务管理（18）</w:t>
            </w: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管理制度健全性（3）</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①是否已制定或具有相应的业务流程管理制度；②业务管理制度是否合法、合规、完整。</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w:t>
            </w:r>
            <w:r>
              <w:rPr>
                <w:rStyle w:val="29"/>
                <w:rFonts w:hint="default" w:ascii="Times New Roman" w:hAnsi="Times New Roman" w:eastAsia="仿宋_GB2312" w:cs="Times New Roman"/>
                <w:lang w:val="en-US" w:eastAsia="zh-CN" w:bidi="ar"/>
              </w:rPr>
              <w:t>和</w:t>
            </w:r>
            <w:r>
              <w:rPr>
                <w:rFonts w:hint="default" w:ascii="Times New Roman" w:hAnsi="Times New Roman" w:eastAsia="仿宋_GB2312" w:cs="Times New Roman"/>
                <w:i w:val="0"/>
                <w:iCs w:val="0"/>
                <w:color w:val="000000"/>
                <w:kern w:val="0"/>
                <w:sz w:val="21"/>
                <w:szCs w:val="21"/>
                <w:u w:val="none"/>
                <w:lang w:val="en-US" w:eastAsia="zh-CN" w:bidi="ar"/>
              </w:rPr>
              <w:t>②</w:t>
            </w:r>
            <w:r>
              <w:rPr>
                <w:rStyle w:val="29"/>
                <w:rFonts w:hint="default" w:ascii="Times New Roman" w:hAnsi="Times New Roman" w:eastAsia="仿宋_GB2312" w:cs="Times New Roman"/>
                <w:lang w:val="en-US" w:eastAsia="zh-CN" w:bidi="ar"/>
              </w:rPr>
              <w:t>，得</w:t>
            </w:r>
            <w:r>
              <w:rPr>
                <w:rFonts w:hint="default" w:ascii="Times New Roman" w:hAnsi="Times New Roman" w:eastAsia="仿宋_GB2312" w:cs="Times New Roman"/>
                <w:i w:val="0"/>
                <w:iCs w:val="0"/>
                <w:color w:val="000000"/>
                <w:kern w:val="0"/>
                <w:sz w:val="21"/>
                <w:szCs w:val="21"/>
                <w:u w:val="none"/>
                <w:lang w:val="en-US" w:eastAsia="zh-CN" w:bidi="ar"/>
              </w:rPr>
              <w:t>2</w:t>
            </w:r>
            <w:r>
              <w:rPr>
                <w:rStyle w:val="29"/>
                <w:rFonts w:hint="default" w:ascii="Times New Roman" w:hAnsi="Times New Roman" w:eastAsia="仿宋_GB2312" w:cs="Times New Roman"/>
                <w:lang w:val="en-US" w:eastAsia="zh-CN" w:bidi="ar"/>
              </w:rPr>
              <w:t>分；仅满足</w:t>
            </w:r>
            <w:r>
              <w:rPr>
                <w:rFonts w:hint="default" w:ascii="Times New Roman" w:hAnsi="Times New Roman" w:eastAsia="仿宋_GB2312" w:cs="Times New Roman"/>
                <w:i w:val="0"/>
                <w:iCs w:val="0"/>
                <w:color w:val="000000"/>
                <w:kern w:val="0"/>
                <w:sz w:val="21"/>
                <w:szCs w:val="21"/>
                <w:u w:val="none"/>
                <w:lang w:val="en-US" w:eastAsia="zh-CN" w:bidi="ar"/>
              </w:rPr>
              <w:t>①</w:t>
            </w:r>
            <w:r>
              <w:rPr>
                <w:rStyle w:val="29"/>
                <w:rFonts w:hint="default" w:ascii="Times New Roman" w:hAnsi="Times New Roman" w:eastAsia="仿宋_GB2312" w:cs="Times New Roman"/>
                <w:lang w:val="en-US" w:eastAsia="zh-CN" w:bidi="ar"/>
              </w:rPr>
              <w:t>，或仅满足</w:t>
            </w:r>
            <w:r>
              <w:rPr>
                <w:rFonts w:hint="default" w:ascii="Times New Roman" w:hAnsi="Times New Roman" w:eastAsia="仿宋_GB2312" w:cs="Times New Roman"/>
                <w:i w:val="0"/>
                <w:iCs w:val="0"/>
                <w:color w:val="000000"/>
                <w:kern w:val="0"/>
                <w:sz w:val="21"/>
                <w:szCs w:val="21"/>
                <w:u w:val="none"/>
                <w:lang w:val="en-US" w:eastAsia="zh-CN" w:bidi="ar"/>
              </w:rPr>
              <w:t>②</w:t>
            </w:r>
            <w:r>
              <w:rPr>
                <w:rStyle w:val="29"/>
                <w:rFonts w:hint="default" w:ascii="Times New Roman" w:hAnsi="Times New Roman" w:eastAsia="仿宋_GB2312" w:cs="Times New Roman"/>
                <w:lang w:val="en-US" w:eastAsia="zh-CN" w:bidi="ar"/>
              </w:rPr>
              <w:t>，得</w:t>
            </w:r>
            <w:r>
              <w:rPr>
                <w:rFonts w:hint="default" w:ascii="Times New Roman" w:hAnsi="Times New Roman" w:eastAsia="仿宋_GB2312" w:cs="Times New Roman"/>
                <w:i w:val="0"/>
                <w:iCs w:val="0"/>
                <w:color w:val="000000"/>
                <w:kern w:val="0"/>
                <w:sz w:val="21"/>
                <w:szCs w:val="21"/>
                <w:u w:val="none"/>
                <w:lang w:val="en-US" w:eastAsia="zh-CN" w:bidi="ar"/>
              </w:rPr>
              <w:t>1</w:t>
            </w:r>
            <w:r>
              <w:rPr>
                <w:rStyle w:val="29"/>
                <w:rFonts w:hint="default" w:ascii="Times New Roman" w:hAnsi="Times New Roman" w:eastAsia="仿宋_GB2312" w:cs="Times New Roman"/>
                <w:lang w:val="en-US" w:eastAsia="zh-CN" w:bidi="ar"/>
              </w:rPr>
              <w:t>分；均不满足，得</w:t>
            </w:r>
            <w:r>
              <w:rPr>
                <w:rFonts w:hint="default" w:ascii="Times New Roman" w:hAnsi="Times New Roman" w:eastAsia="仿宋_GB2312" w:cs="Times New Roman"/>
                <w:i w:val="0"/>
                <w:iCs w:val="0"/>
                <w:color w:val="000000"/>
                <w:kern w:val="0"/>
                <w:sz w:val="21"/>
                <w:szCs w:val="21"/>
                <w:u w:val="none"/>
                <w:lang w:val="en-US" w:eastAsia="zh-CN" w:bidi="ar"/>
              </w:rPr>
              <w:t>0</w:t>
            </w:r>
            <w:r>
              <w:rPr>
                <w:rStyle w:val="29"/>
                <w:rFonts w:hint="default" w:ascii="Times New Roman" w:hAnsi="Times New Roman" w:eastAsia="仿宋_GB2312" w:cs="Times New Roman"/>
                <w:lang w:val="en-US" w:eastAsia="zh-CN" w:bidi="ar"/>
              </w:rPr>
              <w:t>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经审阅资料和访谈发现，岳阳楼区医保局医疗救助没有专门的财务制度，执行统一的财务制度，业务制度则基于湖南省和岳阳市相关政策文件和要求编制了医疗救助管理制度。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补助申请流程便利性（5）</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考察救助对象资格审查、补贴申请的流程是否便利。</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申请便利、审批高效得5分；基本便利得4分，不够便利得2分。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一二类人群开通了绿色通道，简化申请材料，仅要求救助对象提供身份证、社会保障卡、病史证明和医院费用结算单，申请便利、审批高效；对于三类救助对象，线下申请，逐层核实，分批审核。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监控机制有效性（5）</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各类救助对象监控措施是否能有效防治错领冒领。</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执行到位，得8</w:t>
            </w:r>
            <w:r>
              <w:rPr>
                <w:rStyle w:val="29"/>
                <w:rFonts w:hint="default" w:ascii="Times New Roman" w:hAnsi="Times New Roman" w:eastAsia="仿宋_GB2312" w:cs="Times New Roman"/>
                <w:lang w:val="en-US" w:eastAsia="zh-CN" w:bidi="ar"/>
              </w:rPr>
              <w:t>分；基本到位，得</w:t>
            </w:r>
            <w:r>
              <w:rPr>
                <w:rFonts w:hint="default" w:ascii="Times New Roman" w:hAnsi="Times New Roman" w:eastAsia="仿宋_GB2312" w:cs="Times New Roman"/>
                <w:i w:val="0"/>
                <w:iCs w:val="0"/>
                <w:color w:val="000000"/>
                <w:kern w:val="0"/>
                <w:sz w:val="21"/>
                <w:szCs w:val="21"/>
                <w:u w:val="none"/>
                <w:lang w:val="en-US" w:eastAsia="zh-CN" w:bidi="ar"/>
              </w:rPr>
              <w:t>6</w:t>
            </w:r>
            <w:r>
              <w:rPr>
                <w:rStyle w:val="29"/>
                <w:rFonts w:hint="default" w:ascii="Times New Roman" w:hAnsi="Times New Roman" w:eastAsia="仿宋_GB2312" w:cs="Times New Roman"/>
                <w:lang w:val="en-US" w:eastAsia="zh-CN" w:bidi="ar"/>
              </w:rPr>
              <w:t>分；监控机制存在瑕疵，得</w:t>
            </w:r>
            <w:r>
              <w:rPr>
                <w:rFonts w:hint="default" w:ascii="Times New Roman" w:hAnsi="Times New Roman" w:eastAsia="仿宋_GB2312" w:cs="Times New Roman"/>
                <w:i w:val="0"/>
                <w:iCs w:val="0"/>
                <w:color w:val="000000"/>
                <w:kern w:val="0"/>
                <w:sz w:val="21"/>
                <w:szCs w:val="21"/>
                <w:u w:val="none"/>
                <w:lang w:val="en-US" w:eastAsia="zh-CN" w:bidi="ar"/>
              </w:rPr>
              <w:t>4</w:t>
            </w:r>
            <w:r>
              <w:rPr>
                <w:rStyle w:val="29"/>
                <w:rFonts w:hint="default" w:ascii="Times New Roman" w:hAnsi="Times New Roman" w:eastAsia="仿宋_GB2312" w:cs="Times New Roman"/>
                <w:lang w:val="en-US" w:eastAsia="zh-CN" w:bidi="ar"/>
              </w:rPr>
              <w:t>分；监控机制存在漏洞，得</w:t>
            </w:r>
            <w:r>
              <w:rPr>
                <w:rFonts w:hint="default" w:ascii="Times New Roman" w:hAnsi="Times New Roman" w:eastAsia="仿宋_GB2312" w:cs="Times New Roman"/>
                <w:i w:val="0"/>
                <w:iCs w:val="0"/>
                <w:color w:val="000000"/>
                <w:kern w:val="0"/>
                <w:sz w:val="21"/>
                <w:szCs w:val="21"/>
                <w:u w:val="none"/>
                <w:lang w:val="en-US" w:eastAsia="zh-CN" w:bidi="ar"/>
              </w:rPr>
              <w:t>0</w:t>
            </w:r>
            <w:r>
              <w:rPr>
                <w:rStyle w:val="29"/>
                <w:rFonts w:hint="default" w:ascii="Times New Roman" w:hAnsi="Times New Roman" w:eastAsia="仿宋_GB2312" w:cs="Times New Roman"/>
                <w:lang w:val="en-US" w:eastAsia="zh-CN" w:bidi="ar"/>
              </w:rPr>
              <w:t>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据访谈了解，一、二类救助对象名单来自岳阳楼区民政局所提供，三类救助对象名单来自申请人向社区提出申请，社区初步调查后，将合格结果上交医疗救助股进一步核实真实性（包括收入真实性等），核实结果未发现明显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政策宣传力度（3）</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①是否发放政策宣传资料；②是否开展宣讲培训；③是否向基层工作人员解读政策。</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满足①、②和③，得4分；不满足1项，扣1分。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向辖区居民印发政策资料，召开15个乡街相关人员进行培训，上门街道办事处向基层工作人员解读政策。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6"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信息公开透明度（2）</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①救助方式、标准通过一定方式公开；②救助对象，补贴资金发放情况通过一定方式公开</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满足①和②，得2分；仅满足①，或仅满足②，得1分；均不满足，得0分。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补贴政策、年度救助对象以及资金发放情况均有张贴公告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资金管理（17）</w:t>
            </w: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本级资金到位率（3）</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实际到位资金是否按预算安排到位，用以反映资金落实情况对医疗救助总体保障程度。</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资金到位率≥100%，得3分；95%≤资金拨付到位率&lt;100%，得2分；资金拨付到位率&lt;95%，得1分。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2022年区本级医疗救助资金预算550万元，实际到位550.15万元，到位率≥100%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本级预算执行率（2）</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预算支出完成率=决算支出/预算支出×100%。</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预算执行率≥100%，得2分；95%≤预算执行率&lt;100%，得1分；预算执行率&lt;95%，得0.5分。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2022年区本级医疗救助资金预算执行率率100%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资金使用合规性（5）</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是否符合国家财经法规和财务管理制度以及有关专项资金管理办法的规定；②资金的拨付是否有完整的审批程序和手续；③是否符合项目预算批复或合同规定的用途；④是否存在截留、挤占、挪用、虚列支出等情况。</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满足①、②和③，得4分；不满足①或②或③任何一项，扣2分；发现④，得0分。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发现部分救助申请的传签缺少主要领导签字（有的申请单据局长和书记均签，有的仅是书记签但局长未签），审批程序上不完整，谨慎评价后，资金合规性审批扣2分。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补助发放准确性（5）</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救助资金是否按规定标准准确发放</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准确发放，得5分；基本准确；得3分；不准确发放，得0分。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经审阅相关财务资料和支付凭证，未发现多发、错发或少发情形。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“一站式”即时结算覆盖率（2分）</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市域内“一站式”即时结算救助人群占比</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不低于上年得满分，低于上年5%以内得2分，低于上年5%以上得0分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不低于上年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0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产出（30）</w:t>
            </w:r>
          </w:p>
        </w:tc>
        <w:tc>
          <w:tcPr>
            <w:tcW w:w="296" w:type="pct"/>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产出数量</w:t>
            </w:r>
          </w:p>
        </w:tc>
        <w:tc>
          <w:tcPr>
            <w:tcW w:w="455"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年度救助任务完成情况（10）</w:t>
            </w:r>
          </w:p>
        </w:tc>
        <w:tc>
          <w:tcPr>
            <w:tcW w:w="1281"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医疗救助对象人次规模完成情况</w:t>
            </w:r>
          </w:p>
        </w:tc>
        <w:tc>
          <w:tcPr>
            <w:tcW w:w="115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完成率≥100%，得10分；90%≤资金拨付到位率&lt;100%，得8分；80%≤资金拨付到位率&lt;90%，得5分；资金拨付到位率&lt;80%，得3分。</w:t>
            </w:r>
          </w:p>
        </w:tc>
        <w:tc>
          <w:tcPr>
            <w:tcW w:w="275" w:type="pct"/>
            <w:shd w:val="clear" w:color="auto" w:fill="auto"/>
            <w:vAlign w:val="center"/>
          </w:tcPr>
          <w:p>
            <w:pPr>
              <w:keepNext w:val="0"/>
              <w:keepLines w:val="0"/>
              <w:widowControl/>
              <w:suppressLineNumbers w:val="0"/>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34" w:type="pct"/>
            <w:shd w:val="clear" w:color="auto" w:fill="auto"/>
            <w:vAlign w:val="center"/>
          </w:tcPr>
          <w:p>
            <w:pPr>
              <w:keepNext w:val="0"/>
              <w:keepLines w:val="0"/>
              <w:widowControl/>
              <w:suppressLineNumbers w:val="0"/>
              <w:spacing w:line="32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w:t>
            </w:r>
            <w:r>
              <w:rPr>
                <w:rStyle w:val="30"/>
                <w:rFonts w:hint="default" w:ascii="Times New Roman" w:hAnsi="Times New Roman" w:eastAsia="仿宋_GB2312" w:cs="Times New Roman"/>
                <w:lang w:val="en-US" w:eastAsia="zh-CN" w:bidi="ar"/>
              </w:rPr>
              <w:t>年住院救助人次为</w:t>
            </w:r>
            <w:r>
              <w:rPr>
                <w:rFonts w:hint="default" w:ascii="Times New Roman" w:hAnsi="Times New Roman" w:eastAsia="仿宋_GB2312" w:cs="Times New Roman"/>
                <w:i w:val="0"/>
                <w:iCs w:val="0"/>
                <w:color w:val="000000"/>
                <w:kern w:val="0"/>
                <w:sz w:val="21"/>
                <w:szCs w:val="21"/>
                <w:u w:val="none"/>
                <w:lang w:val="en-US" w:eastAsia="zh-CN" w:bidi="ar"/>
              </w:rPr>
              <w:t>3424</w:t>
            </w:r>
            <w:r>
              <w:rPr>
                <w:rStyle w:val="30"/>
                <w:rFonts w:hint="default" w:ascii="Times New Roman" w:hAnsi="Times New Roman" w:eastAsia="仿宋_GB2312" w:cs="Times New Roman"/>
                <w:lang w:val="en-US" w:eastAsia="zh-CN" w:bidi="ar"/>
              </w:rPr>
              <w:t>次，</w:t>
            </w:r>
            <w:r>
              <w:rPr>
                <w:rFonts w:hint="default" w:ascii="Times New Roman" w:hAnsi="Times New Roman" w:eastAsia="仿宋_GB2312" w:cs="Times New Roman"/>
                <w:i w:val="0"/>
                <w:iCs w:val="0"/>
                <w:color w:val="000000"/>
                <w:kern w:val="0"/>
                <w:sz w:val="21"/>
                <w:szCs w:val="21"/>
                <w:u w:val="none"/>
                <w:lang w:val="en-US" w:eastAsia="zh-CN" w:bidi="ar"/>
              </w:rPr>
              <w:t>2021</w:t>
            </w:r>
            <w:r>
              <w:rPr>
                <w:rStyle w:val="30"/>
                <w:rFonts w:hint="default" w:ascii="Times New Roman" w:hAnsi="Times New Roman" w:eastAsia="仿宋_GB2312" w:cs="Times New Roman"/>
                <w:lang w:val="en-US" w:eastAsia="zh-CN" w:bidi="ar"/>
              </w:rPr>
              <w:t>年住院救助人次为</w:t>
            </w:r>
            <w:r>
              <w:rPr>
                <w:rFonts w:hint="default" w:ascii="Times New Roman" w:hAnsi="Times New Roman" w:eastAsia="仿宋_GB2312" w:cs="Times New Roman"/>
                <w:i w:val="0"/>
                <w:iCs w:val="0"/>
                <w:color w:val="000000"/>
                <w:kern w:val="0"/>
                <w:sz w:val="21"/>
                <w:szCs w:val="21"/>
                <w:u w:val="none"/>
                <w:lang w:val="en-US" w:eastAsia="zh-CN" w:bidi="ar"/>
              </w:rPr>
              <w:t>2108</w:t>
            </w:r>
            <w:r>
              <w:rPr>
                <w:rStyle w:val="30"/>
                <w:rFonts w:hint="default" w:ascii="Times New Roman" w:hAnsi="Times New Roman" w:eastAsia="仿宋_GB2312" w:cs="Times New Roman"/>
                <w:lang w:val="en-US" w:eastAsia="zh-CN" w:bidi="ar"/>
              </w:rPr>
              <w:t>次，住院救助人数（次）增长率为</w:t>
            </w:r>
            <w:r>
              <w:rPr>
                <w:rFonts w:hint="default" w:ascii="Times New Roman" w:hAnsi="Times New Roman" w:eastAsia="仿宋_GB2312" w:cs="Times New Roman"/>
                <w:i w:val="0"/>
                <w:iCs w:val="0"/>
                <w:color w:val="000000"/>
                <w:kern w:val="0"/>
                <w:sz w:val="21"/>
                <w:szCs w:val="21"/>
                <w:u w:val="none"/>
                <w:lang w:val="en-US" w:eastAsia="zh-CN" w:bidi="ar"/>
              </w:rPr>
              <w:t>62.43%</w:t>
            </w:r>
            <w:r>
              <w:rPr>
                <w:rStyle w:val="30"/>
                <w:rFonts w:hint="default" w:ascii="Times New Roman" w:hAnsi="Times New Roman" w:eastAsia="仿宋_GB2312" w:cs="Times New Roman"/>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产出质量</w:t>
            </w:r>
          </w:p>
        </w:tc>
        <w:tc>
          <w:tcPr>
            <w:tcW w:w="455"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重点救助对象住院救助比例（5）</w:t>
            </w:r>
          </w:p>
        </w:tc>
        <w:tc>
          <w:tcPr>
            <w:tcW w:w="1281"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重点救助对象政策范围内个人自付费用年度限额内住院救助比例</w:t>
            </w:r>
          </w:p>
        </w:tc>
        <w:tc>
          <w:tcPr>
            <w:tcW w:w="1154"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重点救助对象住院救助比例≥70%得5分；65%≤资金拨付到位率&lt;70%，得4分；60%≤资金拨付到位率&lt;65%，得3分；资金拨付到位率&lt;60%，得2分。</w:t>
            </w:r>
          </w:p>
        </w:tc>
        <w:tc>
          <w:tcPr>
            <w:tcW w:w="27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34"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w:t>
            </w:r>
            <w:r>
              <w:rPr>
                <w:rStyle w:val="31"/>
                <w:rFonts w:hint="default" w:ascii="Times New Roman" w:hAnsi="Times New Roman" w:eastAsia="仿宋_GB2312" w:cs="Times New Roman"/>
                <w:lang w:val="en-US" w:eastAsia="zh-CN" w:bidi="ar"/>
              </w:rPr>
              <w:t>年重点救助对象住院救助比例</w:t>
            </w:r>
            <w:r>
              <w:rPr>
                <w:rFonts w:hint="default" w:ascii="Times New Roman" w:hAnsi="Times New Roman" w:eastAsia="仿宋_GB2312" w:cs="Times New Roman"/>
                <w:i w:val="0"/>
                <w:iCs w:val="0"/>
                <w:color w:val="000000"/>
                <w:kern w:val="0"/>
                <w:sz w:val="21"/>
                <w:szCs w:val="21"/>
                <w:u w:val="none"/>
                <w:lang w:val="en-US" w:eastAsia="zh-CN" w:bidi="ar"/>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农村低收入人口参保资助覆盖率（5）</w:t>
            </w:r>
          </w:p>
        </w:tc>
        <w:tc>
          <w:tcPr>
            <w:tcW w:w="1281"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符合资助条件的农村低收入人口资助参保政策覆盖率</w:t>
            </w:r>
          </w:p>
        </w:tc>
        <w:tc>
          <w:tcPr>
            <w:tcW w:w="1154"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参保资助覆盖率≥99%，得5分；95%≤预算支出完成率&lt;99%，得3分；预算支出完成率&lt;95%，得1分。</w:t>
            </w:r>
          </w:p>
        </w:tc>
        <w:tc>
          <w:tcPr>
            <w:tcW w:w="27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34"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2022</w:t>
            </w:r>
            <w:r>
              <w:rPr>
                <w:rStyle w:val="31"/>
                <w:rFonts w:hint="default" w:ascii="Times New Roman" w:hAnsi="Times New Roman" w:eastAsia="仿宋_GB2312" w:cs="Times New Roman"/>
                <w:lang w:val="en-US" w:eastAsia="zh-CN" w:bidi="ar"/>
              </w:rPr>
              <w:t>年符合资助条件的农村低收入人口资助参保政策覆盖率</w:t>
            </w:r>
            <w:r>
              <w:rPr>
                <w:rFonts w:hint="default" w:ascii="Times New Roman" w:hAnsi="Times New Roman" w:eastAsia="仿宋_GB2312" w:cs="Times New Roman"/>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产出时效</w:t>
            </w:r>
          </w:p>
        </w:tc>
        <w:tc>
          <w:tcPr>
            <w:tcW w:w="455"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医疗救助及时性（10）</w:t>
            </w:r>
          </w:p>
        </w:tc>
        <w:tc>
          <w:tcPr>
            <w:tcW w:w="1281"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主管部门是否在合规基础上提升审批效率以及救助资金支付的及时性。，用以反映救助的时效性。</w:t>
            </w:r>
          </w:p>
        </w:tc>
        <w:tc>
          <w:tcPr>
            <w:tcW w:w="1154"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审批效率加快且及时支付救助资金，得10分；审批效率没有变化且支付及时，得8分；审批效率下降但支付及时，得6分；审批效率下降且支付不及时，得4分；审批效率急速下降或支付非常不及时，得0分。</w:t>
            </w:r>
          </w:p>
        </w:tc>
        <w:tc>
          <w:tcPr>
            <w:tcW w:w="27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34"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调查，2022年部分二类救助对象参加其它医疗保险后，会导致救助对象无法享受“一站式”医疗救助服务，医保局采取手工追补，开启绿色通道，简化申请材料，仅要求救助对象提供身份证、社会保障卡、病史证明和医院费用结算单。对于三类救助对象，线下申请，逐层核实，分批审核，总体上能够在合理期限内及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效益（25）</w:t>
            </w: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社会效益（15）</w:t>
            </w:r>
          </w:p>
        </w:tc>
        <w:tc>
          <w:tcPr>
            <w:tcW w:w="45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医疗救助对象覆盖范围（7）</w:t>
            </w:r>
          </w:p>
        </w:tc>
        <w:tc>
          <w:tcPr>
            <w:tcW w:w="1281"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考察医疗救助对象对符合条件人群的覆盖范围。</w:t>
            </w:r>
          </w:p>
        </w:tc>
        <w:tc>
          <w:tcPr>
            <w:tcW w:w="1154"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扩大得7分；稳定得5分；下降得0分。</w:t>
            </w:r>
          </w:p>
        </w:tc>
        <w:tc>
          <w:tcPr>
            <w:tcW w:w="27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234"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减轻医疗负担（8）</w:t>
            </w:r>
          </w:p>
        </w:tc>
        <w:tc>
          <w:tcPr>
            <w:tcW w:w="1281"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困难群众医疗负担是否得以减轻，反映医疗救助保障程度。</w:t>
            </w:r>
          </w:p>
        </w:tc>
        <w:tc>
          <w:tcPr>
            <w:tcW w:w="1154"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eastAsia" w:ascii="Times New Roman" w:hAnsi="Times New Roman" w:eastAsia="仿宋_GB2312" w:cs="Times New Roman"/>
                <w:i w:val="0"/>
                <w:iCs w:val="0"/>
                <w:color w:val="000000"/>
                <w:kern w:val="0"/>
                <w:sz w:val="21"/>
                <w:szCs w:val="21"/>
                <w:u w:val="none"/>
                <w:lang w:val="en-US" w:eastAsia="zh-CN" w:bidi="ar"/>
              </w:rPr>
              <w:t>有效缓解得8分；一般减轻得5分；较小帮助得3分；没有帮助得0分。</w:t>
            </w:r>
          </w:p>
        </w:tc>
        <w:tc>
          <w:tcPr>
            <w:tcW w:w="275" w:type="pct"/>
            <w:shd w:val="clear" w:color="auto" w:fill="auto"/>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234" w:type="pct"/>
            <w:shd w:val="clear" w:color="auto" w:fill="auto"/>
            <w:vAlign w:val="center"/>
          </w:tcPr>
          <w:p>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困难群众医疗费用负担有效缓解。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满意度</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政策知晓度（5）</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面向辖区居民发放问卷，调查对医疗救助政策知晓程度。</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w:t>
            </w:r>
            <w:r>
              <w:rPr>
                <w:rStyle w:val="30"/>
                <w:rFonts w:hint="default" w:ascii="Times New Roman" w:hAnsi="Times New Roman" w:eastAsia="仿宋_GB2312" w:cs="Times New Roman"/>
                <w:lang w:val="en-US" w:eastAsia="zh-CN" w:bidi="ar"/>
              </w:rPr>
              <w:t>满意度</w:t>
            </w:r>
            <w:r>
              <w:rPr>
                <w:rFonts w:hint="default" w:ascii="Times New Roman" w:hAnsi="Times New Roman" w:eastAsia="仿宋_GB2312" w:cs="Times New Roman"/>
                <w:i w:val="0"/>
                <w:iCs w:val="0"/>
                <w:color w:val="000000"/>
                <w:kern w:val="0"/>
                <w:sz w:val="21"/>
                <w:szCs w:val="21"/>
                <w:u w:val="none"/>
                <w:lang w:val="en-US" w:eastAsia="zh-CN" w:bidi="ar"/>
              </w:rPr>
              <w:t>≥90%</w:t>
            </w:r>
            <w:r>
              <w:rPr>
                <w:rStyle w:val="30"/>
                <w:rFonts w:hint="default" w:ascii="Times New Roman" w:hAnsi="Times New Roman" w:eastAsia="仿宋_GB2312" w:cs="Times New Roman"/>
                <w:lang w:val="en-US" w:eastAsia="zh-CN" w:bidi="ar"/>
              </w:rPr>
              <w:t>的，得</w:t>
            </w:r>
            <w:r>
              <w:rPr>
                <w:rFonts w:hint="default" w:ascii="Times New Roman" w:hAnsi="Times New Roman" w:eastAsia="仿宋_GB2312" w:cs="Times New Roman"/>
                <w:i w:val="0"/>
                <w:iCs w:val="0"/>
                <w:color w:val="000000"/>
                <w:kern w:val="0"/>
                <w:sz w:val="21"/>
                <w:szCs w:val="21"/>
                <w:u w:val="none"/>
                <w:lang w:val="en-US" w:eastAsia="zh-CN" w:bidi="ar"/>
              </w:rPr>
              <w:t>10</w:t>
            </w:r>
            <w:r>
              <w:rPr>
                <w:rStyle w:val="30"/>
                <w:rFonts w:hint="default" w:ascii="Times New Roman" w:hAnsi="Times New Roman" w:eastAsia="仿宋_GB2312" w:cs="Times New Roman"/>
                <w:lang w:val="en-US" w:eastAsia="zh-CN" w:bidi="ar"/>
              </w:rPr>
              <w:t>分；</w:t>
            </w:r>
            <w:r>
              <w:rPr>
                <w:rStyle w:val="31"/>
                <w:rFonts w:hint="default" w:ascii="Times New Roman" w:hAnsi="Times New Roman" w:eastAsia="仿宋_GB2312" w:cs="Times New Roman"/>
                <w:lang w:val="en-US" w:eastAsia="zh-CN" w:bidi="ar"/>
              </w:rPr>
              <w:t>②</w:t>
            </w:r>
            <w:r>
              <w:rPr>
                <w:rFonts w:hint="default" w:ascii="Times New Roman" w:hAnsi="Times New Roman" w:eastAsia="仿宋_GB2312" w:cs="Times New Roman"/>
                <w:i w:val="0"/>
                <w:iCs w:val="0"/>
                <w:color w:val="000000"/>
                <w:kern w:val="0"/>
                <w:sz w:val="21"/>
                <w:szCs w:val="21"/>
                <w:u w:val="none"/>
                <w:lang w:val="en-US" w:eastAsia="zh-CN" w:bidi="ar"/>
              </w:rPr>
              <w:t>80%≤</w:t>
            </w:r>
            <w:r>
              <w:rPr>
                <w:rStyle w:val="31"/>
                <w:rFonts w:hint="default" w:ascii="Times New Roman" w:hAnsi="Times New Roman" w:eastAsia="仿宋_GB2312" w:cs="Times New Roman"/>
                <w:lang w:val="en-US" w:eastAsia="zh-CN" w:bidi="ar"/>
              </w:rPr>
              <w:t>满意度＜</w:t>
            </w:r>
            <w:r>
              <w:rPr>
                <w:rFonts w:hint="default" w:ascii="Times New Roman" w:hAnsi="Times New Roman" w:eastAsia="仿宋_GB2312" w:cs="Times New Roman"/>
                <w:i w:val="0"/>
                <w:iCs w:val="0"/>
                <w:color w:val="000000"/>
                <w:kern w:val="0"/>
                <w:sz w:val="21"/>
                <w:szCs w:val="21"/>
                <w:u w:val="none"/>
                <w:lang w:val="en-US" w:eastAsia="zh-CN" w:bidi="ar"/>
              </w:rPr>
              <w:t>90%</w:t>
            </w:r>
            <w:r>
              <w:rPr>
                <w:rStyle w:val="31"/>
                <w:rFonts w:hint="default" w:ascii="Times New Roman" w:hAnsi="Times New Roman" w:eastAsia="仿宋_GB2312" w:cs="Times New Roman"/>
                <w:lang w:val="en-US" w:eastAsia="zh-CN" w:bidi="ar"/>
              </w:rPr>
              <w:t>的，得</w:t>
            </w:r>
            <w:r>
              <w:rPr>
                <w:rFonts w:hint="default" w:ascii="Times New Roman" w:hAnsi="Times New Roman" w:eastAsia="仿宋_GB2312" w:cs="Times New Roman"/>
                <w:i w:val="0"/>
                <w:iCs w:val="0"/>
                <w:color w:val="000000"/>
                <w:kern w:val="0"/>
                <w:sz w:val="21"/>
                <w:szCs w:val="21"/>
                <w:u w:val="none"/>
                <w:lang w:val="en-US" w:eastAsia="zh-CN" w:bidi="ar"/>
              </w:rPr>
              <w:t>8</w:t>
            </w:r>
            <w:r>
              <w:rPr>
                <w:rStyle w:val="31"/>
                <w:rFonts w:hint="default" w:ascii="Times New Roman" w:hAnsi="Times New Roman" w:eastAsia="仿宋_GB2312" w:cs="Times New Roman"/>
                <w:lang w:val="en-US" w:eastAsia="zh-CN" w:bidi="ar"/>
              </w:rPr>
              <w:t>分；③70%≤满意度＜80%的，得6分；④60%≤满意度＜70%的，得4分；⑤满意度＜60%，得2分。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从问卷调查情况，居民对医疗救助政策知晓率不高，仅为76.61%，得3分</w:t>
            </w:r>
            <w:r>
              <w:rPr>
                <w:rFonts w:hint="eastAsia" w:eastAsia="仿宋_GB2312"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301"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296" w:type="pct"/>
            <w:vMerge w:val="continue"/>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455"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公众满意度（5）</w:t>
            </w:r>
          </w:p>
        </w:tc>
        <w:tc>
          <w:tcPr>
            <w:tcW w:w="1281"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面向辖区居民发放问卷，就缓解医疗费用负担、申请便利程度等方面实施满意度评价。</w:t>
            </w:r>
          </w:p>
        </w:tc>
        <w:tc>
          <w:tcPr>
            <w:tcW w:w="115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①</w:t>
            </w:r>
            <w:r>
              <w:rPr>
                <w:rStyle w:val="30"/>
                <w:rFonts w:hint="default" w:ascii="Times New Roman" w:hAnsi="Times New Roman" w:eastAsia="仿宋_GB2312" w:cs="Times New Roman"/>
                <w:lang w:val="en-US" w:eastAsia="zh-CN" w:bidi="ar"/>
              </w:rPr>
              <w:t>满意度</w:t>
            </w:r>
            <w:r>
              <w:rPr>
                <w:rFonts w:hint="default" w:ascii="Times New Roman" w:hAnsi="Times New Roman" w:eastAsia="仿宋_GB2312" w:cs="Times New Roman"/>
                <w:i w:val="0"/>
                <w:iCs w:val="0"/>
                <w:color w:val="000000"/>
                <w:kern w:val="0"/>
                <w:sz w:val="21"/>
                <w:szCs w:val="21"/>
                <w:u w:val="none"/>
                <w:lang w:val="en-US" w:eastAsia="zh-CN" w:bidi="ar"/>
              </w:rPr>
              <w:t>≥90%</w:t>
            </w:r>
            <w:r>
              <w:rPr>
                <w:rStyle w:val="30"/>
                <w:rFonts w:hint="default" w:ascii="Times New Roman" w:hAnsi="Times New Roman" w:eastAsia="仿宋_GB2312" w:cs="Times New Roman"/>
                <w:lang w:val="en-US" w:eastAsia="zh-CN" w:bidi="ar"/>
              </w:rPr>
              <w:t>的，得</w:t>
            </w:r>
            <w:r>
              <w:rPr>
                <w:rStyle w:val="31"/>
                <w:rFonts w:hint="default" w:ascii="Times New Roman" w:hAnsi="Times New Roman" w:eastAsia="仿宋_GB2312" w:cs="Times New Roman"/>
                <w:lang w:val="en-US" w:eastAsia="zh-CN" w:bidi="ar"/>
              </w:rPr>
              <w:t>5</w:t>
            </w:r>
            <w:r>
              <w:rPr>
                <w:rStyle w:val="30"/>
                <w:rFonts w:hint="default" w:ascii="Times New Roman" w:hAnsi="Times New Roman" w:eastAsia="仿宋_GB2312" w:cs="Times New Roman"/>
                <w:lang w:val="en-US" w:eastAsia="zh-CN" w:bidi="ar"/>
              </w:rPr>
              <w:t>分；</w:t>
            </w:r>
            <w:r>
              <w:rPr>
                <w:rStyle w:val="31"/>
                <w:rFonts w:hint="default" w:ascii="Times New Roman" w:hAnsi="Times New Roman" w:eastAsia="仿宋_GB2312" w:cs="Times New Roman"/>
                <w:lang w:val="en-US" w:eastAsia="zh-CN" w:bidi="ar"/>
              </w:rPr>
              <w:t>②</w:t>
            </w:r>
            <w:r>
              <w:rPr>
                <w:rFonts w:hint="default" w:ascii="Times New Roman" w:hAnsi="Times New Roman" w:eastAsia="仿宋_GB2312" w:cs="Times New Roman"/>
                <w:i w:val="0"/>
                <w:iCs w:val="0"/>
                <w:color w:val="000000"/>
                <w:kern w:val="0"/>
                <w:sz w:val="21"/>
                <w:szCs w:val="21"/>
                <w:u w:val="none"/>
                <w:lang w:val="en-US" w:eastAsia="zh-CN" w:bidi="ar"/>
              </w:rPr>
              <w:t>80%≤</w:t>
            </w:r>
            <w:r>
              <w:rPr>
                <w:rStyle w:val="31"/>
                <w:rFonts w:hint="default" w:ascii="Times New Roman" w:hAnsi="Times New Roman" w:eastAsia="仿宋_GB2312" w:cs="Times New Roman"/>
                <w:lang w:val="en-US" w:eastAsia="zh-CN" w:bidi="ar"/>
              </w:rPr>
              <w:t>满意度＜</w:t>
            </w:r>
            <w:r>
              <w:rPr>
                <w:rFonts w:hint="default" w:ascii="Times New Roman" w:hAnsi="Times New Roman" w:eastAsia="仿宋_GB2312" w:cs="Times New Roman"/>
                <w:i w:val="0"/>
                <w:iCs w:val="0"/>
                <w:color w:val="000000"/>
                <w:kern w:val="0"/>
                <w:sz w:val="21"/>
                <w:szCs w:val="21"/>
                <w:u w:val="none"/>
                <w:lang w:val="en-US" w:eastAsia="zh-CN" w:bidi="ar"/>
              </w:rPr>
              <w:t>90%</w:t>
            </w:r>
            <w:r>
              <w:rPr>
                <w:rStyle w:val="31"/>
                <w:rFonts w:hint="default" w:ascii="Times New Roman" w:hAnsi="Times New Roman" w:eastAsia="仿宋_GB2312" w:cs="Times New Roman"/>
                <w:lang w:val="en-US" w:eastAsia="zh-CN" w:bidi="ar"/>
              </w:rPr>
              <w:t>的，得4分；③70%≤满意度＜80%的，得3分；④60%≤满意度＜70%的，得2分；⑤满意度＜60%，得1分。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234" w:type="pct"/>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根据问卷调查结果，公众满意度为85.74%，根据评分标准，本项指标扣2分。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489" w:type="pct"/>
            <w:gridSpan w:val="5"/>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Style w:val="27"/>
                <w:rFonts w:hint="default" w:ascii="Times New Roman" w:hAnsi="Times New Roman" w:eastAsia="仿宋_GB2312" w:cs="Times New Roman"/>
                <w:lang w:val="en-US" w:eastAsia="zh-CN" w:bidi="ar"/>
              </w:rPr>
              <w:t>合计得分：</w:t>
            </w:r>
          </w:p>
        </w:tc>
        <w:tc>
          <w:tcPr>
            <w:tcW w:w="275" w:type="pc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9</w:t>
            </w:r>
            <w:r>
              <w:rPr>
                <w:rFonts w:hint="eastAsia" w:eastAsia="仿宋_GB2312" w:cs="Times New Roman"/>
                <w:b/>
                <w:bCs/>
                <w:i w:val="0"/>
                <w:iCs w:val="0"/>
                <w:color w:val="000000"/>
                <w:kern w:val="0"/>
                <w:sz w:val="21"/>
                <w:szCs w:val="21"/>
                <w:u w:val="none"/>
                <w:lang w:val="en-US" w:eastAsia="zh-CN" w:bidi="ar"/>
              </w:rPr>
              <w:t>2</w:t>
            </w:r>
          </w:p>
        </w:tc>
        <w:tc>
          <w:tcPr>
            <w:tcW w:w="1234" w:type="pct"/>
            <w:shd w:val="clear" w:color="auto" w:fill="auto"/>
            <w:noWrap/>
            <w:vAlign w:val="center"/>
          </w:tcPr>
          <w:p>
            <w:pPr>
              <w:rPr>
                <w:rFonts w:hint="default" w:ascii="Times New Roman" w:hAnsi="Times New Roman" w:eastAsia="仿宋_GB2312" w:cs="Times New Roman"/>
                <w:i w:val="0"/>
                <w:iCs w:val="0"/>
                <w:color w:val="000000"/>
                <w:sz w:val="21"/>
                <w:szCs w:val="21"/>
                <w:u w:val="none"/>
              </w:rPr>
            </w:pPr>
          </w:p>
        </w:tc>
      </w:tr>
    </w:tbl>
    <w:p>
      <w:pPr>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864A6-AB02-4FAA-8967-1CCB0C96FE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012F2776-2DE2-4D64-837E-D3BA75241D3D}"/>
  </w:font>
  <w:font w:name="仿宋">
    <w:panose1 w:val="02010609060101010101"/>
    <w:charset w:val="86"/>
    <w:family w:val="auto"/>
    <w:pitch w:val="default"/>
    <w:sig w:usb0="800002BF" w:usb1="38CF7CFA" w:usb2="00000016" w:usb3="00000000" w:csb0="00040001" w:csb1="00000000"/>
    <w:embedRegular r:id="rId3" w:fontKey="{5842ECA6-C35C-4853-B047-D479442894CB}"/>
  </w:font>
  <w:font w:name="time">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4" w:fontKey="{4AFA0446-5ADD-467F-8799-2637A208A204}"/>
  </w:font>
  <w:font w:name="方正小标宋_GBK">
    <w:panose1 w:val="02000000000000000000"/>
    <w:charset w:val="86"/>
    <w:family w:val="script"/>
    <w:pitch w:val="default"/>
    <w:sig w:usb0="A00002BF" w:usb1="38CF7CFA" w:usb2="00082016" w:usb3="00000000" w:csb0="00040001" w:csb1="00000000"/>
    <w:embedRegular r:id="rId5" w:fontKey="{02E7575F-6597-4856-8FCA-E7FC9E4AD0A2}"/>
  </w:font>
  <w:font w:name="楷体_GB2312">
    <w:panose1 w:val="02010609030101010101"/>
    <w:charset w:val="86"/>
    <w:family w:val="auto"/>
    <w:pitch w:val="default"/>
    <w:sig w:usb0="00000001" w:usb1="080E0000" w:usb2="00000000" w:usb3="00000000" w:csb0="00040000" w:csb1="00000000"/>
    <w:embedRegular r:id="rId6" w:fontKey="{3CD859E6-2241-4D09-A061-4B8EB4D9F6DF}"/>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A5FD0"/>
    <w:multiLevelType w:val="singleLevel"/>
    <w:tmpl w:val="C4DA5FD0"/>
    <w:lvl w:ilvl="0" w:tentative="0">
      <w:start w:val="1"/>
      <w:numFmt w:val="chineseCounting"/>
      <w:suff w:val="nothing"/>
      <w:lvlText w:val="（%1）"/>
      <w:lvlJc w:val="left"/>
      <w:pPr>
        <w:ind w:left="0" w:firstLine="420"/>
      </w:pPr>
      <w:rPr>
        <w:rFonts w:hint="eastAsia"/>
      </w:rPr>
    </w:lvl>
  </w:abstractNum>
  <w:abstractNum w:abstractNumId="1">
    <w:nsid w:val="44F515A7"/>
    <w:multiLevelType w:val="singleLevel"/>
    <w:tmpl w:val="44F515A7"/>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Tg3MzlmNTVkMWE0YjRhODRmZGJjYzY0YjM2ZjUifQ=="/>
  </w:docVars>
  <w:rsids>
    <w:rsidRoot w:val="5EA33BF8"/>
    <w:rsid w:val="00125861"/>
    <w:rsid w:val="00377BD7"/>
    <w:rsid w:val="00501EE6"/>
    <w:rsid w:val="012A55F3"/>
    <w:rsid w:val="01527EDF"/>
    <w:rsid w:val="016025FC"/>
    <w:rsid w:val="01626374"/>
    <w:rsid w:val="01687703"/>
    <w:rsid w:val="019D55FE"/>
    <w:rsid w:val="01EC5C3E"/>
    <w:rsid w:val="02222C6B"/>
    <w:rsid w:val="025D4D8E"/>
    <w:rsid w:val="029167E5"/>
    <w:rsid w:val="031A67DB"/>
    <w:rsid w:val="0370464D"/>
    <w:rsid w:val="03AC0546"/>
    <w:rsid w:val="03F67248"/>
    <w:rsid w:val="04FC43EA"/>
    <w:rsid w:val="051A51B8"/>
    <w:rsid w:val="055E48FF"/>
    <w:rsid w:val="05616943"/>
    <w:rsid w:val="0619721E"/>
    <w:rsid w:val="06BA630B"/>
    <w:rsid w:val="071952B1"/>
    <w:rsid w:val="07554285"/>
    <w:rsid w:val="07576E4D"/>
    <w:rsid w:val="07794418"/>
    <w:rsid w:val="07FC7DEA"/>
    <w:rsid w:val="080B3BC2"/>
    <w:rsid w:val="090D306A"/>
    <w:rsid w:val="09282EFB"/>
    <w:rsid w:val="09491BC8"/>
    <w:rsid w:val="09675015"/>
    <w:rsid w:val="09896468"/>
    <w:rsid w:val="09E87633"/>
    <w:rsid w:val="0A5922DF"/>
    <w:rsid w:val="0A8A06EA"/>
    <w:rsid w:val="0B13248D"/>
    <w:rsid w:val="0C01346C"/>
    <w:rsid w:val="0C9924F3"/>
    <w:rsid w:val="0CE916F8"/>
    <w:rsid w:val="0D0122AD"/>
    <w:rsid w:val="0D3A01A5"/>
    <w:rsid w:val="0DBE3131"/>
    <w:rsid w:val="0DC76AB2"/>
    <w:rsid w:val="0ECF491D"/>
    <w:rsid w:val="0F1003A7"/>
    <w:rsid w:val="0F2E736C"/>
    <w:rsid w:val="0F3E0C4C"/>
    <w:rsid w:val="0F4C2412"/>
    <w:rsid w:val="0F672DA8"/>
    <w:rsid w:val="0F87344A"/>
    <w:rsid w:val="0FDB6900"/>
    <w:rsid w:val="105E23FD"/>
    <w:rsid w:val="10947BCD"/>
    <w:rsid w:val="109B71AD"/>
    <w:rsid w:val="10B247FF"/>
    <w:rsid w:val="111B209C"/>
    <w:rsid w:val="113D0264"/>
    <w:rsid w:val="11405FA6"/>
    <w:rsid w:val="117F117E"/>
    <w:rsid w:val="118440E5"/>
    <w:rsid w:val="121C431D"/>
    <w:rsid w:val="12521AED"/>
    <w:rsid w:val="12922832"/>
    <w:rsid w:val="12A14823"/>
    <w:rsid w:val="12A8795F"/>
    <w:rsid w:val="13910057"/>
    <w:rsid w:val="13AA7707"/>
    <w:rsid w:val="13E946D3"/>
    <w:rsid w:val="14553B17"/>
    <w:rsid w:val="150A4901"/>
    <w:rsid w:val="154C2C7E"/>
    <w:rsid w:val="15A00DC2"/>
    <w:rsid w:val="15A703A2"/>
    <w:rsid w:val="15D05B4B"/>
    <w:rsid w:val="16AE750E"/>
    <w:rsid w:val="18102F24"/>
    <w:rsid w:val="18BA03EC"/>
    <w:rsid w:val="18E92B27"/>
    <w:rsid w:val="18F03E0E"/>
    <w:rsid w:val="19706CFD"/>
    <w:rsid w:val="19C86AE2"/>
    <w:rsid w:val="19E00326"/>
    <w:rsid w:val="1ACE63D1"/>
    <w:rsid w:val="1AD559B1"/>
    <w:rsid w:val="1AE31E7C"/>
    <w:rsid w:val="1AF23E6D"/>
    <w:rsid w:val="1B1F04D3"/>
    <w:rsid w:val="1B3F2E2B"/>
    <w:rsid w:val="1B55264E"/>
    <w:rsid w:val="1C56042C"/>
    <w:rsid w:val="1C8F7A67"/>
    <w:rsid w:val="1D0D2C58"/>
    <w:rsid w:val="1D210A3A"/>
    <w:rsid w:val="1D6152DA"/>
    <w:rsid w:val="1DA82F09"/>
    <w:rsid w:val="1E5B3943"/>
    <w:rsid w:val="1E6A6411"/>
    <w:rsid w:val="1E71154D"/>
    <w:rsid w:val="1EF108E0"/>
    <w:rsid w:val="1F6115C2"/>
    <w:rsid w:val="1FD61993"/>
    <w:rsid w:val="1FE47927"/>
    <w:rsid w:val="20104D96"/>
    <w:rsid w:val="201A746E"/>
    <w:rsid w:val="205B24B5"/>
    <w:rsid w:val="208C6B12"/>
    <w:rsid w:val="20E97AC1"/>
    <w:rsid w:val="20EF6140"/>
    <w:rsid w:val="21334D9E"/>
    <w:rsid w:val="213B0D78"/>
    <w:rsid w:val="218B0B78"/>
    <w:rsid w:val="223E3E3C"/>
    <w:rsid w:val="224407AF"/>
    <w:rsid w:val="22BD7457"/>
    <w:rsid w:val="236E24FF"/>
    <w:rsid w:val="23DC1B5F"/>
    <w:rsid w:val="23E4182C"/>
    <w:rsid w:val="24D12D46"/>
    <w:rsid w:val="24DE36B4"/>
    <w:rsid w:val="25B14925"/>
    <w:rsid w:val="25CE3729"/>
    <w:rsid w:val="262E41C8"/>
    <w:rsid w:val="26795443"/>
    <w:rsid w:val="269E134D"/>
    <w:rsid w:val="27037402"/>
    <w:rsid w:val="270F3FF9"/>
    <w:rsid w:val="27167136"/>
    <w:rsid w:val="27EB411E"/>
    <w:rsid w:val="281A4A03"/>
    <w:rsid w:val="283006CB"/>
    <w:rsid w:val="29CF7236"/>
    <w:rsid w:val="2ACD2201"/>
    <w:rsid w:val="2B277B63"/>
    <w:rsid w:val="2B434271"/>
    <w:rsid w:val="2B595843"/>
    <w:rsid w:val="2C9A25B7"/>
    <w:rsid w:val="2D945258"/>
    <w:rsid w:val="2E556795"/>
    <w:rsid w:val="2E70537D"/>
    <w:rsid w:val="2EDC2A13"/>
    <w:rsid w:val="2EFA733D"/>
    <w:rsid w:val="2F715851"/>
    <w:rsid w:val="2FBB5CAE"/>
    <w:rsid w:val="2FF26266"/>
    <w:rsid w:val="2FF67B04"/>
    <w:rsid w:val="301B3A0F"/>
    <w:rsid w:val="316E7B6E"/>
    <w:rsid w:val="318600D2"/>
    <w:rsid w:val="31C14142"/>
    <w:rsid w:val="3216448E"/>
    <w:rsid w:val="32543208"/>
    <w:rsid w:val="32963820"/>
    <w:rsid w:val="335334BF"/>
    <w:rsid w:val="335D7E9A"/>
    <w:rsid w:val="338B0EAB"/>
    <w:rsid w:val="33A67A93"/>
    <w:rsid w:val="33B75806"/>
    <w:rsid w:val="344E43B3"/>
    <w:rsid w:val="34777F6D"/>
    <w:rsid w:val="34C93A39"/>
    <w:rsid w:val="35380BBF"/>
    <w:rsid w:val="354B444E"/>
    <w:rsid w:val="35E328D9"/>
    <w:rsid w:val="35FA7C22"/>
    <w:rsid w:val="360F7B72"/>
    <w:rsid w:val="364610BA"/>
    <w:rsid w:val="36C175C6"/>
    <w:rsid w:val="37070849"/>
    <w:rsid w:val="37073193"/>
    <w:rsid w:val="37362EDC"/>
    <w:rsid w:val="38156F95"/>
    <w:rsid w:val="38AF1198"/>
    <w:rsid w:val="38E2331B"/>
    <w:rsid w:val="38F31085"/>
    <w:rsid w:val="39072D82"/>
    <w:rsid w:val="395B30CE"/>
    <w:rsid w:val="3A093F50"/>
    <w:rsid w:val="3A3000B7"/>
    <w:rsid w:val="3A5913BB"/>
    <w:rsid w:val="3A6C3EF9"/>
    <w:rsid w:val="3AA07E52"/>
    <w:rsid w:val="3ADB3A5F"/>
    <w:rsid w:val="3AEF1D20"/>
    <w:rsid w:val="3BA90120"/>
    <w:rsid w:val="3BE72F16"/>
    <w:rsid w:val="3CA01523"/>
    <w:rsid w:val="3D6F0EF6"/>
    <w:rsid w:val="3DD5344F"/>
    <w:rsid w:val="3E067AAC"/>
    <w:rsid w:val="3E265A58"/>
    <w:rsid w:val="3E5E3444"/>
    <w:rsid w:val="3E976956"/>
    <w:rsid w:val="3EB07A18"/>
    <w:rsid w:val="3F380E95"/>
    <w:rsid w:val="3FB672B0"/>
    <w:rsid w:val="40104C12"/>
    <w:rsid w:val="40552625"/>
    <w:rsid w:val="40730CFD"/>
    <w:rsid w:val="40BE01CA"/>
    <w:rsid w:val="41055DF9"/>
    <w:rsid w:val="41C061C4"/>
    <w:rsid w:val="41FD11C6"/>
    <w:rsid w:val="420E5181"/>
    <w:rsid w:val="421A58D4"/>
    <w:rsid w:val="422F1CFB"/>
    <w:rsid w:val="42C81561"/>
    <w:rsid w:val="42DC527F"/>
    <w:rsid w:val="42DE2DA6"/>
    <w:rsid w:val="42FF4ACA"/>
    <w:rsid w:val="43DB1093"/>
    <w:rsid w:val="43E837B0"/>
    <w:rsid w:val="445157F9"/>
    <w:rsid w:val="449958FD"/>
    <w:rsid w:val="45860D7E"/>
    <w:rsid w:val="46DD15C6"/>
    <w:rsid w:val="46E110B6"/>
    <w:rsid w:val="471E7C15"/>
    <w:rsid w:val="474D22A8"/>
    <w:rsid w:val="47FD6019"/>
    <w:rsid w:val="482252DB"/>
    <w:rsid w:val="48A405ED"/>
    <w:rsid w:val="48BB7FE4"/>
    <w:rsid w:val="48CF4DFD"/>
    <w:rsid w:val="49A41ED1"/>
    <w:rsid w:val="49A563CB"/>
    <w:rsid w:val="4A3C66FE"/>
    <w:rsid w:val="4A730277"/>
    <w:rsid w:val="4A9106FD"/>
    <w:rsid w:val="4AE01685"/>
    <w:rsid w:val="4B5A4F93"/>
    <w:rsid w:val="4B7B7ABD"/>
    <w:rsid w:val="4BA601D9"/>
    <w:rsid w:val="4BC73382"/>
    <w:rsid w:val="4BE11211"/>
    <w:rsid w:val="4C714C8A"/>
    <w:rsid w:val="4CA00239"/>
    <w:rsid w:val="4CD11285"/>
    <w:rsid w:val="4D665E71"/>
    <w:rsid w:val="4D986247"/>
    <w:rsid w:val="4DD311EA"/>
    <w:rsid w:val="4EA234EF"/>
    <w:rsid w:val="4EC015B1"/>
    <w:rsid w:val="4EF6542E"/>
    <w:rsid w:val="4EFE20DA"/>
    <w:rsid w:val="4F2064F4"/>
    <w:rsid w:val="4F7A20A8"/>
    <w:rsid w:val="51AB479B"/>
    <w:rsid w:val="52937F3D"/>
    <w:rsid w:val="52AF3E17"/>
    <w:rsid w:val="53114AD1"/>
    <w:rsid w:val="533267F6"/>
    <w:rsid w:val="533E33EC"/>
    <w:rsid w:val="5358625C"/>
    <w:rsid w:val="536C61AC"/>
    <w:rsid w:val="53AC0356"/>
    <w:rsid w:val="53B10062"/>
    <w:rsid w:val="5472334E"/>
    <w:rsid w:val="547C353A"/>
    <w:rsid w:val="548117E3"/>
    <w:rsid w:val="548337AD"/>
    <w:rsid w:val="55322ADD"/>
    <w:rsid w:val="5563713A"/>
    <w:rsid w:val="557E3F74"/>
    <w:rsid w:val="562543F0"/>
    <w:rsid w:val="56782B3C"/>
    <w:rsid w:val="57325016"/>
    <w:rsid w:val="57A777B2"/>
    <w:rsid w:val="57F81DBC"/>
    <w:rsid w:val="58346B6C"/>
    <w:rsid w:val="586A040E"/>
    <w:rsid w:val="587200BE"/>
    <w:rsid w:val="58F72073"/>
    <w:rsid w:val="59411541"/>
    <w:rsid w:val="59A65848"/>
    <w:rsid w:val="5A2C3F9F"/>
    <w:rsid w:val="5A754FD7"/>
    <w:rsid w:val="5A804CF3"/>
    <w:rsid w:val="5AB97222"/>
    <w:rsid w:val="5AE65C51"/>
    <w:rsid w:val="5AE82593"/>
    <w:rsid w:val="5BB97AB4"/>
    <w:rsid w:val="5BBE331C"/>
    <w:rsid w:val="5C2C0286"/>
    <w:rsid w:val="5C89373D"/>
    <w:rsid w:val="5CDB1629"/>
    <w:rsid w:val="5D1E0517"/>
    <w:rsid w:val="5D5C40A4"/>
    <w:rsid w:val="5D973E25"/>
    <w:rsid w:val="5E2D6537"/>
    <w:rsid w:val="5EA27B33"/>
    <w:rsid w:val="5EA33BF8"/>
    <w:rsid w:val="5F1D035A"/>
    <w:rsid w:val="5F2913F5"/>
    <w:rsid w:val="5FDC1FC3"/>
    <w:rsid w:val="600A2FD4"/>
    <w:rsid w:val="604C7149"/>
    <w:rsid w:val="60E16518"/>
    <w:rsid w:val="60F375C4"/>
    <w:rsid w:val="611B4D6D"/>
    <w:rsid w:val="612260FC"/>
    <w:rsid w:val="617701F5"/>
    <w:rsid w:val="622A170C"/>
    <w:rsid w:val="62A96AD4"/>
    <w:rsid w:val="62E57A34"/>
    <w:rsid w:val="635A392B"/>
    <w:rsid w:val="63BF7C32"/>
    <w:rsid w:val="6449399F"/>
    <w:rsid w:val="64794284"/>
    <w:rsid w:val="64964E36"/>
    <w:rsid w:val="65092761"/>
    <w:rsid w:val="65402C84"/>
    <w:rsid w:val="65426D6C"/>
    <w:rsid w:val="65DD0843"/>
    <w:rsid w:val="66216982"/>
    <w:rsid w:val="66842841"/>
    <w:rsid w:val="66F9345B"/>
    <w:rsid w:val="66FB71D3"/>
    <w:rsid w:val="67535261"/>
    <w:rsid w:val="67656D42"/>
    <w:rsid w:val="67672ABA"/>
    <w:rsid w:val="679465F4"/>
    <w:rsid w:val="67FD6F7B"/>
    <w:rsid w:val="68436ED9"/>
    <w:rsid w:val="68F640F6"/>
    <w:rsid w:val="69C73CE4"/>
    <w:rsid w:val="69CE5072"/>
    <w:rsid w:val="69F85C4B"/>
    <w:rsid w:val="6A1B7B8C"/>
    <w:rsid w:val="6A641533"/>
    <w:rsid w:val="6A8D0A8A"/>
    <w:rsid w:val="6B09349C"/>
    <w:rsid w:val="6B7C465A"/>
    <w:rsid w:val="6C4A4161"/>
    <w:rsid w:val="6D5533B5"/>
    <w:rsid w:val="6D667370"/>
    <w:rsid w:val="6DA22A9E"/>
    <w:rsid w:val="6E192634"/>
    <w:rsid w:val="6EE3511C"/>
    <w:rsid w:val="6F215C44"/>
    <w:rsid w:val="6F6F4C02"/>
    <w:rsid w:val="6FA83C70"/>
    <w:rsid w:val="6FFD66B2"/>
    <w:rsid w:val="70585696"/>
    <w:rsid w:val="71306A35"/>
    <w:rsid w:val="713F0604"/>
    <w:rsid w:val="714B0D57"/>
    <w:rsid w:val="71D92CBD"/>
    <w:rsid w:val="720974D8"/>
    <w:rsid w:val="726E73F3"/>
    <w:rsid w:val="733A5527"/>
    <w:rsid w:val="733F48EB"/>
    <w:rsid w:val="738549F4"/>
    <w:rsid w:val="74BD640F"/>
    <w:rsid w:val="756E770A"/>
    <w:rsid w:val="75B94E29"/>
    <w:rsid w:val="7691545E"/>
    <w:rsid w:val="76B6461C"/>
    <w:rsid w:val="76E71522"/>
    <w:rsid w:val="76EC08E6"/>
    <w:rsid w:val="770654D5"/>
    <w:rsid w:val="779E52A1"/>
    <w:rsid w:val="77AB254F"/>
    <w:rsid w:val="782854AF"/>
    <w:rsid w:val="78CD795E"/>
    <w:rsid w:val="79C45B4A"/>
    <w:rsid w:val="7A170370"/>
    <w:rsid w:val="7A574C10"/>
    <w:rsid w:val="7A637111"/>
    <w:rsid w:val="7ACF0C4A"/>
    <w:rsid w:val="7ADB75EF"/>
    <w:rsid w:val="7B4707E1"/>
    <w:rsid w:val="7B4C4049"/>
    <w:rsid w:val="7CBC51FE"/>
    <w:rsid w:val="7CFF725B"/>
    <w:rsid w:val="7D2B3C9A"/>
    <w:rsid w:val="7E8458A8"/>
    <w:rsid w:val="7F2C5094"/>
    <w:rsid w:val="7F460DAF"/>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ind w:firstLine="480" w:firstLineChars="200"/>
      <w:outlineLvl w:val="0"/>
    </w:pPr>
    <w:rPr>
      <w:rFonts w:ascii="Times New Roman" w:hAnsi="Times New Roman" w:eastAsia="黑体"/>
      <w:b/>
      <w:kern w:val="44"/>
      <w:sz w:val="32"/>
    </w:rPr>
  </w:style>
  <w:style w:type="paragraph" w:styleId="3">
    <w:name w:val="heading 2"/>
    <w:basedOn w:val="1"/>
    <w:next w:val="1"/>
    <w:unhideWhenUsed/>
    <w:qFormat/>
    <w:uiPriority w:val="0"/>
    <w:pPr>
      <w:keepNext/>
      <w:keepLines/>
      <w:spacing w:beforeLines="0" w:beforeAutospacing="0" w:afterLines="0" w:afterAutospacing="0" w:line="600" w:lineRule="exact"/>
      <w:ind w:firstLine="480" w:firstLineChars="200"/>
      <w:outlineLvl w:val="1"/>
    </w:pPr>
    <w:rPr>
      <w:rFonts w:ascii="Arial" w:hAnsi="Arial" w:eastAsia="楷体"/>
      <w:b/>
      <w:sz w:val="32"/>
    </w:rPr>
  </w:style>
  <w:style w:type="paragraph" w:styleId="4">
    <w:name w:val="heading 3"/>
    <w:basedOn w:val="1"/>
    <w:next w:val="1"/>
    <w:unhideWhenUsed/>
    <w:qFormat/>
    <w:uiPriority w:val="0"/>
    <w:pPr>
      <w:keepNext/>
      <w:keepLines/>
      <w:spacing w:line="600" w:lineRule="exact"/>
      <w:ind w:firstLine="480" w:firstLineChars="200"/>
      <w:outlineLvl w:val="2"/>
    </w:pPr>
    <w:rPr>
      <w:rFonts w:ascii="Times New Roman" w:hAnsi="Times New Roman" w:eastAsia="仿宋"/>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rFonts w:ascii="time" w:hAnsi="time" w:eastAsia="仿宋_GB2312"/>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qFormat/>
    <w:uiPriority w:val="39"/>
    <w:pPr>
      <w:ind w:left="420" w:leftChars="200"/>
    </w:pPr>
    <w:rPr>
      <w:rFonts w:ascii="Times New Roman" w:hAnsi="Times New Roman"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character" w:customStyle="1" w:styleId="19">
    <w:name w:val="font91"/>
    <w:basedOn w:val="15"/>
    <w:qFormat/>
    <w:uiPriority w:val="0"/>
    <w:rPr>
      <w:rFonts w:ascii="仿宋" w:hAnsi="仿宋" w:eastAsia="仿宋" w:cs="仿宋"/>
      <w:b/>
      <w:bCs/>
      <w:color w:val="000000"/>
      <w:sz w:val="36"/>
      <w:szCs w:val="36"/>
      <w:u w:val="none"/>
    </w:rPr>
  </w:style>
  <w:style w:type="character" w:customStyle="1" w:styleId="20">
    <w:name w:val="font101"/>
    <w:basedOn w:val="15"/>
    <w:qFormat/>
    <w:uiPriority w:val="0"/>
    <w:rPr>
      <w:rFonts w:hint="eastAsia" w:ascii="仿宋" w:hAnsi="仿宋" w:eastAsia="仿宋" w:cs="仿宋"/>
      <w:b/>
      <w:bCs/>
      <w:color w:val="000000"/>
      <w:sz w:val="21"/>
      <w:szCs w:val="21"/>
      <w:u w:val="none"/>
    </w:rPr>
  </w:style>
  <w:style w:type="character" w:customStyle="1" w:styleId="21">
    <w:name w:val="font31"/>
    <w:basedOn w:val="15"/>
    <w:qFormat/>
    <w:uiPriority w:val="0"/>
    <w:rPr>
      <w:rFonts w:hint="eastAsia" w:ascii="仿宋" w:hAnsi="仿宋" w:eastAsia="仿宋" w:cs="仿宋"/>
      <w:b/>
      <w:bCs/>
      <w:color w:val="000000"/>
      <w:sz w:val="21"/>
      <w:szCs w:val="21"/>
      <w:u w:val="none"/>
    </w:rPr>
  </w:style>
  <w:style w:type="character" w:customStyle="1" w:styleId="22">
    <w:name w:val="font41"/>
    <w:basedOn w:val="15"/>
    <w:qFormat/>
    <w:uiPriority w:val="0"/>
    <w:rPr>
      <w:rFonts w:hint="eastAsia" w:ascii="仿宋" w:hAnsi="仿宋" w:eastAsia="仿宋" w:cs="仿宋"/>
      <w:b/>
      <w:bCs/>
      <w:color w:val="000000"/>
      <w:sz w:val="21"/>
      <w:szCs w:val="21"/>
      <w:u w:val="none"/>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font51"/>
    <w:basedOn w:val="15"/>
    <w:qFormat/>
    <w:uiPriority w:val="0"/>
    <w:rPr>
      <w:rFonts w:hint="eastAsia" w:ascii="仿宋" w:hAnsi="仿宋" w:eastAsia="仿宋" w:cs="仿宋"/>
      <w:b/>
      <w:bCs/>
      <w:color w:val="000000"/>
      <w:sz w:val="24"/>
      <w:szCs w:val="24"/>
      <w:u w:val="none"/>
    </w:rPr>
  </w:style>
  <w:style w:type="character" w:customStyle="1" w:styleId="25">
    <w:name w:val="font71"/>
    <w:basedOn w:val="15"/>
    <w:qFormat/>
    <w:uiPriority w:val="0"/>
    <w:rPr>
      <w:rFonts w:hint="eastAsia" w:ascii="仿宋" w:hAnsi="仿宋" w:eastAsia="仿宋" w:cs="仿宋"/>
      <w:b/>
      <w:bCs/>
      <w:color w:val="000000"/>
      <w:sz w:val="24"/>
      <w:szCs w:val="24"/>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11"/>
    <w:basedOn w:val="15"/>
    <w:qFormat/>
    <w:uiPriority w:val="0"/>
    <w:rPr>
      <w:rFonts w:hint="eastAsia" w:ascii="仿宋" w:hAnsi="仿宋" w:eastAsia="仿宋" w:cs="仿宋"/>
      <w:b/>
      <w:bCs/>
      <w:color w:val="000000"/>
      <w:sz w:val="21"/>
      <w:szCs w:val="21"/>
      <w:u w:val="none"/>
    </w:rPr>
  </w:style>
  <w:style w:type="character" w:customStyle="1" w:styleId="28">
    <w:name w:val="font81"/>
    <w:basedOn w:val="15"/>
    <w:qFormat/>
    <w:uiPriority w:val="0"/>
    <w:rPr>
      <w:rFonts w:hint="eastAsia" w:ascii="宋体" w:hAnsi="宋体" w:eastAsia="宋体" w:cs="宋体"/>
      <w:color w:val="000000"/>
      <w:sz w:val="21"/>
      <w:szCs w:val="21"/>
      <w:u w:val="none"/>
    </w:rPr>
  </w:style>
  <w:style w:type="character" w:customStyle="1" w:styleId="29">
    <w:name w:val="font21"/>
    <w:basedOn w:val="15"/>
    <w:qFormat/>
    <w:uiPriority w:val="0"/>
    <w:rPr>
      <w:rFonts w:hint="eastAsia" w:ascii="仿宋" w:hAnsi="仿宋" w:eastAsia="仿宋" w:cs="仿宋"/>
      <w:color w:val="000000"/>
      <w:sz w:val="21"/>
      <w:szCs w:val="21"/>
      <w:u w:val="none"/>
    </w:rPr>
  </w:style>
  <w:style w:type="character" w:customStyle="1" w:styleId="30">
    <w:name w:val="font112"/>
    <w:basedOn w:val="15"/>
    <w:qFormat/>
    <w:uiPriority w:val="0"/>
    <w:rPr>
      <w:rFonts w:hint="eastAsia" w:ascii="仿宋" w:hAnsi="仿宋" w:eastAsia="仿宋" w:cs="仿宋"/>
      <w:color w:val="000000"/>
      <w:sz w:val="21"/>
      <w:szCs w:val="21"/>
      <w:u w:val="none"/>
    </w:rPr>
  </w:style>
  <w:style w:type="character" w:customStyle="1" w:styleId="31">
    <w:name w:val="font6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10561</Words>
  <Characters>11381</Characters>
  <Lines>0</Lines>
  <Paragraphs>0</Paragraphs>
  <TotalTime>2</TotalTime>
  <ScaleCrop>false</ScaleCrop>
  <LinksUpToDate>false</LinksUpToDate>
  <CharactersWithSpaces>11513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2023-09-13T09:44:00Z</dcterms:created>
  <dc:creator>汤</dc:creator>
  <cp:lastModifiedBy>文档存本地丢失不负责</cp:lastModifiedBy>
  <dcterms:modified xsi:type="dcterms:W3CDTF">2023-12-19T15:08:04Z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F849B7B931D74CFBB3F4D153C0BACD67_13</vt:lpwstr>
  </property>
</Properties>
</file>