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Times New Roman" w:hAnsi="Times New Roman" w:cs="Times New Roman" w:eastAsiaTheme="majorEastAsia"/>
          <w:b/>
          <w:bCs/>
          <w:color w:val="auto"/>
          <w:sz w:val="44"/>
          <w:szCs w:val="44"/>
        </w:rPr>
      </w:pPr>
    </w:p>
    <w:p>
      <w:pPr>
        <w:spacing w:line="480" w:lineRule="auto"/>
        <w:jc w:val="center"/>
        <w:rPr>
          <w:rFonts w:hint="default" w:ascii="Times New Roman" w:hAnsi="Times New Roman" w:cs="Times New Roman" w:eastAsiaTheme="majorEastAsia"/>
          <w:b/>
          <w:bCs/>
          <w:color w:val="auto"/>
          <w:sz w:val="44"/>
          <w:szCs w:val="44"/>
        </w:rPr>
      </w:pPr>
    </w:p>
    <w:p>
      <w:pPr>
        <w:spacing w:line="480" w:lineRule="auto"/>
        <w:jc w:val="center"/>
        <w:rPr>
          <w:rFonts w:hint="default" w:ascii="Times New Roman" w:hAnsi="Times New Roman" w:cs="Times New Roman" w:eastAsiaTheme="majorEastAsia"/>
          <w:b/>
          <w:bCs/>
          <w:color w:val="auto"/>
          <w:sz w:val="44"/>
          <w:szCs w:val="44"/>
        </w:rPr>
      </w:pPr>
    </w:p>
    <w:p>
      <w:pPr>
        <w:spacing w:line="480" w:lineRule="auto"/>
        <w:jc w:val="center"/>
        <w:rPr>
          <w:rFonts w:hint="default" w:ascii="Times New Roman" w:hAnsi="Times New Roman" w:cs="Times New Roman" w:eastAsiaTheme="majorEastAsia"/>
          <w:b/>
          <w:bCs/>
          <w:color w:val="auto"/>
          <w:sz w:val="44"/>
          <w:szCs w:val="44"/>
        </w:rPr>
      </w:pPr>
    </w:p>
    <w:p>
      <w:pPr>
        <w:spacing w:line="600" w:lineRule="exact"/>
        <w:ind w:firstLine="0" w:firstLineChars="0"/>
        <w:jc w:val="center"/>
        <w:rPr>
          <w:rFonts w:hint="eastAsia" w:ascii="Times New Roman" w:hAnsi="Times New Roman" w:eastAsia="方正小标宋_GBK" w:cs="Times New Roman"/>
          <w:sz w:val="36"/>
          <w:szCs w:val="36"/>
          <w:lang w:val="en-US" w:eastAsia="zh-CN"/>
        </w:rPr>
      </w:pPr>
      <w:bookmarkStart w:id="0" w:name="_Toc5248"/>
      <w:r>
        <w:rPr>
          <w:rFonts w:hint="eastAsia" w:ascii="Times New Roman" w:hAnsi="Times New Roman" w:eastAsia="方正小标宋_GBK" w:cs="Times New Roman"/>
          <w:sz w:val="36"/>
          <w:szCs w:val="36"/>
          <w:lang w:val="en-US" w:eastAsia="zh-CN"/>
        </w:rPr>
        <w:t>岳阳楼区2022年站前路街道办事处</w:t>
      </w:r>
      <w:bookmarkEnd w:id="0"/>
    </w:p>
    <w:p>
      <w:pPr>
        <w:spacing w:line="600" w:lineRule="exact"/>
        <w:ind w:firstLine="0" w:firstLineChars="0"/>
        <w:jc w:val="center"/>
        <w:rPr>
          <w:rFonts w:hint="eastAsia" w:ascii="Times New Roman" w:hAnsi="Times New Roman" w:eastAsia="方正小标宋_GBK" w:cs="Times New Roman"/>
          <w:sz w:val="36"/>
          <w:szCs w:val="36"/>
          <w:lang w:val="en-US" w:eastAsia="zh-CN"/>
        </w:rPr>
      </w:pPr>
      <w:bookmarkStart w:id="1" w:name="_Toc5704"/>
      <w:r>
        <w:rPr>
          <w:rFonts w:hint="eastAsia" w:ascii="Times New Roman" w:hAnsi="Times New Roman" w:eastAsia="方正小标宋_GBK" w:cs="Times New Roman"/>
          <w:sz w:val="36"/>
          <w:szCs w:val="36"/>
          <w:lang w:val="en-US" w:eastAsia="zh-CN"/>
        </w:rPr>
        <w:t>部门整体支出绩效评价报告</w:t>
      </w:r>
      <w:bookmarkEnd w:id="1"/>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outlineLvl w:val="0"/>
        <w:rPr>
          <w:rFonts w:hint="eastAsia" w:ascii="Times New Roman" w:hAnsi="Times New Roman" w:eastAsia="仿宋" w:cs="Times New Roman"/>
          <w:b/>
          <w:bCs/>
          <w:color w:val="auto"/>
          <w:sz w:val="36"/>
          <w:szCs w:val="36"/>
          <w:lang w:val="en-US" w:eastAsia="zh-CN"/>
        </w:rPr>
      </w:pPr>
      <w:r>
        <w:rPr>
          <w:rFonts w:hint="eastAsia" w:ascii="Times New Roman" w:hAnsi="Times New Roman" w:eastAsia="仿宋" w:cs="Times New Roman"/>
          <w:b/>
          <w:bCs/>
          <w:color w:val="auto"/>
          <w:sz w:val="36"/>
          <w:szCs w:val="36"/>
          <w:lang w:val="en-US" w:eastAsia="zh-CN"/>
        </w:rPr>
        <w:t>委托单位：岳阳楼区财政局</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outlineLvl w:val="0"/>
        <w:rPr>
          <w:rFonts w:hint="eastAsia" w:ascii="Times New Roman" w:hAnsi="Times New Roman" w:eastAsia="仿宋" w:cs="Times New Roman"/>
          <w:b/>
          <w:bCs/>
          <w:color w:val="auto"/>
          <w:sz w:val="36"/>
          <w:szCs w:val="36"/>
          <w:lang w:val="en-US" w:eastAsia="zh-CN"/>
        </w:rPr>
      </w:pPr>
      <w:r>
        <w:rPr>
          <w:rFonts w:hint="eastAsia" w:ascii="Times New Roman" w:hAnsi="Times New Roman" w:eastAsia="仿宋" w:cs="Times New Roman"/>
          <w:b/>
          <w:bCs/>
          <w:color w:val="auto"/>
          <w:sz w:val="36"/>
          <w:szCs w:val="36"/>
          <w:lang w:val="en-US" w:eastAsia="zh-CN"/>
        </w:rPr>
        <w:t>被评单位：岳阳市岳阳楼区站前路街道办事处</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outlineLvl w:val="0"/>
        <w:rPr>
          <w:rFonts w:hint="eastAsia" w:ascii="仿宋" w:hAnsi="仿宋" w:eastAsia="仿宋" w:cs="仿宋"/>
          <w:b w:val="0"/>
          <w:bCs w:val="0"/>
          <w:color w:val="auto"/>
          <w:sz w:val="36"/>
          <w:szCs w:val="36"/>
        </w:rPr>
      </w:pPr>
      <w:r>
        <w:rPr>
          <w:rFonts w:hint="eastAsia" w:ascii="Times New Roman" w:hAnsi="Times New Roman" w:eastAsia="仿宋" w:cs="Times New Roman"/>
          <w:b/>
          <w:bCs/>
          <w:color w:val="auto"/>
          <w:sz w:val="36"/>
          <w:szCs w:val="36"/>
          <w:lang w:val="en-US" w:eastAsia="zh-CN"/>
        </w:rPr>
        <w:t>评价单位：中政智信（北京）经济咨询有限公司</w:t>
      </w:r>
    </w:p>
    <w:p>
      <w:pPr>
        <w:spacing w:line="360" w:lineRule="auto"/>
        <w:rPr>
          <w:rFonts w:hint="eastAsia" w:ascii="仿宋" w:hAnsi="仿宋" w:eastAsia="仿宋" w:cs="仿宋"/>
          <w:b/>
          <w:bCs/>
          <w:color w:val="auto"/>
          <w:sz w:val="36"/>
          <w:szCs w:val="36"/>
        </w:rPr>
      </w:pPr>
    </w:p>
    <w:p>
      <w:pPr>
        <w:spacing w:line="360" w:lineRule="auto"/>
        <w:ind w:left="630" w:leftChars="300"/>
        <w:jc w:val="center"/>
        <w:rPr>
          <w:rFonts w:hint="default" w:ascii="Times New Roman" w:hAnsi="Times New Roman" w:eastAsia="仿宋" w:cs="Times New Roman"/>
          <w:b w:val="0"/>
          <w:bCs w:val="0"/>
          <w:color w:val="auto"/>
          <w:sz w:val="36"/>
          <w:szCs w:val="36"/>
        </w:rPr>
      </w:pPr>
      <w:r>
        <w:rPr>
          <w:rFonts w:hint="default" w:ascii="Times New Roman" w:hAnsi="Times New Roman" w:eastAsia="仿宋" w:cs="Times New Roman"/>
          <w:b w:val="0"/>
          <w:bCs w:val="0"/>
          <w:color w:val="auto"/>
          <w:sz w:val="32"/>
          <w:szCs w:val="32"/>
        </w:rPr>
        <w:t>2023年</w:t>
      </w:r>
      <w:r>
        <w:rPr>
          <w:rFonts w:hint="default" w:ascii="Times New Roman" w:hAnsi="Times New Roman" w:eastAsia="仿宋" w:cs="Times New Roman"/>
          <w:b w:val="0"/>
          <w:bCs w:val="0"/>
          <w:color w:val="auto"/>
          <w:sz w:val="32"/>
          <w:szCs w:val="32"/>
          <w:lang w:val="en-US" w:eastAsia="zh-CN"/>
        </w:rPr>
        <w:t>10</w:t>
      </w:r>
      <w:r>
        <w:rPr>
          <w:rFonts w:hint="default" w:ascii="Times New Roman" w:hAnsi="Times New Roman" w:eastAsia="仿宋" w:cs="Times New Roman"/>
          <w:b w:val="0"/>
          <w:bCs w:val="0"/>
          <w:color w:val="auto"/>
          <w:sz w:val="32"/>
          <w:szCs w:val="32"/>
        </w:rPr>
        <w:t>月</w:t>
      </w:r>
    </w:p>
    <w:p>
      <w:pPr>
        <w:spacing w:line="360" w:lineRule="auto"/>
        <w:ind w:left="630" w:leftChars="300"/>
        <w:jc w:val="center"/>
        <w:rPr>
          <w:rFonts w:hint="default" w:ascii="Times New Roman" w:hAnsi="Times New Roman" w:cs="Times New Roman" w:eastAsiaTheme="majorEastAsia"/>
          <w:b/>
          <w:bCs/>
          <w:color w:val="auto"/>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3"/>
        <w:tblW w:w="9330" w:type="dxa"/>
        <w:jc w:val="center"/>
        <w:tblLayout w:type="fixed"/>
        <w:tblCellMar>
          <w:top w:w="0" w:type="dxa"/>
          <w:left w:w="108" w:type="dxa"/>
          <w:bottom w:w="0" w:type="dxa"/>
          <w:right w:w="108" w:type="dxa"/>
        </w:tblCellMar>
      </w:tblPr>
      <w:tblGrid>
        <w:gridCol w:w="2185"/>
        <w:gridCol w:w="2098"/>
        <w:gridCol w:w="1607"/>
        <w:gridCol w:w="1213"/>
        <w:gridCol w:w="1157"/>
        <w:gridCol w:w="1070"/>
      </w:tblGrid>
      <w:tr>
        <w:tblPrEx>
          <w:tblCellMar>
            <w:top w:w="0" w:type="dxa"/>
            <w:left w:w="108" w:type="dxa"/>
            <w:bottom w:w="0" w:type="dxa"/>
            <w:right w:w="108" w:type="dxa"/>
          </w:tblCellMar>
        </w:tblPrEx>
        <w:trPr>
          <w:trHeight w:val="48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outlineLvl w:val="0"/>
              <w:rPr>
                <w:rFonts w:hint="default" w:ascii="黑体" w:hAnsi="宋体" w:eastAsia="黑体" w:cs="黑体"/>
                <w:color w:val="auto"/>
                <w:sz w:val="36"/>
                <w:szCs w:val="36"/>
              </w:rPr>
            </w:pPr>
            <w:bookmarkStart w:id="2" w:name="_Toc25286"/>
            <w:bookmarkStart w:id="3" w:name="_Toc29551"/>
            <w:bookmarkStart w:id="4" w:name="_Toc11867"/>
            <w:bookmarkStart w:id="5" w:name="_Toc7874"/>
            <w:bookmarkStart w:id="6" w:name="_Toc28293"/>
            <w:bookmarkStart w:id="7" w:name="_Toc17653"/>
            <w:bookmarkStart w:id="8" w:name="_Toc9907"/>
            <w:r>
              <w:rPr>
                <w:rFonts w:hint="eastAsia" w:ascii="黑体" w:hAnsi="宋体" w:eastAsia="黑体" w:cs="黑体"/>
                <w:color w:val="auto"/>
                <w:kern w:val="0"/>
                <w:sz w:val="36"/>
                <w:szCs w:val="36"/>
              </w:rPr>
              <w:t>一、项目概况</w:t>
            </w:r>
            <w:bookmarkEnd w:id="2"/>
            <w:bookmarkEnd w:id="3"/>
            <w:bookmarkEnd w:id="4"/>
            <w:bookmarkEnd w:id="5"/>
            <w:bookmarkEnd w:id="6"/>
            <w:bookmarkEnd w:id="7"/>
            <w:bookmarkEnd w:id="8"/>
          </w:p>
        </w:tc>
      </w:tr>
      <w:tr>
        <w:tblPrEx>
          <w:tblCellMar>
            <w:top w:w="0" w:type="dxa"/>
            <w:left w:w="108" w:type="dxa"/>
            <w:bottom w:w="0" w:type="dxa"/>
            <w:right w:w="108" w:type="dxa"/>
          </w:tblCellMar>
        </w:tblPrEx>
        <w:trPr>
          <w:trHeight w:val="580" w:hRule="atLeast"/>
          <w:jc w:val="center"/>
        </w:trPr>
        <w:tc>
          <w:tcPr>
            <w:tcW w:w="2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业务</w:t>
            </w:r>
            <w:r>
              <w:rPr>
                <w:rFonts w:hint="eastAsia" w:ascii="仿宋" w:hAnsi="仿宋" w:eastAsia="仿宋" w:cs="仿宋"/>
                <w:color w:val="auto"/>
                <w:kern w:val="0"/>
                <w:sz w:val="24"/>
                <w:szCs w:val="24"/>
              </w:rPr>
              <w:t>负责人</w:t>
            </w:r>
          </w:p>
        </w:tc>
        <w:tc>
          <w:tcPr>
            <w:tcW w:w="3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 xml:space="preserve">吴倩 </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联系电话</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仿宋" w:hAnsi="仿宋" w:eastAsia="仿宋" w:cs="仿宋"/>
                <w:color w:val="auto"/>
                <w:sz w:val="24"/>
                <w:szCs w:val="24"/>
                <w:highlight w:val="none"/>
                <w:lang w:val="en-US" w:eastAsia="zh-CN"/>
              </w:rPr>
            </w:pPr>
            <w:r>
              <w:rPr>
                <w:rFonts w:hint="default" w:ascii="Times New Roman" w:hAnsi="Times New Roman" w:eastAsia="仿宋" w:cs="Times New Roman"/>
                <w:kern w:val="2"/>
                <w:sz w:val="21"/>
                <w:szCs w:val="24"/>
                <w:highlight w:val="none"/>
                <w:lang w:val="en-US" w:eastAsia="zh-CN" w:bidi="ar-SA"/>
              </w:rPr>
              <w:t xml:space="preserve">13789003891 </w:t>
            </w:r>
            <w:r>
              <w:rPr>
                <w:rFonts w:hint="eastAsia" w:ascii="仿宋" w:hAnsi="仿宋" w:eastAsia="仿宋" w:cs="仿宋"/>
                <w:kern w:val="2"/>
                <w:sz w:val="21"/>
                <w:szCs w:val="24"/>
                <w:highlight w:val="none"/>
                <w:lang w:val="en-US" w:eastAsia="zh-CN" w:bidi="ar-SA"/>
              </w:rPr>
              <w:t xml:space="preserve"> </w:t>
            </w:r>
          </w:p>
        </w:tc>
      </w:tr>
      <w:tr>
        <w:tblPrEx>
          <w:tblCellMar>
            <w:top w:w="0" w:type="dxa"/>
            <w:left w:w="108" w:type="dxa"/>
            <w:bottom w:w="0" w:type="dxa"/>
            <w:right w:w="108" w:type="dxa"/>
          </w:tblCellMar>
        </w:tblPrEx>
        <w:trPr>
          <w:trHeight w:val="6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单位地址</w:t>
            </w:r>
          </w:p>
        </w:tc>
        <w:tc>
          <w:tcPr>
            <w:tcW w:w="3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center"/>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湖南省岳阳市岳阳楼区站前路</w:t>
            </w:r>
            <w:r>
              <w:rPr>
                <w:rFonts w:hint="default" w:ascii="Times New Roman" w:hAnsi="Times New Roman" w:eastAsia="仿宋" w:cs="Times New Roman"/>
                <w:color w:val="auto"/>
                <w:sz w:val="24"/>
                <w:szCs w:val="24"/>
                <w:highlight w:val="none"/>
                <w:lang w:val="en-US" w:eastAsia="zh-CN"/>
              </w:rPr>
              <w:t>226</w:t>
            </w:r>
            <w:r>
              <w:rPr>
                <w:rFonts w:hint="eastAsia" w:ascii="仿宋" w:hAnsi="仿宋" w:eastAsia="仿宋" w:cs="仿宋"/>
                <w:color w:val="auto"/>
                <w:sz w:val="24"/>
                <w:szCs w:val="24"/>
                <w:highlight w:val="none"/>
                <w:lang w:val="en-US" w:eastAsia="zh-CN"/>
              </w:rPr>
              <w:t>号</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邮政编码</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414000</w:t>
            </w:r>
          </w:p>
        </w:tc>
      </w:tr>
      <w:tr>
        <w:tblPrEx>
          <w:tblCellMar>
            <w:top w:w="0" w:type="dxa"/>
            <w:left w:w="108" w:type="dxa"/>
            <w:bottom w:w="0" w:type="dxa"/>
            <w:right w:w="108" w:type="dxa"/>
          </w:tblCellMar>
        </w:tblPrEx>
        <w:trPr>
          <w:trHeight w:val="108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项目类型</w:t>
            </w:r>
          </w:p>
        </w:tc>
        <w:tc>
          <w:tcPr>
            <w:tcW w:w="7145"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kern w:val="0"/>
                <w:sz w:val="32"/>
                <w:szCs w:val="32"/>
              </w:rPr>
            </w:pPr>
            <w:r>
              <w:rPr>
                <w:rFonts w:hint="eastAsia" w:ascii="仿宋" w:hAnsi="仿宋" w:eastAsia="仿宋" w:cs="仿宋"/>
                <w:color w:val="auto"/>
                <w:kern w:val="0"/>
                <w:sz w:val="24"/>
                <w:szCs w:val="24"/>
              </w:rPr>
              <w:t>公益性和公共基础设施建设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4"/>
                <w:szCs w:val="24"/>
              </w:rPr>
              <w:t xml:space="preserve"> 保护和改善生态环境</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32"/>
                <w:szCs w:val="32"/>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促进欠发达地区经济和社会发展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科技进步和高新技术产业化</w:t>
            </w:r>
            <w:r>
              <w:rPr>
                <w:rFonts w:hint="eastAsia" w:ascii="仿宋" w:hAnsi="仿宋" w:eastAsia="仿宋" w:cs="仿宋"/>
                <w:color w:val="auto"/>
                <w:kern w:val="0"/>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其他</w:t>
            </w:r>
            <w:r>
              <w:rPr>
                <w:rFonts w:hint="eastAsia" w:ascii="仿宋" w:hAnsi="仿宋" w:eastAsia="仿宋" w:cs="仿宋"/>
                <w:color w:val="auto"/>
                <w:kern w:val="0"/>
                <w:sz w:val="24"/>
                <w:szCs w:val="24"/>
                <w:lang w:eastAsia="zh-CN"/>
              </w:rPr>
              <w:t>☑</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项目支出</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default" w:ascii="Times New Roman" w:hAnsi="Times New Roman" w:eastAsia="仿宋" w:cs="Times New Roman"/>
                <w:color w:val="auto"/>
                <w:kern w:val="0"/>
                <w:sz w:val="24"/>
                <w:szCs w:val="24"/>
                <w:lang w:val="en-US" w:eastAsia="zh-CN"/>
              </w:rPr>
              <w:t>站前路街道办事处决算支出为2,026.12万元</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项目起止时间</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月-2022年</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月</w:t>
            </w:r>
          </w:p>
        </w:tc>
      </w:tr>
      <w:tr>
        <w:tblPrEx>
          <w:tblCellMar>
            <w:top w:w="0" w:type="dxa"/>
            <w:left w:w="108" w:type="dxa"/>
            <w:bottom w:w="0" w:type="dxa"/>
            <w:right w:w="108" w:type="dxa"/>
          </w:tblCellMar>
        </w:tblPrEx>
        <w:trPr>
          <w:trHeight w:val="68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项目总投入</w:t>
            </w:r>
          </w:p>
        </w:tc>
        <w:tc>
          <w:tcPr>
            <w:tcW w:w="37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Times New Roman" w:hAnsi="Times New Roman" w:eastAsia="仿宋" w:cs="Times New Roman"/>
                <w:color w:val="auto"/>
                <w:kern w:val="0"/>
                <w:sz w:val="24"/>
                <w:szCs w:val="24"/>
                <w:lang w:val="en-US" w:eastAsia="zh-CN"/>
              </w:rPr>
              <w:t>2,169.39万元</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财政资金</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Times New Roman" w:hAnsi="Times New Roman" w:eastAsia="仿宋" w:cs="Times New Roman"/>
                <w:color w:val="auto"/>
                <w:kern w:val="0"/>
                <w:sz w:val="24"/>
                <w:szCs w:val="24"/>
                <w:lang w:val="en-US" w:eastAsia="zh-CN"/>
              </w:rPr>
              <w:t>2,169.39万元</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二、综合评价结论</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评价机构</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绩效评价综合得分</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default" w:ascii="Times New Roman" w:hAnsi="Times New Roman" w:eastAsia="仿宋" w:cs="Times New Roman"/>
                <w:color w:val="auto"/>
                <w:sz w:val="24"/>
                <w:szCs w:val="24"/>
                <w:lang w:val="en-US" w:eastAsia="zh-CN"/>
              </w:rPr>
              <w:t>83</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绩效绩次级别评定</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良好</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三、评价人员及机构</w:t>
            </w:r>
          </w:p>
        </w:tc>
      </w:tr>
      <w:tr>
        <w:tblPrEx>
          <w:tblCellMar>
            <w:top w:w="0" w:type="dxa"/>
            <w:left w:w="108" w:type="dxa"/>
            <w:bottom w:w="0" w:type="dxa"/>
            <w:right w:w="108" w:type="dxa"/>
          </w:tblCellMar>
        </w:tblPrEx>
        <w:trPr>
          <w:trHeight w:val="400" w:hRule="atLeast"/>
          <w:jc w:val="center"/>
        </w:trPr>
        <w:tc>
          <w:tcPr>
            <w:tcW w:w="2185"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姓名</w:t>
            </w:r>
          </w:p>
        </w:tc>
        <w:tc>
          <w:tcPr>
            <w:tcW w:w="2098"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专业</w:t>
            </w:r>
          </w:p>
        </w:tc>
        <w:tc>
          <w:tcPr>
            <w:tcW w:w="1607"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职称</w:t>
            </w:r>
          </w:p>
        </w:tc>
        <w:tc>
          <w:tcPr>
            <w:tcW w:w="237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w:t>
            </w:r>
          </w:p>
        </w:tc>
        <w:tc>
          <w:tcPr>
            <w:tcW w:w="1070"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签字</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肖平</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工商管理</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注册咨询工程师</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07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凌莉</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会计</w:t>
            </w:r>
            <w:r>
              <w:rPr>
                <w:rFonts w:hint="eastAsia" w:ascii="仿宋" w:hAnsi="仿宋" w:eastAsia="仿宋" w:cs="仿宋"/>
                <w:color w:val="auto"/>
                <w:kern w:val="0"/>
                <w:sz w:val="24"/>
                <w:szCs w:val="24"/>
                <w:highlight w:val="none"/>
                <w:lang w:val="en-US" w:eastAsia="zh-CN"/>
              </w:rPr>
              <w:t>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咨询经理</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07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邓荣强</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咨询经理</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c>
          <w:tcPr>
            <w:tcW w:w="107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2185"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汤慧兰</w:t>
            </w:r>
          </w:p>
        </w:tc>
        <w:tc>
          <w:tcPr>
            <w:tcW w:w="2098"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分析顾问</w:t>
            </w:r>
          </w:p>
        </w:tc>
        <w:tc>
          <w:tcPr>
            <w:tcW w:w="237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中政智信（北京）经济咨询有限公司</w:t>
            </w:r>
          </w:p>
        </w:tc>
        <w:tc>
          <w:tcPr>
            <w:tcW w:w="107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2185"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康莉</w:t>
            </w:r>
          </w:p>
        </w:tc>
        <w:tc>
          <w:tcPr>
            <w:tcW w:w="2098"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会计学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分析助理</w:t>
            </w:r>
          </w:p>
        </w:tc>
        <w:tc>
          <w:tcPr>
            <w:tcW w:w="237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中政智信（北京）经济咨询有限公司</w:t>
            </w:r>
          </w:p>
        </w:tc>
        <w:tc>
          <w:tcPr>
            <w:tcW w:w="107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098" w:type="dxa"/>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607"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370" w:type="dxa"/>
            <w:gridSpan w:val="2"/>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070" w:type="dxa"/>
            <w:tcBorders>
              <w:top w:val="single" w:color="auto" w:sz="4" w:space="0"/>
              <w:left w:val="nil"/>
              <w:bottom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4283" w:type="dxa"/>
            <w:gridSpan w:val="2"/>
            <w:tcBorders>
              <w:top w:val="nil"/>
              <w:left w:val="single" w:color="auto" w:sz="4" w:space="0"/>
              <w:bottom w:val="nil"/>
              <w:right w:val="single" w:color="auto" w:sz="4" w:space="0"/>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r>
              <w:rPr>
                <w:rFonts w:hint="eastAsia" w:ascii="仿宋" w:hAnsi="仿宋" w:eastAsia="仿宋" w:cs="仿宋"/>
                <w:color w:val="auto"/>
                <w:kern w:val="0"/>
                <w:sz w:val="24"/>
                <w:szCs w:val="24"/>
              </w:rPr>
              <w:t>中介机构负责人（签字）：</w:t>
            </w:r>
          </w:p>
        </w:tc>
        <w:tc>
          <w:tcPr>
            <w:tcW w:w="3977" w:type="dxa"/>
            <w:gridSpan w:val="3"/>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评价组负责人（签字）：</w:t>
            </w:r>
          </w:p>
        </w:tc>
        <w:tc>
          <w:tcPr>
            <w:tcW w:w="107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5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sz w:val="24"/>
                <w:szCs w:val="24"/>
              </w:rPr>
            </w:pPr>
          </w:p>
        </w:tc>
        <w:tc>
          <w:tcPr>
            <w:tcW w:w="107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5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07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5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p>
        </w:tc>
        <w:tc>
          <w:tcPr>
            <w:tcW w:w="107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325" w:hRule="atLeast"/>
          <w:jc w:val="center"/>
        </w:trPr>
        <w:tc>
          <w:tcPr>
            <w:tcW w:w="4283" w:type="dxa"/>
            <w:gridSpan w:val="2"/>
            <w:tcBorders>
              <w:top w:val="nil"/>
              <w:left w:val="single" w:color="auto" w:sz="4" w:space="0"/>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c>
          <w:tcPr>
            <w:tcW w:w="1607" w:type="dxa"/>
            <w:tcBorders>
              <w:top w:val="nil"/>
              <w:left w:val="single" w:color="auto" w:sz="4" w:space="0"/>
              <w:bottom w:val="single" w:color="auto" w:sz="4" w:space="0"/>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c>
          <w:tcPr>
            <w:tcW w:w="1213" w:type="dxa"/>
            <w:tcBorders>
              <w:top w:val="nil"/>
              <w:left w:val="nil"/>
              <w:bottom w:val="single" w:color="auto" w:sz="4" w:space="0"/>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227" w:type="dxa"/>
            <w:gridSpan w:val="2"/>
            <w:tcBorders>
              <w:top w:val="nil"/>
              <w:left w:val="nil"/>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r>
    </w:tbl>
    <w:p>
      <w:pPr>
        <w:spacing w:line="360" w:lineRule="auto"/>
        <w:ind w:left="630" w:leftChars="300"/>
        <w:jc w:val="both"/>
        <w:rPr>
          <w:rFonts w:hint="default" w:ascii="Times New Roman" w:hAnsi="Times New Roman" w:cs="Times New Roman" w:eastAsiaTheme="majorEastAsia"/>
          <w:b/>
          <w:bCs/>
          <w:color w:val="auto"/>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default" w:ascii="Times New Roman" w:hAnsi="Times New Roman" w:eastAsia="仿宋" w:cs="Times New Roman"/>
          <w:color w:val="auto"/>
          <w:kern w:val="2"/>
          <w:sz w:val="21"/>
          <w:szCs w:val="24"/>
          <w:lang w:val="en-US" w:eastAsia="zh-CN" w:bidi="ar-SA"/>
        </w:rPr>
        <w:id w:val="147482991"/>
        <w15:color w:val="DBDBDB"/>
        <w:docPartObj>
          <w:docPartGallery w:val="Table of Contents"/>
          <w:docPartUnique/>
        </w:docPartObj>
      </w:sdtPr>
      <w:sdtEndPr>
        <w:rPr>
          <w:rFonts w:hint="default" w:ascii="Times New Roman" w:hAnsi="Times New Roman" w:cs="Times New Roman" w:eastAsiaTheme="minorEastAsia"/>
          <w:color w:val="auto"/>
          <w:kern w:val="2"/>
          <w:sz w:val="21"/>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rPr>
          </w:pPr>
          <w:r>
            <w:rPr>
              <w:rFonts w:hint="default" w:ascii="宋体" w:hAnsi="宋体" w:eastAsia="宋体" w:cs="Times New Roman"/>
              <w:b/>
              <w:bCs/>
              <w:sz w:val="32"/>
              <w:szCs w:val="40"/>
            </w:rPr>
            <w:t>目</w:t>
          </w:r>
          <w:r>
            <w:rPr>
              <w:rFonts w:hint="eastAsia" w:ascii="宋体" w:hAnsi="宋体" w:eastAsia="宋体" w:cs="Times New Roman"/>
              <w:b/>
              <w:bCs/>
              <w:sz w:val="32"/>
              <w:szCs w:val="40"/>
              <w:lang w:val="en-US" w:eastAsia="zh-CN"/>
            </w:rPr>
            <w:t xml:space="preserve">  </w:t>
          </w:r>
          <w:r>
            <w:rPr>
              <w:rFonts w:hint="default" w:ascii="宋体" w:hAnsi="宋体" w:eastAsia="宋体" w:cs="Times New Roman"/>
              <w:b/>
              <w:bCs/>
              <w:sz w:val="32"/>
              <w:szCs w:val="40"/>
            </w:rPr>
            <w:t>录</w:t>
          </w:r>
        </w:p>
        <w:p>
          <w:pPr>
            <w:pStyle w:val="11"/>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"1-3" \h \u </w:instrText>
          </w:r>
          <w:r>
            <w:rPr>
              <w:rFonts w:hint="default" w:ascii="Times New Roman" w:hAnsi="Times New Roman" w:cs="Times New Roman"/>
              <w:color w:val="auto"/>
            </w:rPr>
            <w:fldChar w:fldCharType="separate"/>
          </w: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_Toc31270 </w:instrText>
          </w:r>
          <w:r>
            <w:rPr>
              <w:rFonts w:hint="default" w:ascii="Times New Roman" w:hAnsi="Times New Roman" w:cs="Times New Roman"/>
            </w:rPr>
            <w:fldChar w:fldCharType="separate"/>
          </w:r>
          <w:r>
            <w:rPr>
              <w:rFonts w:hint="eastAsia" w:ascii="Times New Roman" w:hAnsi="Times New Roman" w:eastAsia="黑体" w:cs="Times New Roman"/>
              <w:kern w:val="44"/>
              <w:szCs w:val="32"/>
              <w:lang w:val="en-US" w:eastAsia="zh-CN" w:bidi="ar-SA"/>
            </w:rPr>
            <w:t>一、</w:t>
          </w:r>
          <w:r>
            <w:rPr>
              <w:rFonts w:hint="default" w:ascii="Times New Roman" w:hAnsi="Times New Roman" w:eastAsia="黑体" w:cs="Times New Roman"/>
              <w:szCs w:val="32"/>
            </w:rPr>
            <w:t>部门概况</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_Toc31270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color w:val="auto"/>
            </w:rPr>
            <w:fldChar w:fldCharType="end"/>
          </w:r>
        </w:p>
        <w:p>
          <w:pPr>
            <w:pStyle w:val="11"/>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_Toc26556 </w:instrText>
          </w:r>
          <w:r>
            <w:rPr>
              <w:rFonts w:hint="default" w:ascii="Times New Roman" w:hAnsi="Times New Roman" w:cs="Times New Roman"/>
            </w:rPr>
            <w:fldChar w:fldCharType="separate"/>
          </w:r>
          <w:r>
            <w:rPr>
              <w:rFonts w:hint="eastAsia" w:ascii="Times New Roman" w:hAnsi="Times New Roman" w:eastAsia="黑体" w:cs="Times New Roman"/>
              <w:kern w:val="44"/>
              <w:szCs w:val="32"/>
              <w:lang w:val="en-US" w:eastAsia="zh-CN" w:bidi="ar-SA"/>
            </w:rPr>
            <w:t>二、</w:t>
          </w:r>
          <w:r>
            <w:rPr>
              <w:rFonts w:hint="default" w:ascii="Times New Roman" w:hAnsi="Times New Roman" w:eastAsia="黑体" w:cs="Times New Roman"/>
              <w:szCs w:val="32"/>
            </w:rPr>
            <w:t>预算支出基本情况</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_Toc26556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_Toc10772 </w:instrText>
          </w:r>
          <w:r>
            <w:rPr>
              <w:rFonts w:hint="default" w:ascii="Times New Roman" w:hAnsi="Times New Roman" w:cs="Times New Roman"/>
            </w:rPr>
            <w:fldChar w:fldCharType="separate"/>
          </w:r>
          <w:r>
            <w:rPr>
              <w:rFonts w:hint="eastAsia" w:ascii="Times New Roman" w:hAnsi="Times New Roman" w:eastAsia="楷体" w:cs="Times New Roman"/>
              <w:bCs w:val="0"/>
            </w:rPr>
            <w:t xml:space="preserve">（一） </w:t>
          </w:r>
          <w:r>
            <w:rPr>
              <w:rFonts w:hint="eastAsia" w:ascii="Times New Roman" w:hAnsi="Times New Roman" w:eastAsia="楷体" w:cs="Times New Roman"/>
              <w:bCs w:val="0"/>
              <w:lang w:val="en-US" w:eastAsia="zh-CN"/>
            </w:rPr>
            <w:t>部门收支</w:t>
          </w:r>
          <w:r>
            <w:rPr>
              <w:rFonts w:hint="default" w:ascii="Times New Roman" w:hAnsi="Times New Roman" w:eastAsia="楷体" w:cs="Times New Roman"/>
              <w:bCs w:val="0"/>
            </w:rPr>
            <w:t>总体情况</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_Toc10772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_Toc22705 </w:instrText>
          </w:r>
          <w:r>
            <w:rPr>
              <w:rFonts w:hint="default" w:ascii="Times New Roman" w:hAnsi="Times New Roman" w:cs="Times New Roman"/>
            </w:rPr>
            <w:fldChar w:fldCharType="separate"/>
          </w:r>
          <w:r>
            <w:rPr>
              <w:rFonts w:hint="default" w:ascii="Times New Roman" w:hAnsi="Times New Roman" w:eastAsia="楷体" w:cs="Times New Roman"/>
              <w:bCs w:val="0"/>
            </w:rPr>
            <w:t>（二）预算支出分项情况</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_Toc22705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3</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_Toc26396 </w:instrText>
          </w:r>
          <w:r>
            <w:rPr>
              <w:rFonts w:hint="default" w:ascii="Times New Roman" w:hAnsi="Times New Roman" w:cs="Times New Roman"/>
            </w:rPr>
            <w:fldChar w:fldCharType="separate"/>
          </w:r>
          <w:r>
            <w:rPr>
              <w:rFonts w:hint="default" w:ascii="Times New Roman" w:hAnsi="Times New Roman" w:eastAsia="仿宋" w:cs="Times New Roman"/>
            </w:rPr>
            <w:t>1.基本支出</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_Toc26396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3</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_Toc15240 </w:instrText>
          </w:r>
          <w:r>
            <w:rPr>
              <w:rFonts w:hint="default" w:ascii="Times New Roman" w:hAnsi="Times New Roman" w:cs="Times New Roman"/>
            </w:rPr>
            <w:fldChar w:fldCharType="separate"/>
          </w:r>
          <w:r>
            <w:rPr>
              <w:rFonts w:hint="default" w:ascii="Times New Roman" w:hAnsi="Times New Roman" w:eastAsia="仿宋" w:cs="Times New Roman"/>
            </w:rPr>
            <w:t>2.项目支出</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_Toc15240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4</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1"/>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_Toc5101 </w:instrText>
          </w:r>
          <w:r>
            <w:rPr>
              <w:rFonts w:hint="default" w:ascii="Times New Roman" w:hAnsi="Times New Roman" w:cs="Times New Roman"/>
            </w:rPr>
            <w:fldChar w:fldCharType="separate"/>
          </w:r>
          <w:r>
            <w:rPr>
              <w:rFonts w:hint="eastAsia" w:ascii="Times New Roman" w:hAnsi="Times New Roman" w:eastAsia="黑体" w:cs="Times New Roman"/>
              <w:kern w:val="44"/>
              <w:szCs w:val="32"/>
              <w:lang w:val="en-US" w:eastAsia="zh-CN" w:bidi="ar-SA"/>
            </w:rPr>
            <w:t>三、</w:t>
          </w:r>
          <w:r>
            <w:rPr>
              <w:rFonts w:hint="default" w:ascii="Times New Roman" w:hAnsi="Times New Roman" w:eastAsia="黑体" w:cs="Times New Roman"/>
              <w:szCs w:val="32"/>
            </w:rPr>
            <w:t>绩效评价工作情况</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_Toc5101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_Toc19381 </w:instrText>
          </w:r>
          <w:r>
            <w:rPr>
              <w:rFonts w:hint="default" w:ascii="Times New Roman" w:hAnsi="Times New Roman" w:cs="Times New Roman"/>
            </w:rPr>
            <w:fldChar w:fldCharType="separate"/>
          </w:r>
          <w:r>
            <w:rPr>
              <w:rFonts w:hint="default" w:ascii="Times New Roman" w:hAnsi="Times New Roman" w:eastAsia="楷体" w:cs="Times New Roman"/>
              <w:bCs w:val="0"/>
            </w:rPr>
            <w:t>（一）评价方法、指标体系和评分定级</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_Toc19381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4</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_Toc23458 </w:instrText>
          </w:r>
          <w:r>
            <w:rPr>
              <w:rFonts w:hint="default" w:ascii="Times New Roman" w:hAnsi="Times New Roman" w:cs="Times New Roman"/>
            </w:rPr>
            <w:fldChar w:fldCharType="separate"/>
          </w:r>
          <w:r>
            <w:rPr>
              <w:rFonts w:hint="default" w:ascii="Times New Roman" w:hAnsi="Times New Roman" w:eastAsia="仿宋" w:cs="Times New Roman"/>
            </w:rPr>
            <w:t>1.评价方法</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_Toc23458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4</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_Toc22396 </w:instrText>
          </w:r>
          <w:r>
            <w:rPr>
              <w:rFonts w:hint="default" w:ascii="Times New Roman" w:hAnsi="Times New Roman" w:cs="Times New Roman"/>
            </w:rPr>
            <w:fldChar w:fldCharType="separate"/>
          </w:r>
          <w:r>
            <w:rPr>
              <w:rFonts w:hint="default" w:ascii="Times New Roman" w:hAnsi="Times New Roman" w:eastAsia="仿宋" w:cs="Times New Roman"/>
            </w:rPr>
            <w:t>2.指标体系</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_Toc22396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4</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_Toc11455 </w:instrText>
          </w:r>
          <w:r>
            <w:rPr>
              <w:rFonts w:hint="default" w:ascii="Times New Roman" w:hAnsi="Times New Roman" w:cs="Times New Roman"/>
            </w:rPr>
            <w:fldChar w:fldCharType="separate"/>
          </w:r>
          <w:r>
            <w:rPr>
              <w:rFonts w:hint="default" w:ascii="Times New Roman" w:hAnsi="Times New Roman" w:eastAsia="仿宋" w:cs="Times New Roman"/>
            </w:rPr>
            <w:t>3.评分定级</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_Toc11455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5</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_Toc12144 </w:instrText>
          </w:r>
          <w:r>
            <w:rPr>
              <w:rFonts w:hint="default" w:ascii="Times New Roman" w:hAnsi="Times New Roman" w:cs="Times New Roman"/>
            </w:rPr>
            <w:fldChar w:fldCharType="separate"/>
          </w:r>
          <w:r>
            <w:rPr>
              <w:rFonts w:hint="default" w:ascii="Times New Roman" w:hAnsi="Times New Roman" w:eastAsia="楷体" w:cs="Times New Roman"/>
              <w:bCs w:val="0"/>
            </w:rPr>
            <w:t>（</w:t>
          </w:r>
          <w:r>
            <w:rPr>
              <w:rFonts w:hint="default" w:ascii="Times New Roman" w:hAnsi="Times New Roman" w:eastAsia="楷体" w:cs="Times New Roman"/>
              <w:bCs w:val="0"/>
              <w:lang w:val="en-US" w:eastAsia="zh-CN"/>
            </w:rPr>
            <w:t>二</w:t>
          </w:r>
          <w:r>
            <w:rPr>
              <w:rFonts w:hint="default" w:ascii="Times New Roman" w:hAnsi="Times New Roman" w:eastAsia="楷体" w:cs="Times New Roman"/>
              <w:bCs w:val="0"/>
            </w:rPr>
            <w:t>）绩效评价过程</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_Toc12144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5</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_Toc18722 </w:instrText>
          </w:r>
          <w:r>
            <w:rPr>
              <w:rFonts w:hint="default" w:ascii="Times New Roman" w:hAnsi="Times New Roman" w:cs="Times New Roman"/>
            </w:rPr>
            <w:fldChar w:fldCharType="separate"/>
          </w:r>
          <w:r>
            <w:rPr>
              <w:rFonts w:hint="default" w:ascii="Times New Roman" w:hAnsi="Times New Roman" w:eastAsia="仿宋" w:cs="Times New Roman"/>
            </w:rPr>
            <w:t>1.成立评价组织</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_Toc18722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5</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_Toc23338 </w:instrText>
          </w:r>
          <w:r>
            <w:rPr>
              <w:rFonts w:hint="default" w:ascii="Times New Roman" w:hAnsi="Times New Roman" w:cs="Times New Roman"/>
            </w:rPr>
            <w:fldChar w:fldCharType="separate"/>
          </w:r>
          <w:r>
            <w:rPr>
              <w:rFonts w:hint="default" w:ascii="Times New Roman" w:hAnsi="Times New Roman" w:eastAsia="仿宋" w:cs="Times New Roman"/>
            </w:rPr>
            <w:t>2.召开项目启动会</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_Toc23338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5</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_Toc31338 </w:instrText>
          </w:r>
          <w:r>
            <w:rPr>
              <w:rFonts w:hint="default" w:ascii="Times New Roman" w:hAnsi="Times New Roman" w:cs="Times New Roman"/>
            </w:rPr>
            <w:fldChar w:fldCharType="separate"/>
          </w:r>
          <w:r>
            <w:rPr>
              <w:rFonts w:hint="default" w:ascii="Times New Roman" w:hAnsi="Times New Roman" w:eastAsia="仿宋" w:cs="Times New Roman"/>
            </w:rPr>
            <w:t>3.非现场评价</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_Toc31338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5</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_Toc1168 </w:instrText>
          </w:r>
          <w:r>
            <w:rPr>
              <w:rFonts w:hint="default" w:ascii="Times New Roman" w:hAnsi="Times New Roman" w:cs="Times New Roman"/>
            </w:rPr>
            <w:fldChar w:fldCharType="separate"/>
          </w:r>
          <w:r>
            <w:rPr>
              <w:rFonts w:hint="default" w:ascii="Times New Roman" w:hAnsi="Times New Roman" w:eastAsia="仿宋" w:cs="Times New Roman"/>
            </w:rPr>
            <w:t>4.现场调研</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_Toc1168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_Toc13983 </w:instrText>
          </w:r>
          <w:r>
            <w:rPr>
              <w:rFonts w:hint="default" w:ascii="Times New Roman" w:hAnsi="Times New Roman" w:cs="Times New Roman"/>
            </w:rPr>
            <w:fldChar w:fldCharType="separate"/>
          </w:r>
          <w:r>
            <w:rPr>
              <w:rFonts w:hint="default" w:ascii="Times New Roman" w:hAnsi="Times New Roman" w:eastAsia="仿宋" w:cs="Times New Roman"/>
            </w:rPr>
            <w:t>5.内部专家研讨</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_Toc13983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_Toc22105 </w:instrText>
          </w:r>
          <w:r>
            <w:rPr>
              <w:rFonts w:hint="default" w:ascii="Times New Roman" w:hAnsi="Times New Roman" w:cs="Times New Roman"/>
            </w:rPr>
            <w:fldChar w:fldCharType="separate"/>
          </w:r>
          <w:r>
            <w:rPr>
              <w:rFonts w:hint="default" w:ascii="Times New Roman" w:hAnsi="Times New Roman" w:eastAsia="仿宋" w:cs="Times New Roman"/>
            </w:rPr>
            <w:t>6.形成评价结论</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_Toc22105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_Toc7976 </w:instrText>
          </w:r>
          <w:r>
            <w:rPr>
              <w:rFonts w:hint="default" w:ascii="Times New Roman" w:hAnsi="Times New Roman" w:cs="Times New Roman"/>
            </w:rPr>
            <w:fldChar w:fldCharType="separate"/>
          </w:r>
          <w:r>
            <w:rPr>
              <w:rFonts w:hint="default" w:ascii="Times New Roman" w:hAnsi="Times New Roman" w:eastAsia="仿宋" w:cs="Times New Roman"/>
            </w:rPr>
            <w:t>7.撰写评价报告</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_Toc7976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7</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1"/>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_Toc12214 </w:instrText>
          </w:r>
          <w:r>
            <w:rPr>
              <w:rFonts w:hint="default" w:ascii="Times New Roman" w:hAnsi="Times New Roman" w:cs="Times New Roman"/>
            </w:rPr>
            <w:fldChar w:fldCharType="separate"/>
          </w:r>
          <w:r>
            <w:rPr>
              <w:rFonts w:hint="eastAsia" w:ascii="Times New Roman" w:hAnsi="Times New Roman" w:eastAsia="黑体" w:cs="Times New Roman"/>
              <w:kern w:val="44"/>
              <w:szCs w:val="32"/>
              <w:lang w:val="en-US" w:eastAsia="zh-CN" w:bidi="ar-SA"/>
            </w:rPr>
            <w:t>四、</w:t>
          </w:r>
          <w:r>
            <w:rPr>
              <w:rFonts w:hint="eastAsia" w:ascii="Times New Roman" w:hAnsi="Times New Roman" w:eastAsia="黑体" w:cs="Times New Roman"/>
              <w:szCs w:val="32"/>
              <w:lang w:val="en-US" w:eastAsia="zh-CN"/>
            </w:rPr>
            <w:t>综合</w:t>
          </w:r>
          <w:r>
            <w:rPr>
              <w:rFonts w:hint="default" w:ascii="Times New Roman" w:hAnsi="Times New Roman" w:eastAsia="黑体" w:cs="Times New Roman"/>
              <w:szCs w:val="32"/>
            </w:rPr>
            <w:t>绩效及评价结论</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_Toc12214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color w:val="auto"/>
            </w:rPr>
            <w:fldChar w:fldCharType="end"/>
          </w:r>
        </w:p>
        <w:p>
          <w:pPr>
            <w:pStyle w:val="11"/>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_Toc21578 </w:instrText>
          </w:r>
          <w:r>
            <w:rPr>
              <w:rFonts w:hint="default" w:ascii="Times New Roman" w:hAnsi="Times New Roman" w:cs="Times New Roman"/>
            </w:rPr>
            <w:fldChar w:fldCharType="separate"/>
          </w:r>
          <w:r>
            <w:rPr>
              <w:rFonts w:hint="eastAsia" w:ascii="Times New Roman" w:hAnsi="Times New Roman" w:eastAsia="黑体" w:cs="Times New Roman"/>
              <w:kern w:val="44"/>
              <w:szCs w:val="32"/>
              <w:lang w:val="en-US" w:eastAsia="zh-CN" w:bidi="ar-SA"/>
            </w:rPr>
            <w:t>五、</w:t>
          </w:r>
          <w:r>
            <w:rPr>
              <w:rFonts w:hint="default" w:ascii="Times New Roman" w:hAnsi="Times New Roman" w:eastAsia="黑体" w:cs="Times New Roman"/>
              <w:szCs w:val="32"/>
            </w:rPr>
            <w:t>绩效评价指标分析</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_Toc21578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_Toc24138 </w:instrText>
          </w:r>
          <w:r>
            <w:rPr>
              <w:rFonts w:hint="default" w:ascii="Times New Roman" w:hAnsi="Times New Roman" w:cs="Times New Roman"/>
            </w:rPr>
            <w:fldChar w:fldCharType="separate"/>
          </w:r>
          <w:r>
            <w:rPr>
              <w:rFonts w:hint="default" w:ascii="Times New Roman" w:hAnsi="Times New Roman" w:eastAsia="楷体" w:cs="Times New Roman"/>
              <w:bCs w:val="0"/>
              <w:lang w:eastAsia="zh-CN"/>
            </w:rPr>
            <w:t>（</w:t>
          </w:r>
          <w:r>
            <w:rPr>
              <w:rFonts w:hint="default" w:ascii="Times New Roman" w:hAnsi="Times New Roman" w:eastAsia="楷体" w:cs="Times New Roman"/>
              <w:bCs w:val="0"/>
              <w:lang w:val="en-US" w:eastAsia="zh-CN"/>
            </w:rPr>
            <w:t>一</w:t>
          </w:r>
          <w:r>
            <w:rPr>
              <w:rFonts w:hint="default" w:ascii="Times New Roman" w:hAnsi="Times New Roman" w:eastAsia="楷体" w:cs="Times New Roman"/>
              <w:bCs w:val="0"/>
              <w:lang w:eastAsia="zh-CN"/>
            </w:rPr>
            <w:t>）</w:t>
          </w:r>
          <w:r>
            <w:rPr>
              <w:rFonts w:hint="default" w:ascii="Times New Roman" w:hAnsi="Times New Roman" w:eastAsia="楷体" w:cs="Times New Roman"/>
              <w:bCs w:val="0"/>
            </w:rPr>
            <w:t>投入指标分析</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_Toc24138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8</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_Toc10692 </w:instrText>
          </w:r>
          <w:r>
            <w:rPr>
              <w:rFonts w:hint="default" w:ascii="Times New Roman" w:hAnsi="Times New Roman" w:cs="Times New Roman"/>
            </w:rPr>
            <w:fldChar w:fldCharType="separate"/>
          </w:r>
          <w:r>
            <w:rPr>
              <w:rFonts w:hint="default" w:ascii="Times New Roman" w:hAnsi="Times New Roman" w:eastAsia="楷体" w:cs="Times New Roman"/>
              <w:bCs w:val="0"/>
              <w:lang w:eastAsia="zh-CN"/>
            </w:rPr>
            <w:t>（</w:t>
          </w:r>
          <w:r>
            <w:rPr>
              <w:rFonts w:hint="default" w:ascii="Times New Roman" w:hAnsi="Times New Roman" w:eastAsia="楷体" w:cs="Times New Roman"/>
              <w:bCs w:val="0"/>
              <w:lang w:val="en-US" w:eastAsia="zh-CN"/>
            </w:rPr>
            <w:t>二</w:t>
          </w:r>
          <w:r>
            <w:rPr>
              <w:rFonts w:hint="default" w:ascii="Times New Roman" w:hAnsi="Times New Roman" w:eastAsia="楷体" w:cs="Times New Roman"/>
              <w:bCs w:val="0"/>
              <w:lang w:eastAsia="zh-CN"/>
            </w:rPr>
            <w:t>）过程指标分析</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_Toc10692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9</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_Toc22742 </w:instrText>
          </w:r>
          <w:r>
            <w:rPr>
              <w:rFonts w:hint="default" w:ascii="Times New Roman" w:hAnsi="Times New Roman" w:cs="Times New Roman"/>
            </w:rPr>
            <w:fldChar w:fldCharType="separate"/>
          </w:r>
          <w:r>
            <w:rPr>
              <w:rFonts w:hint="default" w:ascii="Times New Roman" w:hAnsi="Times New Roman" w:eastAsia="楷体" w:cs="Times New Roman"/>
              <w:bCs w:val="0"/>
              <w:lang w:eastAsia="zh-CN"/>
            </w:rPr>
            <w:t>（</w:t>
          </w:r>
          <w:r>
            <w:rPr>
              <w:rFonts w:hint="default" w:ascii="Times New Roman" w:hAnsi="Times New Roman" w:eastAsia="楷体" w:cs="Times New Roman"/>
              <w:bCs w:val="0"/>
              <w:lang w:val="en-US" w:eastAsia="zh-CN"/>
            </w:rPr>
            <w:t>三</w:t>
          </w:r>
          <w:r>
            <w:rPr>
              <w:rFonts w:hint="default" w:ascii="Times New Roman" w:hAnsi="Times New Roman" w:eastAsia="楷体" w:cs="Times New Roman"/>
              <w:bCs w:val="0"/>
              <w:lang w:eastAsia="zh-CN"/>
            </w:rPr>
            <w:t>）产出指标分析</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_Toc22742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10</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_Toc27984 </w:instrText>
          </w:r>
          <w:r>
            <w:rPr>
              <w:rFonts w:hint="default" w:ascii="Times New Roman" w:hAnsi="Times New Roman" w:cs="Times New Roman"/>
            </w:rPr>
            <w:fldChar w:fldCharType="separate"/>
          </w:r>
          <w:r>
            <w:rPr>
              <w:rFonts w:hint="eastAsia" w:ascii="Times New Roman" w:hAnsi="Times New Roman" w:eastAsia="楷体" w:cs="Times New Roman"/>
              <w:bCs w:val="0"/>
              <w:kern w:val="2"/>
              <w:szCs w:val="24"/>
              <w:lang w:val="en-US" w:eastAsia="zh-CN" w:bidi="ar-SA"/>
            </w:rPr>
            <w:t>（四）</w:t>
          </w:r>
          <w:r>
            <w:rPr>
              <w:rFonts w:hint="default" w:ascii="Times New Roman" w:hAnsi="Times New Roman" w:eastAsia="楷体" w:cs="Times New Roman"/>
              <w:bCs w:val="0"/>
              <w:lang w:eastAsia="zh-CN"/>
            </w:rPr>
            <w:t>效果指标分析</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_Toc27984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11</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1"/>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_Toc2112 </w:instrText>
          </w:r>
          <w:r>
            <w:rPr>
              <w:rFonts w:hint="default" w:ascii="Times New Roman" w:hAnsi="Times New Roman" w:cs="Times New Roman"/>
            </w:rPr>
            <w:fldChar w:fldCharType="separate"/>
          </w:r>
          <w:r>
            <w:rPr>
              <w:rFonts w:hint="eastAsia" w:ascii="Times New Roman" w:hAnsi="Times New Roman" w:eastAsia="黑体" w:cs="Times New Roman"/>
              <w:kern w:val="44"/>
              <w:szCs w:val="32"/>
              <w:lang w:val="en-US" w:eastAsia="zh-CN" w:bidi="ar-SA"/>
            </w:rPr>
            <w:t>六、</w:t>
          </w:r>
          <w:r>
            <w:rPr>
              <w:rFonts w:hint="default" w:ascii="Times New Roman" w:hAnsi="Times New Roman" w:eastAsia="黑体" w:cs="Times New Roman"/>
              <w:szCs w:val="32"/>
            </w:rPr>
            <w:t>主要经验及做法</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_Toc2112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_Toc13831 </w:instrText>
          </w:r>
          <w:r>
            <w:rPr>
              <w:rFonts w:hint="default" w:ascii="Times New Roman" w:hAnsi="Times New Roman" w:cs="Times New Roman"/>
            </w:rPr>
            <w:fldChar w:fldCharType="separate"/>
          </w:r>
          <w:r>
            <w:rPr>
              <w:rFonts w:hint="default" w:ascii="Times New Roman" w:hAnsi="Times New Roman" w:eastAsia="楷体" w:cs="Times New Roman"/>
              <w:bCs w:val="0"/>
              <w:lang w:val="en-US" w:eastAsia="zh-CN"/>
            </w:rPr>
            <w:t>（一）打造</w:t>
          </w:r>
          <w:r>
            <w:rPr>
              <w:rFonts w:hint="default" w:ascii="Times New Roman" w:hAnsi="Times New Roman" w:eastAsia="楷体" w:cs="Times New Roman"/>
              <w:bCs w:val="0"/>
              <w:lang w:eastAsia="zh-CN"/>
            </w:rPr>
            <w:t>垃圾分类示范，建立管理长效机制</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_Toc13831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13</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_Toc23008 </w:instrText>
          </w:r>
          <w:r>
            <w:rPr>
              <w:rFonts w:hint="default" w:ascii="Times New Roman" w:hAnsi="Times New Roman" w:cs="Times New Roman"/>
            </w:rPr>
            <w:fldChar w:fldCharType="separate"/>
          </w:r>
          <w:r>
            <w:rPr>
              <w:rFonts w:hint="default" w:ascii="Times New Roman" w:hAnsi="Times New Roman" w:eastAsia="楷体" w:cs="Times New Roman"/>
              <w:bCs w:val="0"/>
              <w:lang w:val="en-US" w:eastAsia="zh-CN"/>
            </w:rPr>
            <w:t>（二）协同整治安全隐患，推动实现长效自治</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_Toc23008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14</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1"/>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_Toc11255 </w:instrText>
          </w:r>
          <w:r>
            <w:rPr>
              <w:rFonts w:hint="default" w:ascii="Times New Roman" w:hAnsi="Times New Roman" w:cs="Times New Roman"/>
            </w:rPr>
            <w:fldChar w:fldCharType="separate"/>
          </w:r>
          <w:r>
            <w:rPr>
              <w:rFonts w:hint="eastAsia" w:ascii="Times New Roman" w:hAnsi="Times New Roman" w:eastAsia="黑体" w:cs="Times New Roman"/>
              <w:kern w:val="44"/>
              <w:szCs w:val="32"/>
              <w:lang w:val="en-US" w:eastAsia="zh-CN" w:bidi="ar-SA"/>
            </w:rPr>
            <w:t>七、</w:t>
          </w:r>
          <w:r>
            <w:rPr>
              <w:rFonts w:hint="default" w:ascii="Times New Roman" w:hAnsi="Times New Roman" w:eastAsia="黑体" w:cs="Times New Roman"/>
              <w:szCs w:val="32"/>
            </w:rPr>
            <w:t>存在的问题及原因分析</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_Toc11255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_Toc27966 </w:instrText>
          </w:r>
          <w:r>
            <w:rPr>
              <w:rFonts w:hint="default" w:ascii="Times New Roman" w:hAnsi="Times New Roman" w:cs="Times New Roman"/>
            </w:rPr>
            <w:fldChar w:fldCharType="separate"/>
          </w:r>
          <w:r>
            <w:rPr>
              <w:rFonts w:hint="default" w:ascii="Times New Roman" w:hAnsi="Times New Roman" w:eastAsia="楷体" w:cs="Times New Roman"/>
              <w:bCs w:val="0"/>
              <w:lang w:val="en-US" w:eastAsia="zh-CN"/>
            </w:rPr>
            <w:t>（一）预算绩效管理问题</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_Toc27966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15</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_Toc29044 </w:instrText>
          </w:r>
          <w:r>
            <w:rPr>
              <w:rFonts w:hint="default" w:ascii="Times New Roman" w:hAnsi="Times New Roman" w:cs="Times New Roman"/>
            </w:rPr>
            <w:fldChar w:fldCharType="separate"/>
          </w:r>
          <w:r>
            <w:rPr>
              <w:rFonts w:hint="default" w:ascii="Times New Roman" w:hAnsi="Times New Roman" w:eastAsia="仿宋" w:cs="Times New Roman"/>
              <w:lang w:val="en-US" w:eastAsia="zh-CN"/>
            </w:rPr>
            <w:t>1.对</w:t>
          </w:r>
          <w:r>
            <w:rPr>
              <w:rFonts w:hint="default" w:ascii="Times New Roman" w:hAnsi="Times New Roman" w:eastAsia="仿宋" w:cs="Times New Roman"/>
            </w:rPr>
            <w:t>绩效目标</w:t>
          </w:r>
          <w:r>
            <w:rPr>
              <w:rFonts w:hint="default" w:ascii="Times New Roman" w:hAnsi="Times New Roman" w:eastAsia="仿宋" w:cs="Times New Roman"/>
              <w:lang w:val="en-US" w:eastAsia="zh-CN"/>
            </w:rPr>
            <w:t>重视不够</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_Toc29044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15</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_Toc160 </w:instrText>
          </w:r>
          <w:r>
            <w:rPr>
              <w:rFonts w:hint="default" w:ascii="Times New Roman" w:hAnsi="Times New Roman" w:cs="Times New Roman"/>
            </w:rPr>
            <w:fldChar w:fldCharType="separate"/>
          </w:r>
          <w:r>
            <w:rPr>
              <w:rFonts w:hint="default" w:ascii="Times New Roman" w:hAnsi="Times New Roman" w:eastAsia="仿宋" w:cs="Times New Roman"/>
              <w:lang w:val="en-US" w:eastAsia="zh-CN"/>
            </w:rPr>
            <w:t>2.预算编制准确性不够</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_Toc160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15</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_Toc25577 </w:instrText>
          </w:r>
          <w:r>
            <w:rPr>
              <w:rFonts w:hint="default" w:ascii="Times New Roman" w:hAnsi="Times New Roman" w:cs="Times New Roman"/>
            </w:rPr>
            <w:fldChar w:fldCharType="separate"/>
          </w:r>
          <w:r>
            <w:rPr>
              <w:rFonts w:hint="default" w:ascii="Times New Roman" w:hAnsi="Times New Roman" w:eastAsia="楷体" w:cs="Times New Roman"/>
              <w:bCs w:val="0"/>
              <w:lang w:val="en-US" w:eastAsia="zh-CN"/>
            </w:rPr>
            <w:t>（二）部门财务管理问题</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_Toc25577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_Toc6931 </w:instrText>
          </w:r>
          <w:r>
            <w:rPr>
              <w:rFonts w:hint="default" w:ascii="Times New Roman" w:hAnsi="Times New Roman" w:cs="Times New Roman"/>
            </w:rPr>
            <w:fldChar w:fldCharType="separate"/>
          </w:r>
          <w:r>
            <w:rPr>
              <w:rFonts w:hint="default" w:ascii="Times New Roman" w:hAnsi="Times New Roman" w:eastAsia="仿宋" w:cs="Times New Roman"/>
              <w:lang w:val="en-US" w:eastAsia="zh-CN"/>
            </w:rPr>
            <w:t>1.对公借款未及时处理</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_Toc6931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_Toc22581 </w:instrText>
          </w:r>
          <w:r>
            <w:rPr>
              <w:rFonts w:hint="default" w:ascii="Times New Roman" w:hAnsi="Times New Roman" w:cs="Times New Roman"/>
            </w:rPr>
            <w:fldChar w:fldCharType="separate"/>
          </w:r>
          <w:r>
            <w:rPr>
              <w:rFonts w:hint="default" w:ascii="Times New Roman" w:hAnsi="Times New Roman" w:eastAsia="仿宋" w:cs="Times New Roman"/>
              <w:lang w:val="en-US" w:eastAsia="zh-CN"/>
            </w:rPr>
            <w:t>2.资产管理制度不健全</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_Toc22581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_Toc10211 </w:instrText>
          </w:r>
          <w:r>
            <w:rPr>
              <w:rFonts w:hint="default" w:ascii="Times New Roman" w:hAnsi="Times New Roman" w:cs="Times New Roman"/>
            </w:rPr>
            <w:fldChar w:fldCharType="separate"/>
          </w:r>
          <w:r>
            <w:rPr>
              <w:rFonts w:hint="default" w:ascii="Times New Roman" w:hAnsi="Times New Roman" w:eastAsia="楷体" w:cs="Times New Roman"/>
              <w:bCs w:val="0"/>
              <w:lang w:val="en-US" w:eastAsia="zh-CN"/>
            </w:rPr>
            <w:t>（三）重点工作落实问题</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_Toc10211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_Toc22223 </w:instrText>
          </w:r>
          <w:r>
            <w:rPr>
              <w:rFonts w:hint="default" w:ascii="Times New Roman" w:hAnsi="Times New Roman" w:cs="Times New Roman"/>
            </w:rPr>
            <w:fldChar w:fldCharType="separate"/>
          </w:r>
          <w:r>
            <w:rPr>
              <w:rFonts w:hint="default" w:ascii="Times New Roman" w:hAnsi="Times New Roman" w:eastAsia="仿宋" w:cs="Times New Roman"/>
              <w:lang w:val="en-US" w:eastAsia="zh-CN"/>
            </w:rPr>
            <w:t>1.资金保障力度低</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_Toc22223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8"/>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_Toc5780 </w:instrText>
          </w:r>
          <w:r>
            <w:rPr>
              <w:rFonts w:hint="default" w:ascii="Times New Roman" w:hAnsi="Times New Roman" w:cs="Times New Roman"/>
            </w:rPr>
            <w:fldChar w:fldCharType="separate"/>
          </w:r>
          <w:r>
            <w:rPr>
              <w:rFonts w:hint="default" w:ascii="Times New Roman" w:hAnsi="Times New Roman" w:eastAsia="仿宋" w:cs="Times New Roman"/>
              <w:lang w:val="en-US" w:eastAsia="zh-CN"/>
            </w:rPr>
            <w:t>2.提质增效待加强</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_Toc5780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16</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1"/>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_Toc15956 </w:instrText>
          </w:r>
          <w:r>
            <w:rPr>
              <w:rFonts w:hint="default" w:ascii="Times New Roman" w:hAnsi="Times New Roman" w:cs="Times New Roman"/>
            </w:rPr>
            <w:fldChar w:fldCharType="separate"/>
          </w:r>
          <w:r>
            <w:rPr>
              <w:rFonts w:hint="eastAsia" w:ascii="Times New Roman" w:hAnsi="Times New Roman" w:eastAsia="黑体" w:cs="Times New Roman"/>
              <w:kern w:val="44"/>
              <w:szCs w:val="32"/>
              <w:lang w:val="en-US" w:eastAsia="zh-CN" w:bidi="ar-SA"/>
            </w:rPr>
            <w:t>八、</w:t>
          </w:r>
          <w:r>
            <w:rPr>
              <w:rFonts w:hint="default" w:ascii="Times New Roman" w:hAnsi="Times New Roman" w:eastAsia="黑体" w:cs="Times New Roman"/>
              <w:szCs w:val="32"/>
            </w:rPr>
            <w:t>有关建议</w:t>
          </w:r>
          <w:r>
            <w:tab/>
          </w:r>
          <w:r>
            <w:rPr>
              <w:rFonts w:hint="default" w:ascii="Times New Roman" w:hAnsi="Times New Roman" w:cs="Times New Roman"/>
            </w:rPr>
            <w:fldChar w:fldCharType="begin"/>
          </w:r>
          <w:r>
            <w:rPr>
              <w:rFonts w:hint="default" w:ascii="Times New Roman" w:hAnsi="Times New Roman" w:cs="Times New Roman"/>
            </w:rPr>
            <w:instrText xml:space="preserve"> PAGEREF _Toc15956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_Toc27611 </w:instrText>
          </w:r>
          <w:r>
            <w:rPr>
              <w:rFonts w:hint="default" w:ascii="Times New Roman" w:hAnsi="Times New Roman" w:cs="Times New Roman"/>
            </w:rPr>
            <w:fldChar w:fldCharType="separate"/>
          </w:r>
          <w:r>
            <w:rPr>
              <w:rFonts w:hint="default" w:ascii="Times New Roman" w:hAnsi="Times New Roman" w:eastAsia="楷体" w:cs="Times New Roman"/>
              <w:bCs w:val="0"/>
              <w:lang w:val="en-US" w:eastAsia="zh-CN"/>
            </w:rPr>
            <w:t>（一）计划与目标先行</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_Toc27611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17</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_Toc10018 </w:instrText>
          </w:r>
          <w:r>
            <w:rPr>
              <w:rFonts w:hint="default" w:ascii="Times New Roman" w:hAnsi="Times New Roman" w:cs="Times New Roman"/>
            </w:rPr>
            <w:fldChar w:fldCharType="separate"/>
          </w:r>
          <w:r>
            <w:rPr>
              <w:rFonts w:hint="default" w:ascii="Times New Roman" w:hAnsi="Times New Roman" w:eastAsia="楷体" w:cs="Times New Roman"/>
              <w:bCs w:val="0"/>
              <w:lang w:val="en-US" w:eastAsia="zh-CN"/>
            </w:rPr>
            <w:t>（二）</w:t>
          </w:r>
          <w:r>
            <w:rPr>
              <w:rFonts w:hint="eastAsia" w:ascii="Times New Roman" w:hAnsi="Times New Roman" w:eastAsia="楷体" w:cs="Times New Roman"/>
              <w:bCs w:val="0"/>
              <w:lang w:val="en-US" w:eastAsia="zh-CN"/>
            </w:rPr>
            <w:t>清理借款</w:t>
          </w:r>
          <w:r>
            <w:rPr>
              <w:rFonts w:hint="default" w:ascii="Times New Roman" w:hAnsi="Times New Roman" w:eastAsia="楷体" w:cs="Times New Roman"/>
              <w:bCs w:val="0"/>
              <w:lang w:val="en-US" w:eastAsia="zh-CN"/>
            </w:rPr>
            <w:t>与</w:t>
          </w:r>
          <w:r>
            <w:rPr>
              <w:rFonts w:hint="eastAsia" w:ascii="Times New Roman" w:hAnsi="Times New Roman" w:eastAsia="楷体" w:cs="Times New Roman"/>
              <w:bCs w:val="0"/>
              <w:lang w:val="en-US" w:eastAsia="zh-CN"/>
            </w:rPr>
            <w:t>制度建设</w:t>
          </w:r>
          <w:r>
            <w:rPr>
              <w:rFonts w:hint="default" w:ascii="Times New Roman" w:hAnsi="Times New Roman" w:eastAsia="楷体" w:cs="Times New Roman"/>
              <w:bCs w:val="0"/>
              <w:lang w:val="en-US" w:eastAsia="zh-CN"/>
            </w:rPr>
            <w:t>并重</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_Toc10018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17</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2"/>
            <w:tabs>
              <w:tab w:val="right" w:leader="dot" w:pos="8306"/>
            </w:tabs>
          </w:pPr>
          <w:r>
            <w:rPr>
              <w:rFonts w:hint="default" w:ascii="Times New Roman" w:hAnsi="Times New Roman" w:cs="Times New Roman"/>
              <w:color w:val="auto"/>
            </w:rPr>
            <w:fldChar w:fldCharType="begin"/>
          </w:r>
          <w:r>
            <w:rPr>
              <w:rFonts w:hint="default" w:ascii="Times New Roman" w:hAnsi="Times New Roman" w:cs="Times New Roman"/>
            </w:rPr>
            <w:instrText xml:space="preserve"> HYPERLINK \l _Toc21289 </w:instrText>
          </w:r>
          <w:r>
            <w:rPr>
              <w:rFonts w:hint="default" w:ascii="Times New Roman" w:hAnsi="Times New Roman" w:cs="Times New Roman"/>
            </w:rPr>
            <w:fldChar w:fldCharType="separate"/>
          </w:r>
          <w:r>
            <w:rPr>
              <w:rFonts w:hint="default" w:ascii="Times New Roman" w:hAnsi="Times New Roman" w:eastAsia="楷体" w:cs="Times New Roman"/>
              <w:bCs w:val="0"/>
              <w:lang w:val="en-US" w:eastAsia="zh-CN"/>
            </w:rPr>
            <w:t>（三）</w:t>
          </w:r>
          <w:r>
            <w:rPr>
              <w:rFonts w:hint="eastAsia" w:ascii="Times New Roman" w:hAnsi="Times New Roman" w:eastAsia="楷体" w:cs="Times New Roman"/>
              <w:bCs w:val="0"/>
              <w:lang w:val="en-US" w:eastAsia="zh-CN"/>
            </w:rPr>
            <w:t>重点工作资金</w:t>
          </w:r>
          <w:r>
            <w:rPr>
              <w:rFonts w:hint="default" w:ascii="Times New Roman" w:hAnsi="Times New Roman" w:eastAsia="楷体" w:cs="Times New Roman"/>
              <w:bCs w:val="0"/>
              <w:lang w:val="en-US" w:eastAsia="zh-CN"/>
            </w:rPr>
            <w:t>保障与</w:t>
          </w:r>
          <w:r>
            <w:rPr>
              <w:rFonts w:hint="eastAsia" w:ascii="Times New Roman" w:hAnsi="Times New Roman" w:eastAsia="楷体" w:cs="Times New Roman"/>
              <w:bCs w:val="0"/>
              <w:lang w:val="en-US" w:eastAsia="zh-CN"/>
            </w:rPr>
            <w:t>效益</w:t>
          </w:r>
          <w:r>
            <w:rPr>
              <w:rFonts w:hint="default" w:ascii="Times New Roman" w:hAnsi="Times New Roman" w:eastAsia="楷体" w:cs="Times New Roman"/>
              <w:bCs w:val="0"/>
              <w:lang w:val="en-US" w:eastAsia="zh-CN"/>
            </w:rPr>
            <w:t>提质</w:t>
          </w:r>
          <w:r>
            <w:tab/>
          </w:r>
          <w:r>
            <w:rPr>
              <w:rFonts w:hint="default" w:ascii="Times New Roman" w:hAnsi="Times New Roman" w:cs="Times New Roman" w:eastAsiaTheme="minorEastAsia"/>
              <w:kern w:val="2"/>
              <w:sz w:val="21"/>
              <w:szCs w:val="24"/>
              <w:lang w:val="en-US" w:eastAsia="zh-CN" w:bidi="ar-SA"/>
            </w:rPr>
            <w:fldChar w:fldCharType="begin"/>
          </w:r>
          <w:r>
            <w:rPr>
              <w:rFonts w:hint="default" w:ascii="Times New Roman" w:hAnsi="Times New Roman" w:cs="Times New Roman" w:eastAsiaTheme="minorEastAsia"/>
              <w:kern w:val="2"/>
              <w:sz w:val="21"/>
              <w:szCs w:val="24"/>
              <w:lang w:val="en-US" w:eastAsia="zh-CN" w:bidi="ar-SA"/>
            </w:rPr>
            <w:instrText xml:space="preserve"> PAGEREF _Toc21289 \h </w:instrText>
          </w:r>
          <w:r>
            <w:rPr>
              <w:rFonts w:hint="default" w:ascii="Times New Roman" w:hAnsi="Times New Roman" w:cs="Times New Roman" w:eastAsiaTheme="minorEastAsia"/>
              <w:kern w:val="2"/>
              <w:sz w:val="21"/>
              <w:szCs w:val="24"/>
              <w:lang w:val="en-US" w:eastAsia="zh-CN" w:bidi="ar-SA"/>
            </w:rPr>
            <w:fldChar w:fldCharType="separate"/>
          </w:r>
          <w:r>
            <w:rPr>
              <w:rFonts w:hint="default" w:ascii="Times New Roman" w:hAnsi="Times New Roman" w:cs="Times New Roman" w:eastAsiaTheme="minorEastAsia"/>
              <w:kern w:val="2"/>
              <w:sz w:val="21"/>
              <w:szCs w:val="24"/>
              <w:lang w:val="en-US" w:eastAsia="zh-CN" w:bidi="ar-SA"/>
            </w:rPr>
            <w:t>17</w:t>
          </w:r>
          <w:r>
            <w:rPr>
              <w:rFonts w:hint="default" w:ascii="Times New Roman" w:hAnsi="Times New Roman" w:cs="Times New Roman" w:eastAsiaTheme="minorEastAsia"/>
              <w:kern w:val="2"/>
              <w:sz w:val="21"/>
              <w:szCs w:val="24"/>
              <w:lang w:val="en-US" w:eastAsia="zh-CN" w:bidi="ar-SA"/>
            </w:rPr>
            <w:fldChar w:fldCharType="end"/>
          </w:r>
          <w:r>
            <w:rPr>
              <w:rFonts w:hint="default" w:ascii="Times New Roman" w:hAnsi="Times New Roman" w:cs="Times New Roman"/>
              <w:color w:val="auto"/>
            </w:rPr>
            <w:fldChar w:fldCharType="end"/>
          </w:r>
        </w:p>
        <w:p>
          <w:pPr>
            <w:pStyle w:val="11"/>
            <w:rPr>
              <w:rFonts w:hint="default" w:ascii="Times New Roman" w:hAnsi="Times New Roman" w:eastAsia="黑体" w:cs="Times New Roman"/>
              <w:b/>
              <w:bCs/>
              <w:color w:val="auto"/>
              <w:spacing w:val="-7"/>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default" w:ascii="Times New Roman" w:hAnsi="Times New Roman" w:cs="Times New Roman"/>
              <w:color w:val="auto"/>
            </w:rPr>
            <w:fldChar w:fldCharType="end"/>
          </w:r>
          <w:bookmarkStart w:id="9" w:name="_Toc2791"/>
        </w:p>
      </w:sdtContent>
    </w:sdt>
    <w:p>
      <w:pPr>
        <w:spacing w:line="600" w:lineRule="exact"/>
        <w:ind w:firstLine="0" w:firstLineChars="0"/>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岳阳楼区2022年站前路街道办事处</w:t>
      </w:r>
      <w:bookmarkEnd w:id="9"/>
    </w:p>
    <w:p>
      <w:pPr>
        <w:spacing w:line="600" w:lineRule="exact"/>
        <w:ind w:firstLine="0" w:firstLineChars="0"/>
        <w:jc w:val="center"/>
        <w:rPr>
          <w:rFonts w:hint="default" w:ascii="Times New Roman" w:hAnsi="Times New Roman" w:eastAsia="方正小标宋_GBK" w:cs="Times New Roman"/>
          <w:sz w:val="36"/>
          <w:szCs w:val="36"/>
          <w:lang w:val="en-US" w:eastAsia="zh-CN"/>
        </w:rPr>
      </w:pPr>
      <w:bookmarkStart w:id="10" w:name="_Toc16659"/>
      <w:r>
        <w:rPr>
          <w:rFonts w:hint="default" w:ascii="Times New Roman" w:hAnsi="Times New Roman" w:eastAsia="方正小标宋_GBK" w:cs="Times New Roman"/>
          <w:sz w:val="36"/>
          <w:szCs w:val="36"/>
          <w:lang w:val="en-US" w:eastAsia="zh-CN"/>
        </w:rPr>
        <w:t>部门整体支出绩效评价报告</w:t>
      </w:r>
      <w:bookmarkEnd w:id="10"/>
    </w:p>
    <w:p>
      <w:pPr>
        <w:rPr>
          <w:rFonts w:hint="default" w:ascii="Times New Roman" w:hAnsi="Times New Roman" w:cs="Times New Roman"/>
          <w:color w:val="auto"/>
        </w:rPr>
      </w:pPr>
    </w:p>
    <w:p>
      <w:pPr>
        <w:pStyle w:val="12"/>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根据《湖南省预算</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绩效评价管理办法》（湘财绩〔2020〕7号）</w:t>
      </w:r>
      <w:r>
        <w:rPr>
          <w:rFonts w:hint="default"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rPr>
        <w:t>岳阳楼区财政局关于开展 2022 年财政支出重点绩效评价工作的通知</w:t>
      </w:r>
      <w:r>
        <w:rPr>
          <w:rFonts w:hint="default" w:ascii="Times New Roman" w:hAnsi="Times New Roman" w:eastAsia="仿宋_GB2312" w:cs="Times New Roman"/>
          <w:color w:val="auto"/>
          <w:sz w:val="32"/>
          <w:szCs w:val="32"/>
          <w:lang w:eastAsia="zh-CN"/>
        </w:rPr>
        <w:t>》（岳楼财绩〔2023〕4 号）</w:t>
      </w:r>
      <w:r>
        <w:rPr>
          <w:rFonts w:hint="default" w:ascii="Times New Roman" w:hAnsi="Times New Roman" w:eastAsia="仿宋_GB2312" w:cs="Times New Roman"/>
          <w:color w:val="auto"/>
          <w:sz w:val="32"/>
          <w:szCs w:val="32"/>
          <w:lang w:val="en-US" w:eastAsia="zh-CN"/>
        </w:rPr>
        <w:t>有关规定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我公司受岳阳楼区财政局委托，于2023年8月1日对</w:t>
      </w:r>
      <w:r>
        <w:rPr>
          <w:rFonts w:hint="default" w:ascii="Times New Roman" w:hAnsi="Times New Roman" w:eastAsia="仿宋_GB2312" w:cs="Times New Roman"/>
          <w:color w:val="auto"/>
          <w:sz w:val="32"/>
          <w:szCs w:val="32"/>
        </w:rPr>
        <w:t>岳阳楼区站前路街道办事处</w:t>
      </w:r>
      <w:r>
        <w:rPr>
          <w:rFonts w:hint="default" w:ascii="Times New Roman" w:hAnsi="Times New Roman" w:eastAsia="仿宋_GB2312" w:cs="Times New Roman"/>
          <w:color w:val="auto"/>
          <w:sz w:val="32"/>
          <w:szCs w:val="32"/>
          <w:lang w:val="en-US" w:eastAsia="zh-CN"/>
        </w:rPr>
        <w:t>开展部门整体支出绩效评价，分析其</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val="en-US" w:eastAsia="zh-CN"/>
        </w:rPr>
        <w:t>收支</w:t>
      </w:r>
      <w:r>
        <w:rPr>
          <w:rFonts w:hint="default" w:ascii="Times New Roman" w:hAnsi="Times New Roman" w:eastAsia="仿宋_GB2312" w:cs="Times New Roman"/>
          <w:color w:val="auto"/>
          <w:sz w:val="32"/>
          <w:szCs w:val="32"/>
        </w:rPr>
        <w:t>以及支出绩效，总结支出经验，发现管理问题，提出改进建议，促进部门整体支出更加合理有效。</w:t>
      </w:r>
    </w:p>
    <w:p>
      <w:pPr>
        <w:pStyle w:val="2"/>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3" w:firstLineChars="200"/>
        <w:textAlignment w:val="auto"/>
        <w:rPr>
          <w:rFonts w:hint="default" w:ascii="Times New Roman" w:hAnsi="Times New Roman" w:eastAsia="黑体" w:cs="Times New Roman"/>
          <w:color w:val="auto"/>
          <w:sz w:val="32"/>
          <w:szCs w:val="32"/>
        </w:rPr>
      </w:pPr>
      <w:bookmarkStart w:id="11" w:name="_Toc24853"/>
      <w:bookmarkStart w:id="12" w:name="_Toc31270"/>
      <w:r>
        <w:rPr>
          <w:rFonts w:hint="eastAsia" w:ascii="Times New Roman" w:hAnsi="Times New Roman" w:eastAsia="黑体" w:cs="Times New Roman"/>
          <w:b/>
          <w:color w:val="auto"/>
          <w:kern w:val="44"/>
          <w:sz w:val="32"/>
          <w:szCs w:val="32"/>
          <w:lang w:val="en-US" w:eastAsia="zh-CN" w:bidi="ar-SA"/>
        </w:rPr>
        <w:t>一、</w:t>
      </w:r>
      <w:r>
        <w:rPr>
          <w:rFonts w:hint="default" w:ascii="Times New Roman" w:hAnsi="Times New Roman" w:eastAsia="黑体" w:cs="Times New Roman"/>
          <w:color w:val="auto"/>
          <w:sz w:val="32"/>
          <w:szCs w:val="32"/>
        </w:rPr>
        <w:t>部门概况</w:t>
      </w:r>
      <w:bookmarkEnd w:id="11"/>
      <w:bookmarkEnd w:id="12"/>
    </w:p>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岳阳楼区站前路街道办事处成立于2006年6月，地处岳阳楼区中心地带，东至建湘北路，西至得胜北路，南至巴陵中路北侧，北至京广铁路线，辖德胜、新站、铁路新村、望城岭、连云路5个社区，面积2.02平方公里，总人口47,128人（其中户籍人口31,509人）。</w:t>
      </w:r>
    </w:p>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站前路街道办事处为岳阳楼区人民政府的派出机关，为正科级，行使政府管理和服务职能，核心职责为：加强党的建设、服务经济发展、统筹社区发展、组织公共服务、实施综合管理、指导基层自治、动员社会参与和维护辖区平安。</w:t>
      </w:r>
    </w:p>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站前路街道办事处下设14个股室：党政办公室、党建办公室、经济发展办公室、社会事务办公室、综治信访办公室、应急管理办公室、社会事业综合服务中心、产业项目综合服务中心、公共服务和网格化中心、退役军人服务站、综合行政执法大队、</w:t>
      </w:r>
      <w:r>
        <w:rPr>
          <w:rFonts w:hint="default" w:ascii="Times New Roman" w:hAnsi="Times New Roman" w:eastAsia="仿宋_GB2312" w:cs="Times New Roman"/>
          <w:b w:val="0"/>
          <w:bCs w:val="0"/>
          <w:color w:val="auto"/>
          <w:spacing w:val="-7"/>
          <w:sz w:val="32"/>
          <w:szCs w:val="32"/>
        </w:rPr>
        <w:t>环境卫生服务中心</w:t>
      </w:r>
      <w:r>
        <w:rPr>
          <w:rFonts w:hint="default" w:ascii="Times New Roman" w:hAnsi="Times New Roman" w:eastAsia="仿宋_GB2312" w:cs="Times New Roman"/>
          <w:color w:val="auto"/>
          <w:spacing w:val="-7"/>
          <w:sz w:val="32"/>
          <w:szCs w:val="32"/>
        </w:rPr>
        <w:t>、司法所和财政所。2022年12月底，在职人员人数为</w:t>
      </w:r>
      <w:r>
        <w:rPr>
          <w:rFonts w:hint="default" w:ascii="Times New Roman" w:hAnsi="Times New Roman" w:eastAsia="仿宋_GB2312" w:cs="Times New Roman"/>
          <w:color w:val="auto"/>
          <w:spacing w:val="-7"/>
          <w:sz w:val="32"/>
          <w:szCs w:val="32"/>
          <w:lang w:val="en-US" w:eastAsia="zh-CN"/>
        </w:rPr>
        <w:t>54</w:t>
      </w:r>
      <w:r>
        <w:rPr>
          <w:rFonts w:hint="default" w:ascii="Times New Roman" w:hAnsi="Times New Roman" w:eastAsia="仿宋_GB2312" w:cs="Times New Roman"/>
          <w:color w:val="auto"/>
          <w:spacing w:val="-7"/>
          <w:sz w:val="32"/>
          <w:szCs w:val="32"/>
        </w:rPr>
        <w:t>人，其中行政编18人，事业编36人。</w:t>
      </w:r>
    </w:p>
    <w:p>
      <w:pPr>
        <w:pStyle w:val="2"/>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3" w:firstLineChars="200"/>
        <w:textAlignment w:val="auto"/>
        <w:rPr>
          <w:rFonts w:hint="default" w:ascii="Times New Roman" w:hAnsi="Times New Roman" w:eastAsia="黑体" w:cs="Times New Roman"/>
          <w:color w:val="auto"/>
          <w:sz w:val="32"/>
          <w:szCs w:val="32"/>
        </w:rPr>
      </w:pPr>
      <w:bookmarkStart w:id="13" w:name="_Toc26556"/>
      <w:r>
        <w:rPr>
          <w:rFonts w:hint="eastAsia" w:ascii="Times New Roman" w:hAnsi="Times New Roman" w:eastAsia="黑体" w:cs="Times New Roman"/>
          <w:b/>
          <w:color w:val="auto"/>
          <w:kern w:val="44"/>
          <w:sz w:val="32"/>
          <w:szCs w:val="32"/>
          <w:lang w:val="en-US" w:eastAsia="zh-CN" w:bidi="ar-SA"/>
        </w:rPr>
        <w:t>二、</w:t>
      </w:r>
      <w:r>
        <w:rPr>
          <w:rFonts w:hint="default" w:ascii="Times New Roman" w:hAnsi="Times New Roman" w:eastAsia="黑体" w:cs="Times New Roman"/>
          <w:color w:val="auto"/>
          <w:sz w:val="32"/>
          <w:szCs w:val="32"/>
        </w:rPr>
        <w:t>预算支出基本情况</w:t>
      </w:r>
      <w:bookmarkEnd w:id="13"/>
    </w:p>
    <w:p>
      <w:pPr>
        <w:pStyle w:val="3"/>
        <w:pageBreakBefore w:val="0"/>
        <w:widowControl w:val="0"/>
        <w:numPr>
          <w:ilvl w:val="0"/>
          <w:numId w:val="1"/>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rPr>
      </w:pPr>
      <w:bookmarkStart w:id="14" w:name="_Toc10772"/>
      <w:r>
        <w:rPr>
          <w:rFonts w:hint="eastAsia" w:ascii="楷体_GB2312" w:hAnsi="楷体_GB2312" w:eastAsia="楷体_GB2312" w:cs="楷体_GB2312"/>
          <w:b/>
          <w:bCs w:val="0"/>
          <w:color w:val="auto"/>
          <w:lang w:val="en-US" w:eastAsia="zh-CN"/>
        </w:rPr>
        <w:t>部门收支</w:t>
      </w:r>
      <w:r>
        <w:rPr>
          <w:rFonts w:hint="eastAsia" w:ascii="楷体_GB2312" w:hAnsi="楷体_GB2312" w:eastAsia="楷体_GB2312" w:cs="楷体_GB2312"/>
          <w:b/>
          <w:bCs w:val="0"/>
          <w:color w:val="auto"/>
        </w:rPr>
        <w:t>总体情况</w:t>
      </w:r>
      <w:bookmarkEnd w:id="14"/>
    </w:p>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eastAsia" w:ascii="Times New Roman" w:hAnsi="Times New Roman" w:eastAsia="仿宋"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2022年站前路街道办事处</w:t>
      </w:r>
      <w:r>
        <w:rPr>
          <w:rFonts w:hint="default" w:ascii="Times New Roman" w:hAnsi="Times New Roman" w:eastAsia="仿宋_GB2312" w:cs="Times New Roman"/>
          <w:color w:val="auto"/>
          <w:spacing w:val="-7"/>
          <w:sz w:val="32"/>
          <w:szCs w:val="32"/>
          <w:highlight w:val="none"/>
          <w:lang w:val="en-US" w:eastAsia="zh-CN"/>
        </w:rPr>
        <w:t>决算收入</w:t>
      </w:r>
      <w:r>
        <w:rPr>
          <w:rFonts w:hint="default" w:ascii="Times New Roman" w:hAnsi="Times New Roman" w:eastAsia="仿宋_GB2312" w:cs="Times New Roman"/>
          <w:color w:val="auto"/>
          <w:spacing w:val="-7"/>
          <w:sz w:val="32"/>
          <w:szCs w:val="32"/>
          <w:lang w:val="en-US" w:eastAsia="zh-CN"/>
        </w:rPr>
        <w:t>为2,169.39万元，</w:t>
      </w:r>
      <w:r>
        <w:rPr>
          <w:rFonts w:hint="default" w:ascii="Times New Roman" w:hAnsi="Times New Roman" w:eastAsia="仿宋_GB2312" w:cs="Times New Roman"/>
          <w:color w:val="auto"/>
          <w:spacing w:val="-7"/>
          <w:sz w:val="32"/>
          <w:szCs w:val="32"/>
          <w:highlight w:val="none"/>
          <w:lang w:val="en-US" w:eastAsia="zh-CN"/>
        </w:rPr>
        <w:t>决算支出</w:t>
      </w:r>
      <w:r>
        <w:rPr>
          <w:rFonts w:hint="default" w:ascii="Times New Roman" w:hAnsi="Times New Roman" w:eastAsia="仿宋_GB2312" w:cs="Times New Roman"/>
          <w:color w:val="auto"/>
          <w:spacing w:val="-7"/>
          <w:sz w:val="32"/>
          <w:szCs w:val="32"/>
          <w:lang w:val="en-US" w:eastAsia="zh-CN"/>
        </w:rPr>
        <w:t>为2,026.12万元，结余143.28万元，年底结转前的结余为11.06万元。鉴于预决算一体化系统不支持预付等往来账务处理，泰和整治经费中存在100万元预付款预付的12月份的社保支出均未计入决算支出，导致预决算系统数据与财务系统存在差异。</w:t>
      </w:r>
    </w:p>
    <w:p>
      <w:pPr>
        <w:jc w:val="center"/>
        <w:rPr>
          <w:rFonts w:hint="default"/>
          <w:color w:val="auto"/>
        </w:rPr>
      </w:pPr>
      <w:r>
        <w:rPr>
          <w:rFonts w:hint="eastAsia" w:ascii="Times New Roman" w:hAnsi="Times New Roman" w:eastAsia="仿宋" w:cs="Times New Roman"/>
          <w:b/>
          <w:bCs/>
          <w:color w:val="auto"/>
          <w:spacing w:val="-7"/>
          <w:sz w:val="32"/>
          <w:szCs w:val="32"/>
          <w:lang w:val="en-US" w:eastAsia="zh-CN"/>
        </w:rPr>
        <w:t>2022部门收支结余一览表</w:t>
      </w:r>
    </w:p>
    <w:tbl>
      <w:tblPr>
        <w:tblStyle w:val="14"/>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36"/>
        <w:gridCol w:w="1691"/>
        <w:gridCol w:w="991"/>
        <w:gridCol w:w="1754"/>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gridSpan w:val="2"/>
          </w:tcPr>
          <w:p>
            <w:pPr>
              <w:numPr>
                <w:ilvl w:val="0"/>
                <w:numId w:val="0"/>
              </w:numPr>
              <w:jc w:val="center"/>
              <w:rPr>
                <w:rFonts w:hint="default" w:ascii="Times New Roman" w:hAnsi="Times New Roman" w:eastAsia="仿宋" w:cs="Times New Roman"/>
                <w:b/>
                <w:bCs/>
                <w:color w:val="auto"/>
                <w:sz w:val="21"/>
                <w:szCs w:val="21"/>
                <w:vertAlign w:val="baseline"/>
              </w:rPr>
            </w:pPr>
            <w:r>
              <w:rPr>
                <w:rFonts w:hint="default" w:ascii="Times New Roman" w:hAnsi="Times New Roman" w:eastAsia="仿宋" w:cs="Times New Roman"/>
                <w:b/>
                <w:bCs/>
                <w:color w:val="auto"/>
                <w:sz w:val="21"/>
                <w:szCs w:val="21"/>
                <w:vertAlign w:val="baseline"/>
                <w:lang w:val="en-US" w:eastAsia="zh-CN"/>
              </w:rPr>
              <w:t>2022年收入（万元）</w:t>
            </w:r>
          </w:p>
        </w:tc>
        <w:tc>
          <w:tcPr>
            <w:tcW w:w="2682" w:type="dxa"/>
            <w:gridSpan w:val="2"/>
          </w:tcPr>
          <w:p>
            <w:pPr>
              <w:numPr>
                <w:ilvl w:val="0"/>
                <w:numId w:val="0"/>
              </w:numPr>
              <w:jc w:val="center"/>
              <w:rPr>
                <w:rFonts w:hint="default" w:ascii="Times New Roman" w:hAnsi="Times New Roman" w:eastAsia="仿宋" w:cs="Times New Roman"/>
                <w:b/>
                <w:bCs/>
                <w:color w:val="auto"/>
                <w:sz w:val="21"/>
                <w:szCs w:val="21"/>
                <w:vertAlign w:val="baseline"/>
              </w:rPr>
            </w:pPr>
            <w:r>
              <w:rPr>
                <w:rFonts w:hint="default" w:ascii="Times New Roman" w:hAnsi="Times New Roman" w:eastAsia="仿宋" w:cs="Times New Roman"/>
                <w:b/>
                <w:bCs/>
                <w:color w:val="auto"/>
                <w:sz w:val="21"/>
                <w:szCs w:val="21"/>
                <w:vertAlign w:val="baseline"/>
                <w:lang w:val="en-US" w:eastAsia="zh-CN"/>
              </w:rPr>
              <w:t>2022年支出（万元）</w:t>
            </w:r>
          </w:p>
        </w:tc>
        <w:tc>
          <w:tcPr>
            <w:tcW w:w="2791" w:type="dxa"/>
            <w:gridSpan w:val="2"/>
          </w:tcPr>
          <w:p>
            <w:pPr>
              <w:numPr>
                <w:ilvl w:val="0"/>
                <w:numId w:val="0"/>
              </w:numPr>
              <w:jc w:val="center"/>
              <w:rPr>
                <w:rFonts w:hint="default" w:ascii="Times New Roman" w:hAnsi="Times New Roman" w:eastAsia="仿宋" w:cs="Times New Roman"/>
                <w:b/>
                <w:bCs/>
                <w:color w:val="auto"/>
                <w:sz w:val="21"/>
                <w:szCs w:val="21"/>
                <w:vertAlign w:val="baseline"/>
                <w:lang w:val="en-US" w:eastAsia="zh-CN"/>
              </w:rPr>
            </w:pPr>
            <w:r>
              <w:rPr>
                <w:rFonts w:hint="default" w:ascii="Times New Roman" w:hAnsi="Times New Roman" w:eastAsia="仿宋" w:cs="Times New Roman"/>
                <w:b/>
                <w:bCs/>
                <w:color w:val="auto"/>
                <w:sz w:val="21"/>
                <w:szCs w:val="21"/>
                <w:vertAlign w:val="baseline"/>
                <w:lang w:val="en-US" w:eastAsia="zh-CN"/>
              </w:rPr>
              <w:t>2022年</w:t>
            </w:r>
            <w:r>
              <w:rPr>
                <w:rFonts w:hint="eastAsia" w:ascii="Times New Roman" w:hAnsi="Times New Roman" w:eastAsia="仿宋" w:cs="Times New Roman"/>
                <w:b/>
                <w:bCs/>
                <w:color w:val="auto"/>
                <w:sz w:val="21"/>
                <w:szCs w:val="21"/>
                <w:vertAlign w:val="baseline"/>
                <w:lang w:val="en-US" w:eastAsia="zh-CN"/>
              </w:rPr>
              <w:t>结余</w:t>
            </w:r>
            <w:r>
              <w:rPr>
                <w:rFonts w:hint="default" w:ascii="Times New Roman" w:hAnsi="Times New Roman" w:eastAsia="仿宋" w:cs="Times New Roman"/>
                <w:b/>
                <w:bCs/>
                <w:color w:val="auto"/>
                <w:sz w:val="21"/>
                <w:szCs w:val="21"/>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基本收入</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963.47</w:t>
            </w:r>
          </w:p>
        </w:tc>
        <w:tc>
          <w:tcPr>
            <w:tcW w:w="1691" w:type="dxa"/>
          </w:tcPr>
          <w:p>
            <w:pPr>
              <w:numPr>
                <w:ilvl w:val="0"/>
                <w:numId w:val="0"/>
              </w:numPr>
              <w:jc w:val="both"/>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基本支出</w:t>
            </w:r>
          </w:p>
        </w:tc>
        <w:tc>
          <w:tcPr>
            <w:tcW w:w="991" w:type="dxa"/>
          </w:tcPr>
          <w:p>
            <w:pPr>
              <w:numPr>
                <w:ilvl w:val="0"/>
                <w:numId w:val="0"/>
              </w:numPr>
              <w:jc w:val="center"/>
              <w:rPr>
                <w:rFonts w:hint="eastAsia"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w:t>
            </w:r>
            <w:r>
              <w:rPr>
                <w:rFonts w:hint="eastAsia" w:ascii="Times New Roman" w:hAnsi="Times New Roman" w:eastAsia="仿宋" w:cs="Times New Roman"/>
                <w:color w:val="auto"/>
                <w:sz w:val="21"/>
                <w:szCs w:val="21"/>
                <w:vertAlign w:val="baseline"/>
                <w:lang w:val="en-US" w:eastAsia="zh-CN"/>
              </w:rPr>
              <w:t>,</w:t>
            </w:r>
            <w:r>
              <w:rPr>
                <w:rFonts w:hint="default" w:ascii="Times New Roman" w:hAnsi="Times New Roman" w:eastAsia="仿宋" w:cs="Times New Roman"/>
                <w:color w:val="auto"/>
                <w:sz w:val="21"/>
                <w:szCs w:val="21"/>
                <w:vertAlign w:val="baseline"/>
                <w:lang w:val="en-US" w:eastAsia="zh-CN"/>
              </w:rPr>
              <w:t>085</w:t>
            </w:r>
            <w:r>
              <w:rPr>
                <w:rFonts w:hint="eastAsia" w:ascii="Times New Roman" w:hAnsi="Times New Roman" w:eastAsia="仿宋" w:cs="Times New Roman"/>
                <w:color w:val="auto"/>
                <w:sz w:val="21"/>
                <w:szCs w:val="21"/>
                <w:vertAlign w:val="baseline"/>
                <w:lang w:val="en-US" w:eastAsia="zh-CN"/>
              </w:rPr>
              <w:t>.</w:t>
            </w:r>
            <w:r>
              <w:rPr>
                <w:rFonts w:hint="default" w:ascii="Times New Roman" w:hAnsi="Times New Roman" w:eastAsia="仿宋" w:cs="Times New Roman"/>
                <w:color w:val="auto"/>
                <w:sz w:val="21"/>
                <w:szCs w:val="21"/>
                <w:vertAlign w:val="baseline"/>
                <w:lang w:val="en-US" w:eastAsia="zh-CN"/>
              </w:rPr>
              <w:t>3</w:t>
            </w:r>
            <w:r>
              <w:rPr>
                <w:rFonts w:hint="eastAsia" w:ascii="Times New Roman" w:hAnsi="Times New Roman" w:eastAsia="仿宋" w:cs="Times New Roman"/>
                <w:color w:val="auto"/>
                <w:sz w:val="21"/>
                <w:szCs w:val="21"/>
                <w:vertAlign w:val="baseline"/>
                <w:lang w:val="en-US" w:eastAsia="zh-CN"/>
              </w:rPr>
              <w:t>1</w:t>
            </w:r>
          </w:p>
        </w:tc>
        <w:tc>
          <w:tcPr>
            <w:tcW w:w="1754" w:type="dxa"/>
            <w:vAlign w:val="top"/>
          </w:tcPr>
          <w:p>
            <w:pPr>
              <w:numPr>
                <w:ilvl w:val="0"/>
                <w:numId w:val="0"/>
              </w:numPr>
              <w:ind w:left="0" w:leftChars="0" w:firstLine="0" w:firstLineChars="0"/>
              <w:jc w:val="both"/>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vertAlign w:val="baseline"/>
                <w:lang w:val="en-US" w:eastAsia="zh-CN"/>
              </w:rPr>
              <w:t>基本支出</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i w:val="0"/>
                <w:iCs w:val="0"/>
                <w:color w:val="auto"/>
                <w:kern w:val="0"/>
                <w:sz w:val="21"/>
                <w:szCs w:val="21"/>
                <w:u w:val="none"/>
                <w:lang w:val="en-US" w:eastAsia="zh-CN" w:bidi="ar"/>
              </w:rPr>
              <w:t>-121.84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 xml:space="preserve">  工资福利社保</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845.03</w:t>
            </w:r>
          </w:p>
        </w:tc>
        <w:tc>
          <w:tcPr>
            <w:tcW w:w="16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 xml:space="preserve"> </w:t>
            </w:r>
            <w:r>
              <w:rPr>
                <w:rFonts w:hint="default" w:ascii="Times New Roman" w:hAnsi="Times New Roman" w:eastAsia="仿宋" w:cs="Times New Roman"/>
                <w:color w:val="auto"/>
                <w:sz w:val="21"/>
                <w:szCs w:val="21"/>
                <w:vertAlign w:val="baseline"/>
                <w:lang w:val="en-US" w:eastAsia="zh-CN"/>
              </w:rPr>
              <w:t>工资福利</w:t>
            </w:r>
            <w:r>
              <w:rPr>
                <w:rFonts w:hint="eastAsia" w:ascii="Times New Roman" w:hAnsi="Times New Roman" w:eastAsia="仿宋" w:cs="Times New Roman"/>
                <w:color w:val="auto"/>
                <w:sz w:val="21"/>
                <w:szCs w:val="21"/>
                <w:vertAlign w:val="baseline"/>
                <w:lang w:val="en-US" w:eastAsia="zh-CN"/>
              </w:rPr>
              <w:t>社保</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782.16</w:t>
            </w:r>
          </w:p>
        </w:tc>
        <w:tc>
          <w:tcPr>
            <w:tcW w:w="1754" w:type="dxa"/>
            <w:vAlign w:val="top"/>
          </w:tcPr>
          <w:p>
            <w:pPr>
              <w:numPr>
                <w:ilvl w:val="0"/>
                <w:numId w:val="0"/>
              </w:numPr>
              <w:ind w:left="0" w:leftChars="0" w:firstLine="0" w:firstLineChars="0"/>
              <w:jc w:val="center"/>
              <w:rPr>
                <w:rFonts w:hint="default" w:ascii="Times New Roman" w:hAnsi="Times New Roman" w:eastAsia="仿宋" w:cs="Times New Roman"/>
                <w:color w:val="auto"/>
                <w:kern w:val="2"/>
                <w:sz w:val="21"/>
                <w:szCs w:val="21"/>
                <w:vertAlign w:val="baseline"/>
                <w:lang w:val="en-US" w:eastAsia="zh-CN" w:bidi="ar-SA"/>
              </w:rPr>
            </w:pPr>
            <w:r>
              <w:rPr>
                <w:rFonts w:hint="eastAsia" w:ascii="Times New Roman" w:hAnsi="Times New Roman" w:eastAsia="仿宋" w:cs="Times New Roman"/>
                <w:color w:val="auto"/>
                <w:sz w:val="21"/>
                <w:szCs w:val="21"/>
                <w:vertAlign w:val="baseline"/>
                <w:lang w:val="en-US" w:eastAsia="zh-CN"/>
              </w:rPr>
              <w:t xml:space="preserve"> </w:t>
            </w:r>
            <w:r>
              <w:rPr>
                <w:rFonts w:hint="default" w:ascii="Times New Roman" w:hAnsi="Times New Roman" w:eastAsia="仿宋" w:cs="Times New Roman"/>
                <w:color w:val="auto"/>
                <w:sz w:val="21"/>
                <w:szCs w:val="21"/>
                <w:vertAlign w:val="baseline"/>
                <w:lang w:val="en-US" w:eastAsia="zh-CN"/>
              </w:rPr>
              <w:t>工资福利</w:t>
            </w:r>
            <w:r>
              <w:rPr>
                <w:rFonts w:hint="eastAsia" w:ascii="Times New Roman" w:hAnsi="Times New Roman" w:eastAsia="仿宋" w:cs="Times New Roman"/>
                <w:color w:val="auto"/>
                <w:sz w:val="21"/>
                <w:szCs w:val="21"/>
                <w:vertAlign w:val="baseline"/>
                <w:lang w:val="en-US" w:eastAsia="zh-CN"/>
              </w:rPr>
              <w:t>社保</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i w:val="0"/>
                <w:iCs w:val="0"/>
                <w:color w:val="auto"/>
                <w:kern w:val="0"/>
                <w:sz w:val="21"/>
                <w:szCs w:val="21"/>
                <w:u w:val="none"/>
                <w:lang w:val="en-US" w:eastAsia="zh-CN" w:bidi="ar"/>
              </w:rPr>
              <w:t>62.87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ind w:firstLine="210" w:firstLineChars="100"/>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sz w:val="21"/>
                <w:szCs w:val="21"/>
                <w:vertAlign w:val="baseline"/>
              </w:rPr>
              <w:t>公用经费</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118.44</w:t>
            </w:r>
          </w:p>
        </w:tc>
        <w:tc>
          <w:tcPr>
            <w:tcW w:w="16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商品和服务</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303.15</w:t>
            </w:r>
          </w:p>
        </w:tc>
        <w:tc>
          <w:tcPr>
            <w:tcW w:w="1754" w:type="dxa"/>
            <w:vAlign w:val="top"/>
          </w:tcPr>
          <w:p>
            <w:pPr>
              <w:numPr>
                <w:ilvl w:val="0"/>
                <w:numId w:val="0"/>
              </w:numPr>
              <w:ind w:left="0" w:leftChars="0" w:firstLine="0" w:firstLineChars="0"/>
              <w:jc w:val="center"/>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vertAlign w:val="baseline"/>
                <w:lang w:val="en-US" w:eastAsia="zh-CN"/>
              </w:rPr>
              <w:t>商品和服务</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i w:val="0"/>
                <w:iCs w:val="0"/>
                <w:color w:val="auto"/>
                <w:kern w:val="0"/>
                <w:sz w:val="21"/>
                <w:szCs w:val="21"/>
                <w:u w:val="none"/>
                <w:lang w:val="en-US" w:eastAsia="zh-CN" w:bidi="ar"/>
              </w:rPr>
              <w:t>-184.71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sz w:val="21"/>
                <w:szCs w:val="21"/>
                <w:vertAlign w:val="baseline"/>
              </w:rPr>
              <w:t>项目收入</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958.13</w:t>
            </w:r>
          </w:p>
        </w:tc>
        <w:tc>
          <w:tcPr>
            <w:tcW w:w="1691" w:type="dxa"/>
          </w:tcPr>
          <w:p>
            <w:pPr>
              <w:numPr>
                <w:ilvl w:val="0"/>
                <w:numId w:val="0"/>
              </w:numPr>
              <w:jc w:val="both"/>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项目支出</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940.81</w:t>
            </w:r>
          </w:p>
        </w:tc>
        <w:tc>
          <w:tcPr>
            <w:tcW w:w="1754" w:type="dxa"/>
            <w:vAlign w:val="top"/>
          </w:tcPr>
          <w:p>
            <w:pPr>
              <w:numPr>
                <w:ilvl w:val="0"/>
                <w:numId w:val="0"/>
              </w:numPr>
              <w:ind w:left="0" w:leftChars="0" w:firstLine="0" w:firstLineChars="0"/>
              <w:jc w:val="both"/>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vertAlign w:val="baseline"/>
                <w:lang w:val="en-US" w:eastAsia="zh-CN"/>
              </w:rPr>
              <w:t>项目支出</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lang w:val="en-US"/>
              </w:rPr>
            </w:pPr>
            <w:r>
              <w:rPr>
                <w:rFonts w:hint="eastAsia" w:ascii="Times New Roman" w:hAnsi="Times New Roman" w:eastAsia="仿宋" w:cs="Times New Roman"/>
                <w:i w:val="0"/>
                <w:iCs w:val="0"/>
                <w:color w:val="auto"/>
                <w:kern w:val="0"/>
                <w:sz w:val="21"/>
                <w:szCs w:val="21"/>
                <w:u w:val="none"/>
                <w:lang w:val="en-US" w:eastAsia="zh-CN" w:bidi="ar"/>
              </w:rPr>
              <w:t>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rPr>
                <w:rFonts w:hint="eastAsia"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 xml:space="preserve">  人社资金</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64.06</w:t>
            </w:r>
          </w:p>
        </w:tc>
        <w:tc>
          <w:tcPr>
            <w:tcW w:w="1691" w:type="dxa"/>
          </w:tcPr>
          <w:p>
            <w:pPr>
              <w:numPr>
                <w:ilvl w:val="0"/>
                <w:numId w:val="0"/>
              </w:numPr>
              <w:ind w:firstLine="210" w:firstLineChars="100"/>
              <w:jc w:val="both"/>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人社资金</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highlight w:val="none"/>
                <w:vertAlign w:val="baseline"/>
                <w:lang w:val="en-US" w:eastAsia="zh-CN"/>
              </w:rPr>
              <w:t>42.06</w:t>
            </w:r>
          </w:p>
        </w:tc>
        <w:tc>
          <w:tcPr>
            <w:tcW w:w="1754" w:type="dxa"/>
            <w:vAlign w:val="top"/>
          </w:tcPr>
          <w:p>
            <w:pPr>
              <w:numPr>
                <w:ilvl w:val="0"/>
                <w:numId w:val="0"/>
              </w:numPr>
              <w:ind w:left="0" w:leftChars="0" w:firstLine="210" w:firstLineChars="100"/>
              <w:jc w:val="both"/>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vertAlign w:val="baseline"/>
                <w:lang w:val="en-US" w:eastAsia="zh-CN"/>
              </w:rPr>
              <w:t>人社资金</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lang w:val="en-US"/>
              </w:rPr>
            </w:pPr>
            <w:r>
              <w:rPr>
                <w:rFonts w:hint="default" w:ascii="Times New Roman" w:hAnsi="Times New Roman" w:eastAsia="仿宋" w:cs="Times New Roman"/>
                <w:i w:val="0"/>
                <w:iCs w:val="0"/>
                <w:color w:val="auto"/>
                <w:kern w:val="0"/>
                <w:sz w:val="21"/>
                <w:szCs w:val="21"/>
                <w:u w:val="none"/>
                <w:lang w:val="en-US" w:eastAsia="zh-CN" w:bidi="ar"/>
              </w:rPr>
              <w:t>22</w:t>
            </w:r>
            <w:r>
              <w:rPr>
                <w:rFonts w:hint="eastAsia" w:ascii="Times New Roman" w:hAnsi="Times New Roman" w:eastAsia="仿宋" w:cs="Times New Roman"/>
                <w:i w:val="0"/>
                <w:iCs w:val="0"/>
                <w:color w:val="auto"/>
                <w:kern w:val="0"/>
                <w:sz w:val="21"/>
                <w:szCs w:val="21"/>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ind w:firstLine="210" w:firstLineChars="100"/>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sz w:val="21"/>
                <w:szCs w:val="21"/>
                <w:vertAlign w:val="baseline"/>
              </w:rPr>
              <w:t>民政资金</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18.30</w:t>
            </w:r>
          </w:p>
        </w:tc>
        <w:tc>
          <w:tcPr>
            <w:tcW w:w="1691" w:type="dxa"/>
          </w:tcPr>
          <w:p>
            <w:pPr>
              <w:numPr>
                <w:ilvl w:val="0"/>
                <w:numId w:val="0"/>
              </w:numPr>
              <w:ind w:firstLine="210" w:firstLineChars="100"/>
              <w:jc w:val="both"/>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民政资金</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15.28</w:t>
            </w:r>
          </w:p>
        </w:tc>
        <w:tc>
          <w:tcPr>
            <w:tcW w:w="1754" w:type="dxa"/>
            <w:vAlign w:val="top"/>
          </w:tcPr>
          <w:p>
            <w:pPr>
              <w:numPr>
                <w:ilvl w:val="0"/>
                <w:numId w:val="0"/>
              </w:numPr>
              <w:ind w:left="0" w:leftChars="0" w:firstLine="210" w:firstLineChars="100"/>
              <w:jc w:val="both"/>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vertAlign w:val="baseline"/>
                <w:lang w:val="en-US" w:eastAsia="zh-CN"/>
              </w:rPr>
              <w:t>民政资金</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i w:val="0"/>
                <w:iCs w:val="0"/>
                <w:color w:val="auto"/>
                <w:kern w:val="0"/>
                <w:sz w:val="21"/>
                <w:szCs w:val="21"/>
                <w:u w:val="none"/>
                <w:lang w:val="en-US" w:eastAsia="zh-CN" w:bidi="ar"/>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ind w:firstLine="210" w:firstLineChars="100"/>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sz w:val="21"/>
                <w:szCs w:val="21"/>
                <w:vertAlign w:val="baseline"/>
              </w:rPr>
              <w:t>城管环卫</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604.21</w:t>
            </w:r>
          </w:p>
        </w:tc>
        <w:tc>
          <w:tcPr>
            <w:tcW w:w="1691" w:type="dxa"/>
          </w:tcPr>
          <w:p>
            <w:pPr>
              <w:numPr>
                <w:ilvl w:val="0"/>
                <w:numId w:val="0"/>
              </w:numPr>
              <w:ind w:firstLine="210" w:firstLineChars="100"/>
              <w:jc w:val="both"/>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城管环卫</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highlight w:val="none"/>
                <w:vertAlign w:val="baseline"/>
                <w:lang w:val="en-US" w:eastAsia="zh-CN"/>
              </w:rPr>
              <w:t>633.71</w:t>
            </w:r>
          </w:p>
        </w:tc>
        <w:tc>
          <w:tcPr>
            <w:tcW w:w="1754" w:type="dxa"/>
            <w:vAlign w:val="top"/>
          </w:tcPr>
          <w:p>
            <w:pPr>
              <w:numPr>
                <w:ilvl w:val="0"/>
                <w:numId w:val="0"/>
              </w:numPr>
              <w:ind w:left="0" w:leftChars="0" w:firstLine="210" w:firstLineChars="100"/>
              <w:jc w:val="both"/>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vertAlign w:val="baseline"/>
                <w:lang w:val="en-US" w:eastAsia="zh-CN"/>
              </w:rPr>
              <w:t>城管环卫</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lang w:val="en-US"/>
              </w:rPr>
            </w:pPr>
            <w:r>
              <w:rPr>
                <w:rFonts w:hint="default" w:ascii="Times New Roman" w:hAnsi="Times New Roman" w:eastAsia="仿宋" w:cs="Times New Roman"/>
                <w:i w:val="0"/>
                <w:iCs w:val="0"/>
                <w:color w:val="auto"/>
                <w:kern w:val="0"/>
                <w:sz w:val="21"/>
                <w:szCs w:val="21"/>
                <w:u w:val="none"/>
                <w:lang w:val="en-US" w:eastAsia="zh-CN" w:bidi="ar"/>
              </w:rPr>
              <w:t>-29.5</w:t>
            </w:r>
            <w:r>
              <w:rPr>
                <w:rFonts w:hint="eastAsia" w:ascii="Times New Roman" w:hAnsi="Times New Roman" w:eastAsia="仿宋" w:cs="Times New Roman"/>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ind w:firstLine="210" w:firstLineChars="100"/>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sz w:val="21"/>
                <w:szCs w:val="21"/>
                <w:vertAlign w:val="baseline"/>
              </w:rPr>
              <w:t>计生资金</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9.35</w:t>
            </w:r>
          </w:p>
        </w:tc>
        <w:tc>
          <w:tcPr>
            <w:tcW w:w="1691" w:type="dxa"/>
          </w:tcPr>
          <w:p>
            <w:pPr>
              <w:numPr>
                <w:ilvl w:val="0"/>
                <w:numId w:val="0"/>
              </w:numPr>
              <w:ind w:firstLine="210" w:firstLineChars="100"/>
              <w:jc w:val="both"/>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计生资金</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12.40</w:t>
            </w:r>
          </w:p>
        </w:tc>
        <w:tc>
          <w:tcPr>
            <w:tcW w:w="1754" w:type="dxa"/>
            <w:vAlign w:val="top"/>
          </w:tcPr>
          <w:p>
            <w:pPr>
              <w:numPr>
                <w:ilvl w:val="0"/>
                <w:numId w:val="0"/>
              </w:numPr>
              <w:ind w:left="0" w:leftChars="0" w:firstLine="210" w:firstLineChars="100"/>
              <w:jc w:val="both"/>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vertAlign w:val="baseline"/>
                <w:lang w:val="en-US" w:eastAsia="zh-CN"/>
              </w:rPr>
              <w:t>计生资金</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i w:val="0"/>
                <w:iCs w:val="0"/>
                <w:color w:val="auto"/>
                <w:kern w:val="0"/>
                <w:sz w:val="21"/>
                <w:szCs w:val="21"/>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ind w:firstLine="210" w:firstLineChars="100"/>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sz w:val="21"/>
                <w:szCs w:val="21"/>
                <w:vertAlign w:val="baseline"/>
              </w:rPr>
              <w:t>残联资金</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1.86</w:t>
            </w:r>
          </w:p>
        </w:tc>
        <w:tc>
          <w:tcPr>
            <w:tcW w:w="1691" w:type="dxa"/>
          </w:tcPr>
          <w:p>
            <w:pPr>
              <w:numPr>
                <w:ilvl w:val="0"/>
                <w:numId w:val="0"/>
              </w:numPr>
              <w:ind w:firstLine="210" w:firstLineChars="100"/>
              <w:jc w:val="both"/>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残联资金</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12.33</w:t>
            </w:r>
          </w:p>
        </w:tc>
        <w:tc>
          <w:tcPr>
            <w:tcW w:w="1754" w:type="dxa"/>
            <w:vAlign w:val="top"/>
          </w:tcPr>
          <w:p>
            <w:pPr>
              <w:numPr>
                <w:ilvl w:val="0"/>
                <w:numId w:val="0"/>
              </w:numPr>
              <w:ind w:left="0" w:leftChars="0" w:firstLine="210" w:firstLineChars="100"/>
              <w:jc w:val="both"/>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vertAlign w:val="baseline"/>
                <w:lang w:val="en-US" w:eastAsia="zh-CN"/>
              </w:rPr>
              <w:t>残联资金</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i w:val="0"/>
                <w:iCs w:val="0"/>
                <w:color w:val="auto"/>
                <w:kern w:val="0"/>
                <w:sz w:val="21"/>
                <w:szCs w:val="21"/>
                <w:u w:val="none"/>
                <w:lang w:val="en-US" w:eastAsia="zh-CN" w:bidi="ar"/>
              </w:rPr>
              <w:t>-10.47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ind w:firstLine="210" w:firstLineChars="100"/>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sz w:val="21"/>
                <w:szCs w:val="21"/>
                <w:vertAlign w:val="baseline"/>
              </w:rPr>
              <w:t>退役军人</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67.36</w:t>
            </w:r>
          </w:p>
        </w:tc>
        <w:tc>
          <w:tcPr>
            <w:tcW w:w="1691" w:type="dxa"/>
          </w:tcPr>
          <w:p>
            <w:pPr>
              <w:numPr>
                <w:ilvl w:val="0"/>
                <w:numId w:val="0"/>
              </w:numPr>
              <w:ind w:firstLine="210" w:firstLineChars="100"/>
              <w:jc w:val="both"/>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退役军人</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60.63</w:t>
            </w:r>
          </w:p>
        </w:tc>
        <w:tc>
          <w:tcPr>
            <w:tcW w:w="1754" w:type="dxa"/>
            <w:vAlign w:val="top"/>
          </w:tcPr>
          <w:p>
            <w:pPr>
              <w:numPr>
                <w:ilvl w:val="0"/>
                <w:numId w:val="0"/>
              </w:numPr>
              <w:ind w:left="0" w:leftChars="0" w:firstLine="210" w:firstLineChars="100"/>
              <w:jc w:val="both"/>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vertAlign w:val="baseline"/>
                <w:lang w:val="en-US" w:eastAsia="zh-CN"/>
              </w:rPr>
              <w:t>退役军人</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i w:val="0"/>
                <w:iCs w:val="0"/>
                <w:color w:val="auto"/>
                <w:kern w:val="0"/>
                <w:sz w:val="21"/>
                <w:szCs w:val="21"/>
                <w:u w:val="none"/>
                <w:lang w:val="en-US" w:eastAsia="zh-CN" w:bidi="ar"/>
              </w:rPr>
              <w:t>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ind w:firstLine="210" w:firstLineChars="100"/>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color w:val="auto"/>
                <w:sz w:val="21"/>
                <w:szCs w:val="21"/>
                <w:vertAlign w:val="baseline"/>
              </w:rPr>
              <w:t>疫情防控</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23.00</w:t>
            </w:r>
          </w:p>
        </w:tc>
        <w:tc>
          <w:tcPr>
            <w:tcW w:w="1691" w:type="dxa"/>
          </w:tcPr>
          <w:p>
            <w:pPr>
              <w:numPr>
                <w:ilvl w:val="0"/>
                <w:numId w:val="0"/>
              </w:numPr>
              <w:ind w:firstLine="210" w:firstLineChars="100"/>
              <w:jc w:val="both"/>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疫情防控</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73.97</w:t>
            </w:r>
          </w:p>
        </w:tc>
        <w:tc>
          <w:tcPr>
            <w:tcW w:w="1754" w:type="dxa"/>
            <w:vAlign w:val="top"/>
          </w:tcPr>
          <w:p>
            <w:pPr>
              <w:numPr>
                <w:ilvl w:val="0"/>
                <w:numId w:val="0"/>
              </w:numPr>
              <w:ind w:left="0" w:leftChars="0" w:firstLine="210" w:firstLineChars="100"/>
              <w:jc w:val="both"/>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vertAlign w:val="baseline"/>
                <w:lang w:val="en-US" w:eastAsia="zh-CN"/>
              </w:rPr>
              <w:t>疫情防控</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i w:val="0"/>
                <w:iCs w:val="0"/>
                <w:color w:val="auto"/>
                <w:kern w:val="0"/>
                <w:sz w:val="21"/>
                <w:szCs w:val="21"/>
                <w:u w:val="none"/>
                <w:lang w:val="en-US" w:eastAsia="zh-CN" w:bidi="ar"/>
              </w:rPr>
              <w:t>-50.97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ind w:firstLine="210" w:firstLineChars="100"/>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泰和整治</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170.00</w:t>
            </w:r>
          </w:p>
        </w:tc>
        <w:tc>
          <w:tcPr>
            <w:tcW w:w="1691" w:type="dxa"/>
          </w:tcPr>
          <w:p>
            <w:pPr>
              <w:numPr>
                <w:ilvl w:val="0"/>
                <w:numId w:val="0"/>
              </w:numPr>
              <w:ind w:firstLine="0" w:firstLineChars="0"/>
              <w:jc w:val="both"/>
              <w:rPr>
                <w:rFonts w:hint="default" w:ascii="Times New Roman" w:hAnsi="Times New Roman" w:eastAsia="仿宋" w:cs="Times New Roman"/>
                <w:color w:val="auto"/>
                <w:sz w:val="21"/>
                <w:szCs w:val="21"/>
                <w:highlight w:val="yellow"/>
                <w:vertAlign w:val="baseline"/>
                <w:lang w:val="en-US" w:eastAsia="zh-CN"/>
              </w:rPr>
            </w:pPr>
            <w:r>
              <w:rPr>
                <w:rFonts w:hint="eastAsia" w:ascii="Times New Roman" w:hAnsi="Times New Roman" w:eastAsia="仿宋" w:cs="Times New Roman"/>
                <w:color w:val="auto"/>
                <w:sz w:val="21"/>
                <w:szCs w:val="21"/>
                <w:highlight w:val="none"/>
                <w:vertAlign w:val="baseline"/>
                <w:lang w:val="en-US" w:eastAsia="zh-CN"/>
              </w:rPr>
              <w:t>泰和市场拆违与消防安全整治</w:t>
            </w:r>
          </w:p>
        </w:tc>
        <w:tc>
          <w:tcPr>
            <w:tcW w:w="991" w:type="dxa"/>
          </w:tcPr>
          <w:p>
            <w:pPr>
              <w:numPr>
                <w:ilvl w:val="0"/>
                <w:numId w:val="0"/>
              </w:numPr>
              <w:jc w:val="center"/>
              <w:rPr>
                <w:rFonts w:hint="default" w:ascii="Times New Roman" w:hAnsi="Times New Roman" w:eastAsia="仿宋" w:cs="Times New Roman"/>
                <w:color w:val="auto"/>
                <w:sz w:val="21"/>
                <w:szCs w:val="21"/>
                <w:highlight w:val="yellow"/>
                <w:vertAlign w:val="baseline"/>
                <w:lang w:val="en-US" w:eastAsia="zh-CN"/>
              </w:rPr>
            </w:pPr>
            <w:r>
              <w:rPr>
                <w:rFonts w:hint="eastAsia" w:ascii="Times New Roman" w:hAnsi="Times New Roman" w:eastAsia="仿宋" w:cs="Times New Roman"/>
                <w:color w:val="auto"/>
                <w:sz w:val="21"/>
                <w:szCs w:val="21"/>
                <w:highlight w:val="none"/>
                <w:vertAlign w:val="baseline"/>
                <w:lang w:val="en-US" w:eastAsia="zh-CN"/>
              </w:rPr>
              <w:t>90.43</w:t>
            </w:r>
          </w:p>
        </w:tc>
        <w:tc>
          <w:tcPr>
            <w:tcW w:w="1754" w:type="dxa"/>
            <w:vAlign w:val="top"/>
          </w:tcPr>
          <w:p>
            <w:pPr>
              <w:numPr>
                <w:ilvl w:val="0"/>
                <w:numId w:val="0"/>
              </w:numPr>
              <w:ind w:left="0" w:leftChars="0" w:firstLine="0" w:firstLineChars="0"/>
              <w:jc w:val="center"/>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kern w:val="2"/>
                <w:sz w:val="21"/>
                <w:szCs w:val="21"/>
                <w:vertAlign w:val="baseline"/>
                <w:lang w:val="en-US" w:eastAsia="zh-CN" w:bidi="ar-SA"/>
              </w:rPr>
              <w:t>泰和市场</w:t>
            </w:r>
            <w:r>
              <w:rPr>
                <w:rFonts w:hint="eastAsia" w:ascii="Times New Roman" w:hAnsi="Times New Roman" w:eastAsia="仿宋" w:cs="Times New Roman"/>
                <w:color w:val="auto"/>
                <w:sz w:val="21"/>
                <w:szCs w:val="21"/>
                <w:vertAlign w:val="baseline"/>
                <w:lang w:val="en-US" w:eastAsia="zh-CN"/>
              </w:rPr>
              <w:t>拆违</w:t>
            </w:r>
            <w:r>
              <w:rPr>
                <w:rFonts w:hint="default" w:ascii="Times New Roman" w:hAnsi="Times New Roman" w:eastAsia="仿宋" w:cs="Times New Roman"/>
                <w:color w:val="auto"/>
                <w:kern w:val="2"/>
                <w:sz w:val="21"/>
                <w:szCs w:val="21"/>
                <w:vertAlign w:val="baseline"/>
                <w:lang w:val="en-US" w:eastAsia="zh-CN" w:bidi="ar-SA"/>
              </w:rPr>
              <w:t>与消防安全整治</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i w:val="0"/>
                <w:iCs w:val="0"/>
                <w:color w:val="auto"/>
                <w:kern w:val="0"/>
                <w:sz w:val="21"/>
                <w:szCs w:val="21"/>
                <w:u w:val="none"/>
                <w:lang w:val="en-US" w:eastAsia="zh-CN" w:bidi="ar"/>
              </w:rPr>
              <w:t>79.57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其它收入</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247.79</w:t>
            </w:r>
          </w:p>
        </w:tc>
        <w:tc>
          <w:tcPr>
            <w:tcW w:w="1691" w:type="dxa"/>
          </w:tcPr>
          <w:p>
            <w:pPr>
              <w:numPr>
                <w:ilvl w:val="0"/>
                <w:numId w:val="0"/>
              </w:numPr>
              <w:jc w:val="both"/>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其他支出</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0.00</w:t>
            </w:r>
          </w:p>
        </w:tc>
        <w:tc>
          <w:tcPr>
            <w:tcW w:w="1754" w:type="dxa"/>
            <w:vAlign w:val="top"/>
          </w:tcPr>
          <w:p>
            <w:pPr>
              <w:numPr>
                <w:ilvl w:val="0"/>
                <w:numId w:val="0"/>
              </w:numPr>
              <w:ind w:left="0" w:leftChars="0" w:firstLine="0" w:firstLineChars="0"/>
              <w:jc w:val="both"/>
              <w:rPr>
                <w:rFonts w:hint="default" w:ascii="Times New Roman" w:hAnsi="Times New Roman" w:eastAsia="仿宋" w:cs="Times New Roman"/>
                <w:color w:val="auto"/>
                <w:kern w:val="2"/>
                <w:sz w:val="21"/>
                <w:szCs w:val="21"/>
                <w:vertAlign w:val="baseline"/>
                <w:lang w:val="en-US" w:eastAsia="zh-CN" w:bidi="ar-SA"/>
              </w:rPr>
            </w:pPr>
            <w:r>
              <w:rPr>
                <w:rFonts w:hint="default" w:ascii="Times New Roman" w:hAnsi="Times New Roman" w:eastAsia="仿宋" w:cs="Times New Roman"/>
                <w:color w:val="auto"/>
                <w:sz w:val="21"/>
                <w:szCs w:val="21"/>
                <w:vertAlign w:val="baseline"/>
                <w:lang w:val="en-US" w:eastAsia="zh-CN"/>
              </w:rPr>
              <w:t>其他支出</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vertAlign w:val="baseline"/>
              </w:rPr>
            </w:pPr>
            <w:r>
              <w:rPr>
                <w:rFonts w:hint="default" w:ascii="Times New Roman" w:hAnsi="Times New Roman" w:eastAsia="仿宋" w:cs="Times New Roman"/>
                <w:i w:val="0"/>
                <w:iCs w:val="0"/>
                <w:color w:val="auto"/>
                <w:kern w:val="0"/>
                <w:sz w:val="21"/>
                <w:szCs w:val="21"/>
                <w:u w:val="none"/>
                <w:lang w:val="en-US" w:eastAsia="zh-CN" w:bidi="ar"/>
              </w:rPr>
              <w:t>247.79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numPr>
                <w:ilvl w:val="0"/>
                <w:numId w:val="0"/>
              </w:numP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合计</w:t>
            </w:r>
          </w:p>
        </w:tc>
        <w:tc>
          <w:tcPr>
            <w:tcW w:w="1136"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2,169.39</w:t>
            </w:r>
          </w:p>
        </w:tc>
        <w:tc>
          <w:tcPr>
            <w:tcW w:w="16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eastAsia" w:ascii="Times New Roman" w:hAnsi="Times New Roman" w:eastAsia="仿宋" w:cs="Times New Roman"/>
                <w:color w:val="auto"/>
                <w:sz w:val="21"/>
                <w:szCs w:val="21"/>
                <w:vertAlign w:val="baseline"/>
                <w:lang w:val="en-US" w:eastAsia="zh-CN"/>
              </w:rPr>
              <w:t>合计</w:t>
            </w:r>
          </w:p>
        </w:tc>
        <w:tc>
          <w:tcPr>
            <w:tcW w:w="991" w:type="dxa"/>
          </w:tcPr>
          <w:p>
            <w:pPr>
              <w:numPr>
                <w:ilvl w:val="0"/>
                <w:numId w:val="0"/>
              </w:numPr>
              <w:jc w:val="center"/>
              <w:rPr>
                <w:rFonts w:hint="default" w:ascii="Times New Roman" w:hAnsi="Times New Roman" w:eastAsia="仿宋" w:cs="Times New Roman"/>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2</w:t>
            </w:r>
            <w:r>
              <w:rPr>
                <w:rFonts w:hint="eastAsia" w:ascii="Times New Roman" w:hAnsi="Times New Roman" w:eastAsia="仿宋" w:cs="Times New Roman"/>
                <w:color w:val="auto"/>
                <w:sz w:val="21"/>
                <w:szCs w:val="21"/>
                <w:vertAlign w:val="baseline"/>
                <w:lang w:val="en-US" w:eastAsia="zh-CN"/>
              </w:rPr>
              <w:t>,</w:t>
            </w:r>
            <w:r>
              <w:rPr>
                <w:rFonts w:hint="default" w:ascii="Times New Roman" w:hAnsi="Times New Roman" w:eastAsia="仿宋" w:cs="Times New Roman"/>
                <w:color w:val="auto"/>
                <w:sz w:val="21"/>
                <w:szCs w:val="21"/>
                <w:vertAlign w:val="baseline"/>
                <w:lang w:val="en-US" w:eastAsia="zh-CN"/>
              </w:rPr>
              <w:t>026</w:t>
            </w:r>
            <w:r>
              <w:rPr>
                <w:rFonts w:hint="eastAsia" w:ascii="Times New Roman" w:hAnsi="Times New Roman" w:eastAsia="仿宋" w:cs="Times New Roman"/>
                <w:color w:val="auto"/>
                <w:sz w:val="21"/>
                <w:szCs w:val="21"/>
                <w:vertAlign w:val="baseline"/>
                <w:lang w:val="en-US" w:eastAsia="zh-CN"/>
              </w:rPr>
              <w:t>.</w:t>
            </w:r>
            <w:r>
              <w:rPr>
                <w:rFonts w:hint="default" w:ascii="Times New Roman" w:hAnsi="Times New Roman" w:eastAsia="仿宋" w:cs="Times New Roman"/>
                <w:color w:val="auto"/>
                <w:sz w:val="21"/>
                <w:szCs w:val="21"/>
                <w:vertAlign w:val="baseline"/>
                <w:lang w:val="en-US" w:eastAsia="zh-CN"/>
              </w:rPr>
              <w:t>1</w:t>
            </w:r>
            <w:r>
              <w:rPr>
                <w:rFonts w:hint="eastAsia" w:ascii="Times New Roman" w:hAnsi="Times New Roman" w:eastAsia="仿宋" w:cs="Times New Roman"/>
                <w:color w:val="auto"/>
                <w:sz w:val="21"/>
                <w:szCs w:val="21"/>
                <w:vertAlign w:val="baseline"/>
                <w:lang w:val="en-US" w:eastAsia="zh-CN"/>
              </w:rPr>
              <w:t>2</w:t>
            </w:r>
          </w:p>
        </w:tc>
        <w:tc>
          <w:tcPr>
            <w:tcW w:w="1754" w:type="dxa"/>
            <w:vAlign w:val="top"/>
          </w:tcPr>
          <w:p>
            <w:pPr>
              <w:numPr>
                <w:ilvl w:val="0"/>
                <w:numId w:val="0"/>
              </w:numPr>
              <w:ind w:left="0" w:leftChars="0" w:firstLine="0" w:firstLineChars="0"/>
              <w:jc w:val="center"/>
              <w:rPr>
                <w:rFonts w:hint="default" w:ascii="Times New Roman" w:hAnsi="Times New Roman" w:eastAsia="仿宋" w:cs="Times New Roman"/>
                <w:b w:val="0"/>
                <w:bCs w:val="0"/>
                <w:color w:val="auto"/>
                <w:kern w:val="2"/>
                <w:sz w:val="21"/>
                <w:szCs w:val="21"/>
                <w:vertAlign w:val="baseline"/>
                <w:lang w:val="en-US" w:eastAsia="zh-CN" w:bidi="ar-SA"/>
              </w:rPr>
            </w:pPr>
            <w:r>
              <w:rPr>
                <w:rFonts w:hint="default" w:ascii="Times New Roman" w:hAnsi="Times New Roman" w:eastAsia="仿宋" w:cs="Times New Roman"/>
                <w:b w:val="0"/>
                <w:bCs w:val="0"/>
                <w:color w:val="auto"/>
                <w:sz w:val="21"/>
                <w:szCs w:val="21"/>
                <w:vertAlign w:val="baseline"/>
                <w:lang w:val="en-US" w:eastAsia="zh-CN"/>
              </w:rPr>
              <w:t>合计</w:t>
            </w:r>
          </w:p>
        </w:tc>
        <w:tc>
          <w:tcPr>
            <w:tcW w:w="1037" w:type="dxa"/>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auto"/>
                <w:sz w:val="21"/>
                <w:szCs w:val="21"/>
                <w:vertAlign w:val="baseline"/>
              </w:rPr>
            </w:pPr>
            <w:r>
              <w:rPr>
                <w:rFonts w:hint="default" w:ascii="Times New Roman" w:hAnsi="Times New Roman" w:eastAsia="仿宋" w:cs="Times New Roman"/>
                <w:b w:val="0"/>
                <w:bCs w:val="0"/>
                <w:i w:val="0"/>
                <w:iCs w:val="0"/>
                <w:color w:val="auto"/>
                <w:kern w:val="0"/>
                <w:sz w:val="21"/>
                <w:szCs w:val="21"/>
                <w:u w:val="none"/>
                <w:lang w:val="en-US" w:eastAsia="zh-CN" w:bidi="ar"/>
              </w:rPr>
              <w:t>143.28</w:t>
            </w:r>
          </w:p>
        </w:tc>
      </w:tr>
    </w:tbl>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lang w:val="en-US" w:eastAsia="zh-CN"/>
        </w:rPr>
        <w:t>整体支出方面，</w:t>
      </w:r>
      <w:r>
        <w:rPr>
          <w:rFonts w:hint="default" w:ascii="Times New Roman" w:hAnsi="Times New Roman" w:eastAsia="仿宋_GB2312" w:cs="Times New Roman"/>
          <w:color w:val="auto"/>
          <w:spacing w:val="-7"/>
          <w:sz w:val="32"/>
          <w:szCs w:val="32"/>
        </w:rPr>
        <w:t>站前路街道办事处2022年预算支出为866.63万元，决算支出为2,026.12万元，整体支出预算完成率为233.79%。预算支出中基本支出为811.63万元，项目支出为55万元。决算支出中基本支出为1</w:t>
      </w:r>
      <w:r>
        <w:rPr>
          <w:rFonts w:hint="default" w:ascii="Times New Roman" w:hAnsi="Times New Roman" w:eastAsia="仿宋_GB2312" w:cs="Times New Roman"/>
          <w:color w:val="auto"/>
          <w:spacing w:val="-7"/>
          <w:sz w:val="32"/>
          <w:szCs w:val="32"/>
          <w:lang w:val="en-US" w:eastAsia="zh-CN"/>
        </w:rPr>
        <w:t>,</w:t>
      </w:r>
      <w:r>
        <w:rPr>
          <w:rFonts w:hint="default" w:ascii="Times New Roman" w:hAnsi="Times New Roman" w:eastAsia="仿宋_GB2312" w:cs="Times New Roman"/>
          <w:color w:val="auto"/>
          <w:spacing w:val="-7"/>
          <w:sz w:val="32"/>
          <w:szCs w:val="32"/>
        </w:rPr>
        <w:t>085.31万元</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基本支出预算完成率为133.72%；项目支出为940.81万元，项目支出预算完成率为1</w:t>
      </w:r>
      <w:r>
        <w:rPr>
          <w:rFonts w:hint="default" w:ascii="Times New Roman" w:hAnsi="Times New Roman" w:eastAsia="仿宋_GB2312" w:cs="Times New Roman"/>
          <w:color w:val="auto"/>
          <w:spacing w:val="-7"/>
          <w:sz w:val="32"/>
          <w:szCs w:val="32"/>
          <w:lang w:val="en-US" w:eastAsia="zh-CN"/>
        </w:rPr>
        <w:t>,</w:t>
      </w:r>
      <w:r>
        <w:rPr>
          <w:rFonts w:hint="default" w:ascii="Times New Roman" w:hAnsi="Times New Roman" w:eastAsia="仿宋_GB2312" w:cs="Times New Roman"/>
          <w:color w:val="auto"/>
          <w:spacing w:val="-7"/>
          <w:sz w:val="32"/>
          <w:szCs w:val="32"/>
        </w:rPr>
        <w:t>710.56%。</w:t>
      </w:r>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rPr>
      </w:pPr>
      <w:bookmarkStart w:id="15" w:name="_Toc22705"/>
      <w:r>
        <w:rPr>
          <w:rFonts w:hint="eastAsia" w:ascii="楷体_GB2312" w:hAnsi="楷体_GB2312" w:eastAsia="楷体_GB2312" w:cs="楷体_GB2312"/>
          <w:b/>
          <w:bCs w:val="0"/>
          <w:color w:val="auto"/>
        </w:rPr>
        <w:t>（二）预算支出分项情况</w:t>
      </w:r>
      <w:bookmarkEnd w:id="15"/>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16" w:name="_Toc26396"/>
      <w:r>
        <w:rPr>
          <w:rFonts w:hint="default" w:ascii="Times New Roman" w:hAnsi="Times New Roman" w:eastAsia="仿宋_GB2312" w:cs="Times New Roman"/>
          <w:color w:val="auto"/>
        </w:rPr>
        <w:t>1.基本支出</w:t>
      </w:r>
      <w:bookmarkEnd w:id="16"/>
    </w:p>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2022年基本支出预算构成中，工资福利支出688.48万元，一般商品和服务支出97.20万元，对个人和家庭的补助25.95万元。2022年工资福利支出预算执行率为113.61%，增加部分主要是奖金支出。一般商品和服务预算支出执行率为311.88%，大幅增加的原因是新增办公费36.73万元、其他交通费用35.35 万元、其他商品和服务支出118.68万元。</w:t>
      </w:r>
    </w:p>
    <w:p>
      <w:pPr>
        <w:pStyle w:val="11"/>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pacing w:val="-7"/>
          <w:sz w:val="32"/>
          <w:szCs w:val="32"/>
        </w:rPr>
        <w:t>2022年基本支出执行情况</w:t>
      </w:r>
    </w:p>
    <w:p>
      <w:pPr>
        <w:pStyle w:val="11"/>
        <w:jc w:val="center"/>
        <w:rPr>
          <w:rFonts w:hint="default" w:ascii="Times New Roman" w:hAnsi="Times New Roman" w:cs="Times New Roman"/>
          <w:color w:val="auto"/>
        </w:rPr>
      </w:pP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单位：万元</w:t>
      </w:r>
    </w:p>
    <w:tbl>
      <w:tblPr>
        <w:tblStyle w:val="13"/>
        <w:tblW w:w="8304" w:type="dxa"/>
        <w:tblInd w:w="98" w:type="dxa"/>
        <w:tblLayout w:type="fixed"/>
        <w:tblCellMar>
          <w:top w:w="0" w:type="dxa"/>
          <w:left w:w="108" w:type="dxa"/>
          <w:bottom w:w="0" w:type="dxa"/>
          <w:right w:w="108" w:type="dxa"/>
        </w:tblCellMar>
      </w:tblPr>
      <w:tblGrid>
        <w:gridCol w:w="1476"/>
        <w:gridCol w:w="1593"/>
        <w:gridCol w:w="2115"/>
        <w:gridCol w:w="2050"/>
        <w:gridCol w:w="1070"/>
      </w:tblGrid>
      <w:tr>
        <w:tblPrEx>
          <w:tblCellMar>
            <w:top w:w="0" w:type="dxa"/>
            <w:left w:w="108" w:type="dxa"/>
            <w:bottom w:w="0" w:type="dxa"/>
            <w:right w:w="108" w:type="dxa"/>
          </w:tblCellMar>
        </w:tblPrEx>
        <w:trPr>
          <w:trHeight w:val="586"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kern w:val="0"/>
                <w:szCs w:val="21"/>
                <w:lang w:val="en-US" w:eastAsia="zh-CN" w:bidi="ar"/>
              </w:rPr>
              <w:t>预决算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工资福利支出</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一般商品和服务支出</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对个人和家庭补助</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合计</w:t>
            </w:r>
          </w:p>
        </w:tc>
      </w:tr>
      <w:tr>
        <w:tblPrEx>
          <w:tblCellMar>
            <w:top w:w="0" w:type="dxa"/>
            <w:left w:w="108" w:type="dxa"/>
            <w:bottom w:w="0" w:type="dxa"/>
            <w:right w:w="108" w:type="dxa"/>
          </w:tblCellMar>
        </w:tblPrEx>
        <w:trPr>
          <w:trHeight w:val="481"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2022年预算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688.48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97.20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25.95</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811.63</w:t>
            </w:r>
          </w:p>
        </w:tc>
      </w:tr>
      <w:tr>
        <w:tblPrEx>
          <w:tblCellMar>
            <w:top w:w="0" w:type="dxa"/>
            <w:left w:w="108" w:type="dxa"/>
            <w:bottom w:w="0" w:type="dxa"/>
            <w:right w:w="108" w:type="dxa"/>
          </w:tblCellMar>
        </w:tblPrEx>
        <w:trPr>
          <w:trHeight w:val="53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2022年决算</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782.16</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303.15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1085.31</w:t>
            </w:r>
          </w:p>
        </w:tc>
      </w:tr>
      <w:tr>
        <w:tblPrEx>
          <w:tblCellMar>
            <w:top w:w="0" w:type="dxa"/>
            <w:left w:w="108" w:type="dxa"/>
            <w:bottom w:w="0" w:type="dxa"/>
            <w:right w:w="108" w:type="dxa"/>
          </w:tblCellMar>
        </w:tblPrEx>
        <w:trPr>
          <w:trHeight w:val="54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预算执行情况</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113.61%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311.88%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133.72%</w:t>
            </w:r>
          </w:p>
        </w:tc>
      </w:tr>
    </w:tbl>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17" w:name="_Toc15240"/>
      <w:r>
        <w:rPr>
          <w:rFonts w:hint="default" w:ascii="Times New Roman" w:hAnsi="Times New Roman" w:eastAsia="仿宋_GB2312" w:cs="Times New Roman"/>
          <w:color w:val="auto"/>
        </w:rPr>
        <w:t>2.项目支出</w:t>
      </w:r>
      <w:bookmarkEnd w:id="17"/>
    </w:p>
    <w:p>
      <w:pPr>
        <w:pageBreakBefore w:val="0"/>
        <w:widowControl w:val="0"/>
        <w:kinsoku/>
        <w:wordWrap/>
        <w:overflowPunct/>
        <w:topLinePunct w:val="0"/>
        <w:autoSpaceDE/>
        <w:autoSpaceDN/>
        <w:bidi w:val="0"/>
        <w:adjustRightInd/>
        <w:snapToGrid/>
        <w:spacing w:line="600" w:lineRule="exact"/>
        <w:ind w:firstLine="612" w:firstLineChars="200"/>
        <w:textAlignment w:val="auto"/>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2022年项目支出预算构成中，其他支出</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lang w:val="en-US" w:eastAsia="zh-CN"/>
        </w:rPr>
        <w:t>下辖5个社区的管理支出</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为50万元，兵役征集支出5万元。2022年实际项目支出940.81万元中，</w:t>
      </w:r>
      <w:r>
        <w:rPr>
          <w:rFonts w:hint="default" w:ascii="Times New Roman" w:hAnsi="Times New Roman" w:eastAsia="仿宋_GB2312" w:cs="Times New Roman"/>
          <w:color w:val="auto"/>
          <w:spacing w:val="-7"/>
          <w:sz w:val="32"/>
          <w:szCs w:val="32"/>
          <w:lang w:val="en-US" w:eastAsia="zh-CN"/>
        </w:rPr>
        <w:t>超过30万元以上的支出共计812.88万元，占项目支出的86.40%，</w:t>
      </w:r>
      <w:r>
        <w:rPr>
          <w:rFonts w:hint="default" w:ascii="Times New Roman" w:hAnsi="Times New Roman" w:eastAsia="仿宋_GB2312" w:cs="Times New Roman"/>
          <w:color w:val="auto"/>
          <w:spacing w:val="-7"/>
          <w:sz w:val="32"/>
          <w:szCs w:val="32"/>
          <w:highlight w:val="none"/>
          <w:lang w:val="en-US" w:eastAsia="zh-CN"/>
        </w:rPr>
        <w:t>具体包括人社资金中的</w:t>
      </w:r>
      <w:r>
        <w:rPr>
          <w:rFonts w:hint="default" w:ascii="Times New Roman" w:hAnsi="Times New Roman" w:eastAsia="仿宋_GB2312" w:cs="Times New Roman"/>
          <w:color w:val="auto"/>
          <w:spacing w:val="-7"/>
          <w:sz w:val="32"/>
          <w:szCs w:val="32"/>
          <w:highlight w:val="none"/>
        </w:rPr>
        <w:t>公益性岗位补助33.48万元</w:t>
      </w:r>
      <w:r>
        <w:rPr>
          <w:rFonts w:hint="default" w:ascii="Times New Roman" w:hAnsi="Times New Roman" w:eastAsia="仿宋_GB2312" w:cs="Times New Roman"/>
          <w:color w:val="auto"/>
          <w:spacing w:val="-7"/>
          <w:sz w:val="32"/>
          <w:szCs w:val="32"/>
        </w:rPr>
        <w:t>，用于补充环卫工资；环卫工人工资443.64万元；环卫工作经费43.04万元，用于环卫垃圾拖运、板车维修等开支；环卫社保经费92.03万元；垃圾分类工作经费48.29万元，用于垃圾分类购置用具及宣传；泰和</w:t>
      </w:r>
      <w:r>
        <w:rPr>
          <w:rFonts w:hint="default" w:ascii="Times New Roman" w:hAnsi="Times New Roman" w:eastAsia="仿宋_GB2312" w:cs="Times New Roman"/>
          <w:color w:val="auto"/>
          <w:spacing w:val="-7"/>
          <w:sz w:val="32"/>
          <w:szCs w:val="32"/>
          <w:lang w:val="en-US" w:eastAsia="zh-CN"/>
        </w:rPr>
        <w:t>市场拆违</w:t>
      </w:r>
      <w:r>
        <w:rPr>
          <w:rFonts w:hint="default" w:ascii="Times New Roman" w:hAnsi="Times New Roman" w:eastAsia="仿宋_GB2312" w:cs="Times New Roman"/>
          <w:color w:val="auto"/>
          <w:spacing w:val="-7"/>
          <w:sz w:val="32"/>
          <w:szCs w:val="32"/>
        </w:rPr>
        <w:t>78.43万元</w:t>
      </w:r>
      <w:r>
        <w:rPr>
          <w:rFonts w:hint="default" w:ascii="Times New Roman" w:hAnsi="Times New Roman" w:eastAsia="仿宋_GB2312" w:cs="Times New Roman"/>
          <w:color w:val="auto"/>
          <w:spacing w:val="-7"/>
          <w:sz w:val="32"/>
          <w:szCs w:val="32"/>
          <w:highlight w:val="none"/>
          <w:lang w:eastAsia="zh-CN"/>
        </w:rPr>
        <w:t>（</w:t>
      </w:r>
      <w:r>
        <w:rPr>
          <w:rFonts w:hint="default" w:ascii="Times New Roman" w:hAnsi="Times New Roman" w:eastAsia="仿宋_GB2312" w:cs="Times New Roman"/>
          <w:color w:val="auto"/>
          <w:spacing w:val="-7"/>
          <w:sz w:val="32"/>
          <w:szCs w:val="32"/>
          <w:highlight w:val="none"/>
          <w:lang w:val="en-US" w:eastAsia="zh-CN"/>
        </w:rPr>
        <w:t>不含泰和市场消防安全整治12万元</w:t>
      </w:r>
      <w:r>
        <w:rPr>
          <w:rFonts w:hint="default" w:ascii="Times New Roman" w:hAnsi="Times New Roman" w:eastAsia="仿宋_GB2312" w:cs="Times New Roman"/>
          <w:color w:val="auto"/>
          <w:spacing w:val="-7"/>
          <w:sz w:val="32"/>
          <w:szCs w:val="32"/>
          <w:highlight w:val="none"/>
          <w:lang w:eastAsia="zh-CN"/>
        </w:rPr>
        <w:t>）</w:t>
      </w:r>
      <w:r>
        <w:rPr>
          <w:rFonts w:hint="default" w:ascii="Times New Roman" w:hAnsi="Times New Roman" w:eastAsia="仿宋_GB2312" w:cs="Times New Roman"/>
          <w:color w:val="auto"/>
          <w:spacing w:val="-7"/>
          <w:sz w:val="32"/>
          <w:szCs w:val="32"/>
        </w:rPr>
        <w:t>；疫情防控经费73.97万元。</w:t>
      </w:r>
    </w:p>
    <w:p>
      <w:pPr>
        <w:pStyle w:val="2"/>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3" w:firstLineChars="200"/>
        <w:textAlignment w:val="auto"/>
        <w:rPr>
          <w:rFonts w:hint="default" w:ascii="Times New Roman" w:hAnsi="Times New Roman" w:eastAsia="黑体" w:cs="Times New Roman"/>
          <w:color w:val="auto"/>
          <w:sz w:val="32"/>
          <w:szCs w:val="32"/>
        </w:rPr>
      </w:pPr>
      <w:bookmarkStart w:id="18" w:name="_Toc5101"/>
      <w:r>
        <w:rPr>
          <w:rFonts w:hint="eastAsia" w:ascii="Times New Roman" w:hAnsi="Times New Roman" w:eastAsia="黑体" w:cs="Times New Roman"/>
          <w:b/>
          <w:color w:val="auto"/>
          <w:kern w:val="44"/>
          <w:sz w:val="32"/>
          <w:szCs w:val="32"/>
          <w:lang w:val="en-US" w:eastAsia="zh-CN" w:bidi="ar-SA"/>
        </w:rPr>
        <w:t>三、</w:t>
      </w:r>
      <w:r>
        <w:rPr>
          <w:rFonts w:hint="default" w:ascii="Times New Roman" w:hAnsi="Times New Roman" w:eastAsia="黑体" w:cs="Times New Roman"/>
          <w:color w:val="auto"/>
          <w:sz w:val="32"/>
          <w:szCs w:val="32"/>
        </w:rPr>
        <w:t>绩效评价工作情况</w:t>
      </w:r>
      <w:bookmarkEnd w:id="18"/>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rPr>
      </w:pPr>
      <w:bookmarkStart w:id="19" w:name="_Toc19381"/>
      <w:bookmarkStart w:id="20" w:name="_Toc29843"/>
      <w:r>
        <w:rPr>
          <w:rFonts w:hint="eastAsia" w:ascii="楷体_GB2312" w:hAnsi="楷体_GB2312" w:eastAsia="楷体_GB2312" w:cs="楷体_GB2312"/>
          <w:b/>
          <w:bCs w:val="0"/>
          <w:color w:val="auto"/>
        </w:rPr>
        <w:t>（一）评价方法、指标体系和评分定级</w:t>
      </w:r>
      <w:bookmarkEnd w:id="19"/>
      <w:bookmarkEnd w:id="20"/>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21" w:name="_Toc23458"/>
      <w:bookmarkStart w:id="22" w:name="_Toc28124"/>
      <w:r>
        <w:rPr>
          <w:rFonts w:hint="default" w:ascii="Times New Roman" w:hAnsi="Times New Roman" w:eastAsia="仿宋_GB2312" w:cs="Times New Roman"/>
          <w:color w:val="auto"/>
        </w:rPr>
        <w:t>1.评价方法</w:t>
      </w:r>
      <w:bookmarkEnd w:id="21"/>
      <w:bookmarkEnd w:id="22"/>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本次绩效评价采用定量评价与定性评价相结合方式，评价方法</w:t>
      </w:r>
      <w:r>
        <w:rPr>
          <w:rFonts w:hint="default" w:ascii="Times New Roman" w:hAnsi="Times New Roman" w:eastAsia="仿宋_GB2312" w:cs="Times New Roman"/>
          <w:color w:val="auto"/>
          <w:szCs w:val="32"/>
          <w:lang w:val="en-US" w:eastAsia="zh-CN"/>
        </w:rPr>
        <w:t>主要</w:t>
      </w:r>
      <w:r>
        <w:rPr>
          <w:rFonts w:hint="default" w:ascii="Times New Roman" w:hAnsi="Times New Roman" w:eastAsia="仿宋_GB2312" w:cs="Times New Roman"/>
          <w:color w:val="auto"/>
          <w:szCs w:val="32"/>
        </w:rPr>
        <w:t>采用</w:t>
      </w:r>
      <w:r>
        <w:rPr>
          <w:rFonts w:hint="default" w:ascii="Times New Roman" w:hAnsi="Times New Roman" w:eastAsia="仿宋_GB2312" w:cs="Times New Roman"/>
          <w:color w:val="auto"/>
          <w:szCs w:val="32"/>
          <w:lang w:val="en-US" w:eastAsia="zh-CN"/>
        </w:rPr>
        <w:t>因素</w:t>
      </w:r>
      <w:r>
        <w:rPr>
          <w:rFonts w:hint="default" w:ascii="Times New Roman" w:hAnsi="Times New Roman" w:eastAsia="仿宋_GB2312" w:cs="Times New Roman"/>
          <w:color w:val="auto"/>
          <w:szCs w:val="32"/>
        </w:rPr>
        <w:t>分析法、比较法和公众评判法等多种方法，</w:t>
      </w:r>
      <w:r>
        <w:rPr>
          <w:rFonts w:hint="default" w:ascii="Times New Roman" w:hAnsi="Times New Roman" w:eastAsia="仿宋_GB2312" w:cs="Times New Roman"/>
          <w:color w:val="auto"/>
          <w:szCs w:val="32"/>
          <w:lang w:val="en-US" w:eastAsia="zh-CN"/>
        </w:rPr>
        <w:t>评价方式包括</w:t>
      </w:r>
      <w:r>
        <w:rPr>
          <w:rFonts w:hint="default" w:ascii="Times New Roman" w:hAnsi="Times New Roman" w:eastAsia="仿宋_GB2312" w:cs="Times New Roman"/>
          <w:color w:val="auto"/>
          <w:szCs w:val="32"/>
        </w:rPr>
        <w:t>资料</w:t>
      </w:r>
      <w:r>
        <w:rPr>
          <w:rFonts w:hint="default" w:ascii="Times New Roman" w:hAnsi="Times New Roman" w:eastAsia="仿宋_GB2312" w:cs="Times New Roman"/>
          <w:color w:val="auto"/>
          <w:szCs w:val="32"/>
          <w:lang w:val="en-US" w:eastAsia="zh-CN"/>
        </w:rPr>
        <w:t>研究</w:t>
      </w:r>
      <w:r>
        <w:rPr>
          <w:rFonts w:hint="default" w:ascii="Times New Roman" w:hAnsi="Times New Roman" w:eastAsia="仿宋_GB2312" w:cs="Times New Roman"/>
          <w:color w:val="auto"/>
          <w:szCs w:val="32"/>
        </w:rPr>
        <w:t>、座谈交流、实地核查</w:t>
      </w:r>
      <w:r>
        <w:rPr>
          <w:rFonts w:hint="default" w:ascii="Times New Roman" w:hAnsi="Times New Roman" w:eastAsia="仿宋_GB2312" w:cs="Times New Roman"/>
          <w:color w:val="auto"/>
          <w:szCs w:val="32"/>
          <w:lang w:val="en-US" w:eastAsia="zh-CN"/>
        </w:rPr>
        <w:t>及</w:t>
      </w:r>
      <w:r>
        <w:rPr>
          <w:rFonts w:hint="default" w:ascii="Times New Roman" w:hAnsi="Times New Roman" w:eastAsia="仿宋_GB2312" w:cs="Times New Roman"/>
          <w:color w:val="auto"/>
          <w:szCs w:val="32"/>
        </w:rPr>
        <w:t>问卷调查</w:t>
      </w:r>
      <w:r>
        <w:rPr>
          <w:rFonts w:hint="default" w:ascii="Times New Roman" w:hAnsi="Times New Roman" w:eastAsia="仿宋_GB2312" w:cs="Times New Roman"/>
          <w:color w:val="auto"/>
          <w:szCs w:val="32"/>
          <w:lang w:val="en-US" w:eastAsia="zh-CN"/>
        </w:rPr>
        <w:t>等。</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23" w:name="_Toc12969"/>
      <w:bookmarkStart w:id="24" w:name="_Toc22396"/>
      <w:r>
        <w:rPr>
          <w:rFonts w:hint="default" w:ascii="Times New Roman" w:hAnsi="Times New Roman" w:eastAsia="仿宋_GB2312" w:cs="Times New Roman"/>
          <w:color w:val="auto"/>
        </w:rPr>
        <w:t>2.指标体系</w:t>
      </w:r>
      <w:bookmarkEnd w:id="23"/>
      <w:bookmarkEnd w:id="24"/>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本次绩效评价</w:t>
      </w:r>
      <w:r>
        <w:rPr>
          <w:rFonts w:hint="default" w:ascii="Times New Roman" w:hAnsi="Times New Roman" w:eastAsia="仿宋_GB2312" w:cs="Times New Roman"/>
          <w:color w:val="auto"/>
          <w:szCs w:val="32"/>
          <w:lang w:val="en-US" w:eastAsia="zh-CN"/>
        </w:rPr>
        <w:t>按照部门整体</w:t>
      </w:r>
      <w:r>
        <w:rPr>
          <w:rFonts w:hint="default" w:ascii="Times New Roman" w:hAnsi="Times New Roman" w:eastAsia="仿宋_GB2312" w:cs="Times New Roman"/>
          <w:color w:val="auto"/>
          <w:szCs w:val="32"/>
        </w:rPr>
        <w:t>支出绩效评价框架设计了指标体系，指标体系分三级，一级指标4个，二级指标7个，三级指标30个。</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25" w:name="_Toc31930"/>
      <w:bookmarkStart w:id="26" w:name="_Toc11455"/>
      <w:r>
        <w:rPr>
          <w:rFonts w:hint="default" w:ascii="Times New Roman" w:hAnsi="Times New Roman" w:eastAsia="仿宋_GB2312" w:cs="Times New Roman"/>
          <w:color w:val="auto"/>
        </w:rPr>
        <w:t>3.评分定级</w:t>
      </w:r>
      <w:bookmarkEnd w:id="25"/>
      <w:bookmarkEnd w:id="26"/>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本次绩效评价采取评分与评级相结合</w:t>
      </w:r>
      <w:r>
        <w:rPr>
          <w:rFonts w:hint="default" w:ascii="Times New Roman" w:hAnsi="Times New Roman" w:eastAsia="仿宋_GB2312" w:cs="Times New Roman"/>
          <w:color w:val="auto"/>
          <w:szCs w:val="32"/>
          <w:lang w:val="en-US" w:eastAsia="zh-CN"/>
        </w:rPr>
        <w:t>方式</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总分为100分，等级划分为四档：90分（含）</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100分为优，80分（含）</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90分为良，60分（含）</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80分为合格，60分以下不合格。</w:t>
      </w:r>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rPr>
      </w:pPr>
      <w:bookmarkStart w:id="27" w:name="_Toc12144"/>
      <w:bookmarkStart w:id="28" w:name="_Toc5581"/>
      <w:r>
        <w:rPr>
          <w:rFonts w:hint="eastAsia" w:ascii="楷体_GB2312" w:hAnsi="楷体_GB2312" w:eastAsia="楷体_GB2312" w:cs="楷体_GB2312"/>
          <w:b/>
          <w:bCs w:val="0"/>
          <w:color w:val="auto"/>
        </w:rPr>
        <w:t>（</w:t>
      </w:r>
      <w:r>
        <w:rPr>
          <w:rFonts w:hint="eastAsia" w:ascii="楷体_GB2312" w:hAnsi="楷体_GB2312" w:eastAsia="楷体_GB2312" w:cs="楷体_GB2312"/>
          <w:b/>
          <w:bCs w:val="0"/>
          <w:color w:val="auto"/>
          <w:lang w:val="en-US" w:eastAsia="zh-CN"/>
        </w:rPr>
        <w:t>二</w:t>
      </w:r>
      <w:r>
        <w:rPr>
          <w:rFonts w:hint="eastAsia" w:ascii="楷体_GB2312" w:hAnsi="楷体_GB2312" w:eastAsia="楷体_GB2312" w:cs="楷体_GB2312"/>
          <w:b/>
          <w:bCs w:val="0"/>
          <w:color w:val="auto"/>
        </w:rPr>
        <w:t>）绩效评价过程</w:t>
      </w:r>
      <w:bookmarkEnd w:id="27"/>
      <w:bookmarkEnd w:id="28"/>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29" w:name="_Toc18722"/>
      <w:bookmarkStart w:id="30" w:name="_Toc25264"/>
      <w:r>
        <w:rPr>
          <w:rFonts w:hint="default" w:ascii="Times New Roman" w:hAnsi="Times New Roman" w:eastAsia="仿宋_GB2312" w:cs="Times New Roman"/>
          <w:color w:val="auto"/>
        </w:rPr>
        <w:t>1.成立评价组织</w:t>
      </w:r>
      <w:bookmarkEnd w:id="29"/>
      <w:bookmarkEnd w:id="30"/>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本次评价工作分别成立一个评价组和一个专家组，评价组负责具体资料研究和现场调研以及报告撰写工作，专家组参与指标体系设立及业务问题提炼和针对性建议指导工作。</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31" w:name="_Toc31203"/>
      <w:bookmarkStart w:id="32" w:name="_Toc23338"/>
      <w:r>
        <w:rPr>
          <w:rFonts w:hint="default" w:ascii="Times New Roman" w:hAnsi="Times New Roman" w:eastAsia="仿宋_GB2312" w:cs="Times New Roman"/>
          <w:color w:val="auto"/>
        </w:rPr>
        <w:t>2.召开项目启动会</w:t>
      </w:r>
      <w:bookmarkEnd w:id="31"/>
      <w:bookmarkEnd w:id="32"/>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根据岳阳楼区财政局对本次绩效评价工作的要求和指导意见，公司召开内部启动会，明确本次绩效评价工作目标、时间安排和评价思路。</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33" w:name="_Toc10276"/>
      <w:bookmarkStart w:id="34" w:name="_Toc31338"/>
      <w:r>
        <w:rPr>
          <w:rFonts w:hint="default" w:ascii="Times New Roman" w:hAnsi="Times New Roman" w:eastAsia="仿宋_GB2312" w:cs="Times New Roman"/>
          <w:color w:val="auto"/>
        </w:rPr>
        <w:t>3.非现场评价</w:t>
      </w:r>
      <w:bookmarkEnd w:id="33"/>
      <w:bookmarkEnd w:id="34"/>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内部启动会召开后，实施以书面审核为主要工作的非现场评价。正式开始非现场评价以前，走访岳阳楼区财政局预算绩效管理部门和业务主管部门，了解客户对本次绩效评价关注重点。拟定资料清单，向站前路街道办事处发送资料清单，明确资料要求，答复对方疑问，收集其绩效自评材料。</w:t>
      </w:r>
    </w:p>
    <w:p>
      <w:pPr>
        <w:pStyle w:val="7"/>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根据收集的资料，正式开展非现场评价。根据2022年预算和决算数据，分析预算支出执行情况</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设计本次绩效评价的指标体系，经专家组讨论通过后实施。设计访谈</w:t>
      </w:r>
      <w:r>
        <w:rPr>
          <w:rFonts w:hint="default" w:ascii="Times New Roman" w:hAnsi="Times New Roman" w:eastAsia="仿宋_GB2312" w:cs="Times New Roman"/>
          <w:color w:val="auto"/>
          <w:lang w:val="en-US" w:eastAsia="zh-CN"/>
        </w:rPr>
        <w:t>问题</w:t>
      </w:r>
      <w:r>
        <w:rPr>
          <w:rFonts w:hint="default" w:ascii="Times New Roman" w:hAnsi="Times New Roman" w:eastAsia="仿宋_GB2312" w:cs="Times New Roman"/>
          <w:color w:val="auto"/>
        </w:rPr>
        <w:t>提纲，为现场调研作准备。</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35" w:name="_Toc14722"/>
      <w:bookmarkStart w:id="36" w:name="_Toc1168"/>
      <w:r>
        <w:rPr>
          <w:rFonts w:hint="default" w:ascii="Times New Roman" w:hAnsi="Times New Roman" w:eastAsia="仿宋_GB2312" w:cs="Times New Roman"/>
          <w:color w:val="auto"/>
        </w:rPr>
        <w:t>4.现场调研</w:t>
      </w:r>
      <w:bookmarkEnd w:id="35"/>
      <w:bookmarkEnd w:id="36"/>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评价组带着问题进入现场开展调研工作，全面和重点调研相结合，查阅资料和访谈相结合：</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（1）全面了解</w:t>
      </w:r>
      <w:r>
        <w:rPr>
          <w:rFonts w:hint="default" w:ascii="Times New Roman" w:hAnsi="Times New Roman" w:eastAsia="仿宋_GB2312" w:cs="Times New Roman"/>
          <w:color w:val="auto"/>
          <w:lang w:val="en-US" w:eastAsia="zh-CN"/>
        </w:rPr>
        <w:t>和</w:t>
      </w:r>
      <w:r>
        <w:rPr>
          <w:rFonts w:hint="default" w:ascii="Times New Roman" w:hAnsi="Times New Roman" w:eastAsia="仿宋_GB2312" w:cs="Times New Roman"/>
          <w:color w:val="auto"/>
        </w:rPr>
        <w:t>分析站前路街道办事处2022年预算支出情况和绩效实现情况。</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（2）根据站前路街道办事处的主要职责，重点调研项目支出中城管环卫支出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控建拆违工作经费</w:t>
      </w:r>
      <w:r>
        <w:rPr>
          <w:rFonts w:hint="default" w:ascii="Times New Roman" w:hAnsi="Times New Roman" w:eastAsia="仿宋_GB2312" w:cs="Times New Roman"/>
          <w:color w:val="auto"/>
          <w:lang w:val="en-US" w:eastAsia="zh-CN"/>
        </w:rPr>
        <w:t>以及</w:t>
      </w:r>
      <w:r>
        <w:rPr>
          <w:rFonts w:hint="default" w:ascii="Times New Roman" w:hAnsi="Times New Roman" w:eastAsia="仿宋_GB2312" w:cs="Times New Roman"/>
          <w:color w:val="auto"/>
        </w:rPr>
        <w:t>泰和</w:t>
      </w:r>
      <w:r>
        <w:rPr>
          <w:rFonts w:hint="default" w:ascii="Times New Roman" w:hAnsi="Times New Roman" w:eastAsia="仿宋_GB2312" w:cs="Times New Roman"/>
          <w:color w:val="auto"/>
          <w:lang w:val="en-US" w:eastAsia="zh-CN"/>
        </w:rPr>
        <w:t>市场拆违</w:t>
      </w:r>
      <w:r>
        <w:rPr>
          <w:rFonts w:hint="default" w:ascii="Times New Roman" w:hAnsi="Times New Roman" w:eastAsia="仿宋_GB2312" w:cs="Times New Roman"/>
          <w:color w:val="auto"/>
        </w:rPr>
        <w:t>和消防安全整治经费合计占部门整体支出的3</w:t>
      </w:r>
      <w:r>
        <w:rPr>
          <w:rFonts w:hint="default" w:ascii="Times New Roman" w:hAnsi="Times New Roman" w:eastAsia="仿宋_GB2312" w:cs="Times New Roman"/>
          <w:color w:val="auto"/>
          <w:lang w:val="en-US" w:eastAsia="zh-CN"/>
        </w:rPr>
        <w:t>7</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46</w:t>
      </w:r>
      <w:r>
        <w:rPr>
          <w:rFonts w:hint="default" w:ascii="Times New Roman" w:hAnsi="Times New Roman" w:eastAsia="仿宋_GB2312" w:cs="Times New Roman"/>
          <w:color w:val="auto"/>
        </w:rPr>
        <w:t>%。</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（3）就基本支出中主要商品和服务支出项目，如办公费、其他商品和服务支出中的控建拆违工作经费和下拨社区工作经费的合理性进行访谈调研。</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（4）针对辖区内服务对象开展满意度问卷调研，就便民服务和管理效能，向辖区居民和流动</w:t>
      </w:r>
      <w:r>
        <w:rPr>
          <w:rFonts w:hint="default" w:ascii="Times New Roman" w:hAnsi="Times New Roman" w:eastAsia="仿宋_GB2312" w:cs="Times New Roman"/>
          <w:color w:val="auto"/>
          <w:lang w:val="en-US" w:eastAsia="zh-CN"/>
        </w:rPr>
        <w:t>人口</w:t>
      </w:r>
      <w:r>
        <w:rPr>
          <w:rFonts w:hint="default" w:ascii="Times New Roman" w:hAnsi="Times New Roman" w:eastAsia="仿宋_GB2312" w:cs="Times New Roman"/>
          <w:color w:val="auto"/>
        </w:rPr>
        <w:t>实施满意度调查。</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37" w:name="_Toc13983"/>
      <w:bookmarkStart w:id="38" w:name="_Toc2548"/>
      <w:r>
        <w:rPr>
          <w:rFonts w:hint="default" w:ascii="Times New Roman" w:hAnsi="Times New Roman" w:eastAsia="仿宋_GB2312" w:cs="Times New Roman"/>
          <w:color w:val="auto"/>
        </w:rPr>
        <w:t>5.内部专家研讨</w:t>
      </w:r>
      <w:bookmarkEnd w:id="37"/>
      <w:bookmarkEnd w:id="38"/>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组织内部专家会议，就非现场评价和现场调研发现的问题，按照重要性和相关性原则，进行重点分析，梳理出的关键问题清单和针对性建议清单。</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39" w:name="_Toc22105"/>
      <w:bookmarkStart w:id="40" w:name="_Toc16427"/>
      <w:r>
        <w:rPr>
          <w:rFonts w:hint="default" w:ascii="Times New Roman" w:hAnsi="Times New Roman" w:eastAsia="仿宋_GB2312" w:cs="Times New Roman"/>
          <w:color w:val="auto"/>
        </w:rPr>
        <w:t>6.形成评价结论</w:t>
      </w:r>
      <w:bookmarkEnd w:id="39"/>
      <w:bookmarkEnd w:id="40"/>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基于前期评价成果，依据评价指标体系，开展赋分评价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对于</w:t>
      </w:r>
      <w:r>
        <w:rPr>
          <w:rFonts w:hint="default" w:ascii="Times New Roman" w:hAnsi="Times New Roman" w:eastAsia="仿宋_GB2312" w:cs="Times New Roman"/>
          <w:color w:val="auto"/>
        </w:rPr>
        <w:t>扣分点在评价组内部先行讨论，</w:t>
      </w:r>
      <w:r>
        <w:rPr>
          <w:rFonts w:hint="default" w:ascii="Times New Roman" w:hAnsi="Times New Roman" w:eastAsia="仿宋_GB2312" w:cs="Times New Roman"/>
          <w:color w:val="auto"/>
          <w:lang w:val="en-US" w:eastAsia="zh-CN"/>
        </w:rPr>
        <w:t>然后</w:t>
      </w:r>
      <w:r>
        <w:rPr>
          <w:rFonts w:hint="default" w:ascii="Times New Roman" w:hAnsi="Times New Roman" w:eastAsia="仿宋_GB2312" w:cs="Times New Roman"/>
          <w:color w:val="auto"/>
        </w:rPr>
        <w:t>与专家组进一步研讨，形成最终评价评分结果。</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rPr>
      </w:pPr>
      <w:bookmarkStart w:id="41" w:name="_Toc7976"/>
      <w:bookmarkStart w:id="42" w:name="_Toc18256"/>
      <w:r>
        <w:rPr>
          <w:rFonts w:hint="default" w:ascii="Times New Roman" w:hAnsi="Times New Roman" w:eastAsia="仿宋_GB2312" w:cs="Times New Roman"/>
          <w:color w:val="auto"/>
        </w:rPr>
        <w:t>7.撰写评价报告</w:t>
      </w:r>
      <w:bookmarkEnd w:id="41"/>
      <w:bookmarkEnd w:id="42"/>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rPr>
      </w:pPr>
      <w:r>
        <w:rPr>
          <w:rFonts w:hint="default" w:ascii="Times New Roman" w:hAnsi="Times New Roman" w:eastAsia="仿宋_GB2312" w:cs="Times New Roman"/>
          <w:color w:val="auto"/>
        </w:rPr>
        <w:t>根据</w:t>
      </w:r>
      <w:r>
        <w:rPr>
          <w:rFonts w:hint="default" w:ascii="Times New Roman" w:hAnsi="Times New Roman" w:eastAsia="仿宋_GB2312" w:cs="Times New Roman"/>
          <w:color w:val="auto"/>
          <w:szCs w:val="32"/>
        </w:rPr>
        <w:t>《湖南省预算绩效评价管理办法》关于部门整体支出</w:t>
      </w:r>
      <w:r>
        <w:rPr>
          <w:rFonts w:hint="default" w:ascii="Times New Roman" w:hAnsi="Times New Roman" w:eastAsia="仿宋_GB2312" w:cs="Times New Roman"/>
          <w:color w:val="auto"/>
        </w:rPr>
        <w:t>绩效评价的报告框架撰写初稿</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初稿撰写完成后，经公司内部三级审核，修改完善后，形成报告征求意见稿，然后将征求意见稿提交给岳阳楼区财政局和站前路街道办事处征求意见。基于反馈意见修改完善，形成最终绩效评价报告。</w:t>
      </w:r>
    </w:p>
    <w:p>
      <w:pPr>
        <w:pStyle w:val="2"/>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3" w:firstLineChars="200"/>
        <w:textAlignment w:val="auto"/>
        <w:rPr>
          <w:rFonts w:hint="default" w:ascii="Times New Roman" w:hAnsi="Times New Roman" w:eastAsia="黑体" w:cs="Times New Roman"/>
          <w:color w:val="auto"/>
          <w:sz w:val="32"/>
          <w:szCs w:val="32"/>
        </w:rPr>
      </w:pPr>
      <w:bookmarkStart w:id="43" w:name="_Toc12214"/>
      <w:r>
        <w:rPr>
          <w:rFonts w:hint="eastAsia" w:ascii="Times New Roman" w:hAnsi="Times New Roman" w:eastAsia="黑体" w:cs="Times New Roman"/>
          <w:b/>
          <w:color w:val="auto"/>
          <w:kern w:val="44"/>
          <w:sz w:val="32"/>
          <w:szCs w:val="32"/>
          <w:lang w:val="en-US" w:eastAsia="zh-CN" w:bidi="ar-SA"/>
        </w:rPr>
        <w:t>四、</w:t>
      </w:r>
      <w:r>
        <w:rPr>
          <w:rFonts w:hint="eastAsia" w:ascii="Times New Roman" w:hAnsi="Times New Roman" w:eastAsia="黑体" w:cs="Times New Roman"/>
          <w:color w:val="auto"/>
          <w:sz w:val="32"/>
          <w:szCs w:val="32"/>
          <w:lang w:val="en-US" w:eastAsia="zh-CN"/>
        </w:rPr>
        <w:t>综合</w:t>
      </w:r>
      <w:r>
        <w:rPr>
          <w:rFonts w:hint="default" w:ascii="Times New Roman" w:hAnsi="Times New Roman" w:eastAsia="黑体" w:cs="Times New Roman"/>
          <w:color w:val="auto"/>
          <w:sz w:val="32"/>
          <w:szCs w:val="32"/>
        </w:rPr>
        <w:t>绩效及评价结论</w:t>
      </w:r>
      <w:bookmarkEnd w:id="43"/>
    </w:p>
    <w:p>
      <w:pPr>
        <w:pStyle w:val="7"/>
        <w:spacing w:line="600" w:lineRule="exact"/>
        <w:ind w:firstLine="640" w:firstLineChars="20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2022年站前路街道办事处部门整体支出绩效得分为</w:t>
      </w:r>
      <w:r>
        <w:rPr>
          <w:rFonts w:hint="default" w:ascii="Times New Roman" w:hAnsi="Times New Roman" w:eastAsia="仿宋_GB2312" w:cs="Times New Roman"/>
          <w:b/>
          <w:bCs/>
          <w:color w:val="auto"/>
          <w:lang w:val="en-US" w:eastAsia="zh-CN"/>
        </w:rPr>
        <w:t>83</w:t>
      </w:r>
      <w:r>
        <w:rPr>
          <w:rFonts w:hint="default" w:ascii="Times New Roman" w:hAnsi="Times New Roman" w:eastAsia="仿宋_GB2312" w:cs="Times New Roman"/>
          <w:color w:val="auto"/>
        </w:rPr>
        <w:t>分，评级为“</w:t>
      </w:r>
      <w:r>
        <w:rPr>
          <w:rFonts w:hint="default" w:ascii="Times New Roman" w:hAnsi="Times New Roman" w:eastAsia="仿宋_GB2312" w:cs="Times New Roman"/>
          <w:b/>
          <w:bCs/>
          <w:color w:val="auto"/>
          <w:lang w:val="en-US" w:eastAsia="zh-CN"/>
        </w:rPr>
        <w:t>良</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理由如下</w:t>
      </w:r>
      <w:r>
        <w:rPr>
          <w:rFonts w:hint="default" w:ascii="Times New Roman" w:hAnsi="Times New Roman" w:eastAsia="仿宋_GB2312" w:cs="Times New Roman"/>
          <w:color w:val="auto"/>
          <w:lang w:eastAsia="zh-CN"/>
        </w:rPr>
        <w:t>：</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rPr>
      </w:pP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投入方面，站前路街道办事处积极履行部门职责</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在职人员数量和“三公经费”控制较好</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然而，</w:t>
      </w:r>
      <w:r>
        <w:rPr>
          <w:rFonts w:hint="default" w:ascii="Times New Roman" w:hAnsi="Times New Roman" w:eastAsia="仿宋_GB2312" w:cs="Times New Roman"/>
          <w:color w:val="auto"/>
        </w:rPr>
        <w:t>忽视计划</w:t>
      </w:r>
      <w:r>
        <w:rPr>
          <w:rFonts w:hint="default" w:ascii="Times New Roman" w:hAnsi="Times New Roman" w:eastAsia="仿宋_GB2312" w:cs="Times New Roman"/>
          <w:color w:val="auto"/>
          <w:lang w:val="en-US" w:eastAsia="zh-CN"/>
        </w:rPr>
        <w:t>和目标</w:t>
      </w:r>
      <w:r>
        <w:rPr>
          <w:rFonts w:hint="default" w:ascii="Times New Roman" w:hAnsi="Times New Roman" w:eastAsia="仿宋_GB2312" w:cs="Times New Roman"/>
          <w:color w:val="auto"/>
        </w:rPr>
        <w:t>的</w:t>
      </w:r>
      <w:r>
        <w:rPr>
          <w:rFonts w:hint="default" w:ascii="Times New Roman" w:hAnsi="Times New Roman" w:eastAsia="仿宋_GB2312" w:cs="Times New Roman"/>
          <w:color w:val="auto"/>
          <w:lang w:val="en-US" w:eastAsia="zh-CN"/>
        </w:rPr>
        <w:t>管理</w:t>
      </w:r>
      <w:r>
        <w:rPr>
          <w:rFonts w:hint="default" w:ascii="Times New Roman" w:hAnsi="Times New Roman" w:eastAsia="仿宋_GB2312" w:cs="Times New Roman"/>
          <w:color w:val="auto"/>
        </w:rPr>
        <w:t>作用，在其预算公开部门整体支出绩效目标中没有设定清晰的总体目标和三级指标，也没有编制</w:t>
      </w:r>
      <w:r>
        <w:rPr>
          <w:rFonts w:hint="default" w:ascii="Times New Roman" w:hAnsi="Times New Roman" w:eastAsia="仿宋_GB2312" w:cs="Times New Roman"/>
          <w:color w:val="auto"/>
          <w:lang w:val="en-US" w:eastAsia="zh-CN"/>
        </w:rPr>
        <w:t>部门</w:t>
      </w:r>
      <w:r>
        <w:rPr>
          <w:rFonts w:hint="default" w:ascii="Times New Roman" w:hAnsi="Times New Roman" w:eastAsia="仿宋_GB2312" w:cs="Times New Roman"/>
          <w:color w:val="auto"/>
        </w:rPr>
        <w:t>年度工作计划的习惯</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此外</w:t>
      </w:r>
      <w:r>
        <w:rPr>
          <w:rFonts w:hint="default" w:ascii="Times New Roman" w:hAnsi="Times New Roman" w:eastAsia="仿宋_GB2312" w:cs="Times New Roman"/>
          <w:color w:val="auto"/>
        </w:rPr>
        <w:t>重点项目支出资金安排保障不足。</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过程方面，</w:t>
      </w:r>
      <w:r>
        <w:rPr>
          <w:rFonts w:hint="default" w:ascii="Times New Roman" w:hAnsi="Times New Roman" w:eastAsia="仿宋_GB2312" w:cs="Times New Roman"/>
          <w:color w:val="auto"/>
          <w:lang w:val="en-US" w:eastAsia="zh-CN"/>
        </w:rPr>
        <w:t>根据需求及时支付资金，支出</w:t>
      </w:r>
      <w:r>
        <w:rPr>
          <w:rFonts w:hint="default" w:ascii="Times New Roman" w:hAnsi="Times New Roman" w:eastAsia="仿宋_GB2312" w:cs="Times New Roman"/>
          <w:color w:val="auto"/>
        </w:rPr>
        <w:t>预算</w:t>
      </w:r>
      <w:r>
        <w:rPr>
          <w:rFonts w:hint="default" w:ascii="Times New Roman" w:hAnsi="Times New Roman" w:eastAsia="仿宋_GB2312" w:cs="Times New Roman"/>
          <w:color w:val="auto"/>
          <w:lang w:val="en-US" w:eastAsia="zh-CN"/>
        </w:rPr>
        <w:t>超预期完成，</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三</w:t>
      </w:r>
      <w:r>
        <w:rPr>
          <w:rFonts w:hint="default" w:ascii="Times New Roman" w:hAnsi="Times New Roman" w:eastAsia="仿宋_GB2312" w:cs="Times New Roman"/>
          <w:color w:val="auto"/>
        </w:rPr>
        <w:t>公</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经费控制较好</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预算管理制度健全</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资金使用合规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预算与财务</w:t>
      </w:r>
      <w:r>
        <w:rPr>
          <w:rFonts w:hint="default" w:ascii="Times New Roman" w:hAnsi="Times New Roman" w:eastAsia="仿宋_GB2312" w:cs="Times New Roman"/>
          <w:color w:val="auto"/>
        </w:rPr>
        <w:t>基础信息完善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资产利用</w:t>
      </w:r>
      <w:r>
        <w:rPr>
          <w:rFonts w:hint="default" w:ascii="Times New Roman" w:hAnsi="Times New Roman" w:eastAsia="仿宋_GB2312" w:cs="Times New Roman"/>
          <w:color w:val="auto"/>
          <w:lang w:val="en-US" w:eastAsia="zh-CN"/>
        </w:rPr>
        <w:t>较为充分</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不足之处有预算编制不够准确，重点</w:t>
      </w:r>
      <w:r>
        <w:rPr>
          <w:rFonts w:hint="default" w:ascii="Times New Roman" w:hAnsi="Times New Roman" w:eastAsia="仿宋_GB2312" w:cs="Times New Roman"/>
          <w:color w:val="auto"/>
        </w:rPr>
        <w:t>项目支出在预算编制时几乎没有</w:t>
      </w:r>
      <w:r>
        <w:rPr>
          <w:rFonts w:hint="default" w:ascii="Times New Roman" w:hAnsi="Times New Roman" w:eastAsia="仿宋_GB2312" w:cs="Times New Roman"/>
          <w:color w:val="auto"/>
          <w:lang w:val="en-US" w:eastAsia="zh-CN"/>
        </w:rPr>
        <w:t>安排</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此外</w:t>
      </w:r>
      <w:r>
        <w:rPr>
          <w:rFonts w:hint="default" w:ascii="Times New Roman" w:hAnsi="Times New Roman" w:eastAsia="仿宋_GB2312" w:cs="Times New Roman"/>
          <w:color w:val="auto"/>
        </w:rPr>
        <w:t>政府采购超支</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资产管理制度不健全，没有定期盘点</w:t>
      </w:r>
      <w:r>
        <w:rPr>
          <w:rFonts w:hint="default" w:ascii="Times New Roman" w:hAnsi="Times New Roman" w:eastAsia="仿宋_GB2312" w:cs="Times New Roman"/>
          <w:color w:val="auto"/>
          <w:lang w:eastAsia="zh-CN"/>
        </w:rPr>
        <w:t>。</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rPr>
        <w:t>产出方面，工资支付及时</w:t>
      </w:r>
      <w:r>
        <w:rPr>
          <w:rFonts w:hint="default" w:ascii="Times New Roman" w:hAnsi="Times New Roman" w:eastAsia="仿宋_GB2312" w:cs="Times New Roman"/>
          <w:color w:val="auto"/>
          <w:lang w:eastAsia="zh-CN"/>
        </w:rPr>
        <w:t>，旧改拆违</w:t>
      </w:r>
      <w:r>
        <w:rPr>
          <w:rFonts w:hint="default" w:ascii="Times New Roman" w:hAnsi="Times New Roman" w:eastAsia="仿宋_GB2312" w:cs="Times New Roman"/>
          <w:color w:val="auto"/>
          <w:lang w:val="en-US" w:eastAsia="zh-CN"/>
        </w:rPr>
        <w:t>合规，重点工作按计划办结。环境整治工作和旧改拆违工作较好完成，重点工作成本基本有效控制。</w:t>
      </w:r>
    </w:p>
    <w:p>
      <w:pPr>
        <w:pStyle w:val="7"/>
        <w:spacing w:line="600" w:lineRule="exact"/>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效果方面，辖区安全生产风险明显著降低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但</w:t>
      </w:r>
      <w:r>
        <w:rPr>
          <w:rFonts w:hint="default" w:ascii="Times New Roman" w:hAnsi="Times New Roman" w:eastAsia="仿宋_GB2312" w:cs="Times New Roman"/>
          <w:color w:val="auto"/>
        </w:rPr>
        <w:t>营商环境优化不显著</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环卫质量提升效果和</w:t>
      </w:r>
      <w:r>
        <w:rPr>
          <w:rFonts w:hint="default" w:ascii="Times New Roman" w:hAnsi="Times New Roman" w:eastAsia="仿宋_GB2312" w:cs="Times New Roman"/>
          <w:color w:val="auto"/>
        </w:rPr>
        <w:t>社会保障帮扶</w:t>
      </w:r>
      <w:r>
        <w:rPr>
          <w:rFonts w:hint="default" w:ascii="Times New Roman" w:hAnsi="Times New Roman" w:eastAsia="仿宋_GB2312" w:cs="Times New Roman"/>
          <w:color w:val="auto"/>
          <w:lang w:val="en-US" w:eastAsia="zh-CN"/>
        </w:rPr>
        <w:t>救助效果</w:t>
      </w:r>
      <w:r>
        <w:rPr>
          <w:rFonts w:hint="default" w:ascii="Times New Roman" w:hAnsi="Times New Roman" w:eastAsia="仿宋_GB2312" w:cs="Times New Roman"/>
          <w:color w:val="auto"/>
        </w:rPr>
        <w:t>一般。</w:t>
      </w: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综合评价得分</w:t>
      </w:r>
    </w:p>
    <w:tbl>
      <w:tblPr>
        <w:tblStyle w:val="13"/>
        <w:tblW w:w="8294" w:type="dxa"/>
        <w:tblInd w:w="98" w:type="dxa"/>
        <w:tblLayout w:type="fixed"/>
        <w:tblCellMar>
          <w:top w:w="0" w:type="dxa"/>
          <w:left w:w="108" w:type="dxa"/>
          <w:bottom w:w="0" w:type="dxa"/>
          <w:right w:w="108" w:type="dxa"/>
        </w:tblCellMar>
      </w:tblPr>
      <w:tblGrid>
        <w:gridCol w:w="2054"/>
        <w:gridCol w:w="2150"/>
        <w:gridCol w:w="1820"/>
        <w:gridCol w:w="2270"/>
      </w:tblGrid>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kern w:val="0"/>
                <w:sz w:val="22"/>
                <w:szCs w:val="22"/>
                <w:lang w:bidi="ar"/>
              </w:rPr>
              <w:t>一级指标</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kern w:val="0"/>
                <w:sz w:val="22"/>
                <w:szCs w:val="22"/>
                <w:lang w:bidi="ar"/>
              </w:rPr>
              <w:t>标准值</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kern w:val="0"/>
                <w:sz w:val="22"/>
                <w:szCs w:val="22"/>
                <w:lang w:bidi="ar"/>
              </w:rPr>
              <w:t>得分</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kern w:val="0"/>
                <w:sz w:val="22"/>
                <w:szCs w:val="22"/>
                <w:lang w:bidi="ar"/>
              </w:rPr>
              <w:t>得分率</w:t>
            </w:r>
          </w:p>
        </w:tc>
      </w:tr>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kern w:val="0"/>
                <w:sz w:val="22"/>
                <w:szCs w:val="22"/>
                <w:lang w:bidi="ar"/>
              </w:rPr>
              <w:t>投入</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10</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7</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70.00%</w:t>
            </w:r>
          </w:p>
        </w:tc>
      </w:tr>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kern w:val="0"/>
                <w:sz w:val="22"/>
                <w:szCs w:val="22"/>
                <w:lang w:bidi="ar"/>
              </w:rPr>
              <w:t>过程</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20</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lang w:val="en-US"/>
              </w:rPr>
            </w:pPr>
            <w:r>
              <w:rPr>
                <w:rFonts w:hint="default" w:ascii="Times New Roman" w:hAnsi="Times New Roman" w:eastAsia="仿宋" w:cs="Times New Roman"/>
                <w:i w:val="0"/>
                <w:iCs w:val="0"/>
                <w:color w:val="auto"/>
                <w:kern w:val="0"/>
                <w:sz w:val="21"/>
                <w:szCs w:val="21"/>
                <w:u w:val="none"/>
                <w:lang w:val="en-US" w:eastAsia="zh-CN" w:bidi="ar"/>
              </w:rPr>
              <w:t>15</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75.00%</w:t>
            </w:r>
          </w:p>
        </w:tc>
      </w:tr>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kern w:val="0"/>
                <w:sz w:val="22"/>
                <w:szCs w:val="22"/>
                <w:lang w:bidi="ar"/>
              </w:rPr>
              <w:t>产出</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30</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27</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90.00%</w:t>
            </w:r>
          </w:p>
        </w:tc>
      </w:tr>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kern w:val="0"/>
                <w:sz w:val="22"/>
                <w:szCs w:val="22"/>
                <w:lang w:bidi="ar"/>
              </w:rPr>
              <w:t>效果</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40</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34</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85.00%</w:t>
            </w:r>
          </w:p>
        </w:tc>
      </w:tr>
      <w:tr>
        <w:tblPrEx>
          <w:tblCellMar>
            <w:top w:w="0" w:type="dxa"/>
            <w:left w:w="108" w:type="dxa"/>
            <w:bottom w:w="0" w:type="dxa"/>
            <w:right w:w="108" w:type="dxa"/>
          </w:tblCellMar>
        </w:tblPrEx>
        <w:trPr>
          <w:trHeight w:val="280" w:hRule="atLeast"/>
        </w:trPr>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2"/>
                <w:szCs w:val="22"/>
              </w:rPr>
            </w:pPr>
            <w:r>
              <w:rPr>
                <w:rFonts w:hint="default" w:ascii="Times New Roman" w:hAnsi="Times New Roman" w:eastAsia="仿宋" w:cs="Times New Roman"/>
                <w:b/>
                <w:bCs/>
                <w:color w:val="auto"/>
                <w:kern w:val="0"/>
                <w:sz w:val="22"/>
                <w:szCs w:val="22"/>
                <w:lang w:bidi="ar"/>
              </w:rPr>
              <w:t>合计</w:t>
            </w:r>
          </w:p>
        </w:tc>
        <w:tc>
          <w:tcPr>
            <w:tcW w:w="2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i w:val="0"/>
                <w:iCs w:val="0"/>
                <w:color w:val="auto"/>
                <w:kern w:val="0"/>
                <w:sz w:val="21"/>
                <w:szCs w:val="21"/>
                <w:u w:val="none"/>
                <w:lang w:val="en-US" w:eastAsia="zh-CN" w:bidi="ar"/>
              </w:rPr>
              <w:t>100</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auto"/>
                <w:sz w:val="21"/>
                <w:szCs w:val="21"/>
                <w:lang w:val="en-US"/>
              </w:rPr>
            </w:pPr>
            <w:r>
              <w:rPr>
                <w:rFonts w:hint="default" w:ascii="Times New Roman" w:hAnsi="Times New Roman" w:eastAsia="仿宋" w:cs="Times New Roman"/>
                <w:b/>
                <w:bCs/>
                <w:i w:val="0"/>
                <w:iCs w:val="0"/>
                <w:color w:val="auto"/>
                <w:kern w:val="0"/>
                <w:sz w:val="21"/>
                <w:szCs w:val="21"/>
                <w:u w:val="none"/>
                <w:lang w:val="en-US" w:eastAsia="zh-CN" w:bidi="ar"/>
              </w:rPr>
              <w:t>83</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i w:val="0"/>
                <w:iCs w:val="0"/>
                <w:color w:val="auto"/>
                <w:kern w:val="0"/>
                <w:sz w:val="21"/>
                <w:szCs w:val="21"/>
                <w:u w:val="none"/>
                <w:lang w:val="en-US" w:eastAsia="zh-CN" w:bidi="ar"/>
              </w:rPr>
              <w:t>83.00%</w:t>
            </w:r>
          </w:p>
        </w:tc>
      </w:tr>
    </w:tbl>
    <w:p>
      <w:pPr>
        <w:pStyle w:val="2"/>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3" w:firstLineChars="200"/>
        <w:textAlignment w:val="auto"/>
        <w:rPr>
          <w:rFonts w:hint="default" w:ascii="Times New Roman" w:hAnsi="Times New Roman" w:eastAsia="黑体" w:cs="Times New Roman"/>
          <w:color w:val="auto"/>
          <w:sz w:val="32"/>
          <w:szCs w:val="32"/>
        </w:rPr>
      </w:pPr>
      <w:bookmarkStart w:id="44" w:name="_Toc21578"/>
      <w:r>
        <w:rPr>
          <w:rFonts w:hint="eastAsia" w:ascii="Times New Roman" w:hAnsi="Times New Roman" w:eastAsia="黑体" w:cs="Times New Roman"/>
          <w:b/>
          <w:color w:val="auto"/>
          <w:kern w:val="44"/>
          <w:sz w:val="32"/>
          <w:szCs w:val="32"/>
          <w:lang w:val="en-US" w:eastAsia="zh-CN" w:bidi="ar-SA"/>
        </w:rPr>
        <w:t>五、</w:t>
      </w:r>
      <w:r>
        <w:rPr>
          <w:rFonts w:hint="default" w:ascii="Times New Roman" w:hAnsi="Times New Roman" w:eastAsia="黑体" w:cs="Times New Roman"/>
          <w:color w:val="auto"/>
          <w:sz w:val="32"/>
          <w:szCs w:val="32"/>
        </w:rPr>
        <w:t>绩效评价指标分析</w:t>
      </w:r>
      <w:bookmarkEnd w:id="44"/>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lang w:eastAsia="zh-CN"/>
        </w:rPr>
      </w:pPr>
      <w:bookmarkStart w:id="45" w:name="_Toc24138"/>
      <w:r>
        <w:rPr>
          <w:rFonts w:hint="eastAsia" w:ascii="楷体_GB2312" w:hAnsi="楷体_GB2312" w:eastAsia="楷体_GB2312" w:cs="楷体_GB2312"/>
          <w:b/>
          <w:bCs w:val="0"/>
          <w:color w:val="auto"/>
          <w:lang w:eastAsia="zh-CN"/>
        </w:rPr>
        <w:t>（</w:t>
      </w:r>
      <w:r>
        <w:rPr>
          <w:rFonts w:hint="eastAsia" w:ascii="楷体_GB2312" w:hAnsi="楷体_GB2312" w:eastAsia="楷体_GB2312" w:cs="楷体_GB2312"/>
          <w:b/>
          <w:bCs w:val="0"/>
          <w:color w:val="auto"/>
          <w:lang w:val="en-US" w:eastAsia="zh-CN"/>
        </w:rPr>
        <w:t>一</w:t>
      </w:r>
      <w:r>
        <w:rPr>
          <w:rFonts w:hint="eastAsia" w:ascii="楷体_GB2312" w:hAnsi="楷体_GB2312" w:eastAsia="楷体_GB2312" w:cs="楷体_GB2312"/>
          <w:b/>
          <w:bCs w:val="0"/>
          <w:color w:val="auto"/>
          <w:lang w:eastAsia="zh-CN"/>
        </w:rPr>
        <w:t>）</w:t>
      </w:r>
      <w:r>
        <w:rPr>
          <w:rFonts w:hint="eastAsia" w:ascii="楷体_GB2312" w:hAnsi="楷体_GB2312" w:eastAsia="楷体_GB2312" w:cs="楷体_GB2312"/>
          <w:b/>
          <w:bCs w:val="0"/>
          <w:color w:val="auto"/>
        </w:rPr>
        <w:t>投入指标分析</w:t>
      </w:r>
      <w:bookmarkEnd w:id="45"/>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绩效目标方面，</w:t>
      </w:r>
      <w:r>
        <w:rPr>
          <w:rFonts w:hint="default" w:ascii="Times New Roman" w:hAnsi="Times New Roman" w:eastAsia="仿宋_GB2312" w:cs="Times New Roman"/>
          <w:color w:val="auto"/>
          <w:lang w:val="en-US" w:eastAsia="zh-CN"/>
        </w:rPr>
        <w:t>由于</w:t>
      </w:r>
      <w:r>
        <w:rPr>
          <w:rFonts w:hint="default" w:ascii="Times New Roman" w:hAnsi="Times New Roman" w:eastAsia="仿宋_GB2312" w:cs="Times New Roman"/>
          <w:color w:val="auto"/>
        </w:rPr>
        <w:t>部门整体支出绩效目标表只有一级和二级共性指标，</w:t>
      </w:r>
      <w:r>
        <w:rPr>
          <w:rFonts w:hint="default" w:ascii="Times New Roman" w:hAnsi="Times New Roman" w:eastAsia="仿宋_GB2312" w:cs="Times New Roman"/>
          <w:color w:val="auto"/>
          <w:lang w:val="en-US" w:eastAsia="zh-CN"/>
        </w:rPr>
        <w:t>未编制</w:t>
      </w:r>
      <w:r>
        <w:rPr>
          <w:rFonts w:hint="default" w:ascii="Times New Roman" w:hAnsi="Times New Roman" w:eastAsia="仿宋_GB2312" w:cs="Times New Roman"/>
          <w:color w:val="auto"/>
        </w:rPr>
        <w:t>三级指标，指标内容与任务匹配</w:t>
      </w:r>
      <w:r>
        <w:rPr>
          <w:rFonts w:hint="default" w:ascii="Times New Roman" w:hAnsi="Times New Roman" w:eastAsia="仿宋_GB2312" w:cs="Times New Roman"/>
          <w:color w:val="auto"/>
          <w:lang w:val="en-US" w:eastAsia="zh-CN"/>
        </w:rPr>
        <w:t>程度，以及指标值的明确性和合理性均无法评价</w:t>
      </w:r>
      <w:r>
        <w:rPr>
          <w:rFonts w:hint="default" w:ascii="Times New Roman" w:hAnsi="Times New Roman" w:eastAsia="仿宋_GB2312" w:cs="Times New Roman"/>
          <w:color w:val="auto"/>
        </w:rPr>
        <w:t>。</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预算配置方面，在职人员数量和“三公经费”增长均得到有效控制，但重点支出资金安排保障程度较低。</w:t>
      </w:r>
      <w:r>
        <w:rPr>
          <w:rFonts w:hint="default" w:ascii="Times New Roman" w:hAnsi="Times New Roman" w:eastAsia="仿宋_GB2312" w:cs="Times New Roman"/>
          <w:color w:val="auto"/>
        </w:rPr>
        <w:t>2022年部门重点支出为安全生产支出及环卫支出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合计833.01万元，其中</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安全生产支出</w:t>
      </w:r>
      <w:r>
        <w:rPr>
          <w:rFonts w:hint="default" w:ascii="Times New Roman" w:hAnsi="Times New Roman" w:eastAsia="仿宋_GB2312" w:cs="Times New Roman"/>
          <w:color w:val="auto"/>
          <w:lang w:val="en-US" w:eastAsia="zh-CN"/>
        </w:rPr>
        <w:t>包含</w:t>
      </w:r>
      <w:r>
        <w:rPr>
          <w:rFonts w:hint="default" w:ascii="Times New Roman" w:hAnsi="Times New Roman" w:eastAsia="仿宋_GB2312" w:cs="Times New Roman"/>
          <w:color w:val="auto"/>
        </w:rPr>
        <w:t>疫情防控支出73.97万元、</w:t>
      </w:r>
      <w:r>
        <w:rPr>
          <w:rFonts w:hint="default" w:ascii="Times New Roman" w:hAnsi="Times New Roman" w:eastAsia="仿宋_GB2312" w:cs="Times New Roman"/>
          <w:color w:val="auto"/>
          <w:lang w:val="en-US" w:eastAsia="zh-CN"/>
        </w:rPr>
        <w:t>商品服务支出的</w:t>
      </w:r>
      <w:r>
        <w:rPr>
          <w:rFonts w:hint="default" w:ascii="Times New Roman" w:hAnsi="Times New Roman" w:eastAsia="仿宋_GB2312" w:cs="Times New Roman"/>
          <w:color w:val="auto"/>
          <w:highlight w:val="none"/>
        </w:rPr>
        <w:t>控建拆违工作经费34.90</w:t>
      </w:r>
      <w:r>
        <w:rPr>
          <w:rFonts w:hint="default" w:ascii="Times New Roman" w:hAnsi="Times New Roman" w:eastAsia="仿宋_GB2312" w:cs="Times New Roman"/>
          <w:color w:val="auto"/>
        </w:rPr>
        <w:t>万元、泰和市场</w:t>
      </w:r>
      <w:r>
        <w:rPr>
          <w:rFonts w:hint="default" w:ascii="Times New Roman" w:hAnsi="Times New Roman" w:eastAsia="仿宋_GB2312" w:cs="Times New Roman"/>
          <w:color w:val="auto"/>
          <w:lang w:val="en-US" w:eastAsia="zh-CN"/>
        </w:rPr>
        <w:t>拆违</w:t>
      </w:r>
      <w:r>
        <w:rPr>
          <w:rFonts w:hint="default" w:ascii="Times New Roman" w:hAnsi="Times New Roman" w:eastAsia="仿宋_GB2312" w:cs="Times New Roman"/>
          <w:color w:val="auto"/>
        </w:rPr>
        <w:t>和消防安全整治经费90.43万元</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环卫支出为633.71万元。重点支出</w:t>
      </w:r>
      <w:r>
        <w:rPr>
          <w:rFonts w:hint="default" w:ascii="Times New Roman" w:hAnsi="Times New Roman" w:eastAsia="仿宋_GB2312" w:cs="Times New Roman"/>
          <w:color w:val="auto"/>
          <w:lang w:val="en-US" w:eastAsia="zh-CN"/>
        </w:rPr>
        <w:t>资金安排占决算支出比重为</w:t>
      </w:r>
      <w:r>
        <w:rPr>
          <w:rFonts w:hint="default" w:ascii="Times New Roman" w:hAnsi="Times New Roman" w:eastAsia="仿宋_GB2312" w:cs="Times New Roman"/>
          <w:color w:val="auto"/>
        </w:rPr>
        <w:t>41.11%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资金保障力度较低</w:t>
      </w:r>
      <w:r>
        <w:rPr>
          <w:rFonts w:hint="default" w:ascii="Times New Roman" w:hAnsi="Times New Roman" w:eastAsia="仿宋_GB2312" w:cs="Times New Roman"/>
          <w:color w:val="auto"/>
        </w:rPr>
        <w:t>。</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rPr>
      </w:pPr>
      <w:r>
        <w:rPr>
          <w:rFonts w:hint="default" w:ascii="Times New Roman" w:hAnsi="Times New Roman" w:eastAsia="仿宋_GB2312" w:cs="Times New Roman"/>
          <w:b w:val="0"/>
          <w:bCs w:val="0"/>
          <w:color w:val="auto"/>
          <w:lang w:val="en-US" w:eastAsia="zh-CN"/>
        </w:rPr>
        <w:t>综上执行情况</w:t>
      </w:r>
      <w:r>
        <w:rPr>
          <w:rFonts w:hint="default" w:ascii="Times New Roman" w:hAnsi="Times New Roman" w:eastAsia="仿宋_GB2312" w:cs="Times New Roman"/>
          <w:b w:val="0"/>
          <w:bCs w:val="0"/>
          <w:color w:val="auto"/>
        </w:rPr>
        <w:t>，投入</w:t>
      </w:r>
      <w:r>
        <w:rPr>
          <w:rFonts w:hint="default" w:ascii="Times New Roman" w:hAnsi="Times New Roman" w:eastAsia="仿宋_GB2312" w:cs="Times New Roman"/>
          <w:b w:val="0"/>
          <w:bCs w:val="0"/>
          <w:color w:val="auto"/>
          <w:lang w:val="en-US" w:eastAsia="zh-CN"/>
        </w:rPr>
        <w:t>指标合计扣3分（具体详见附件）</w:t>
      </w:r>
      <w:r>
        <w:rPr>
          <w:rFonts w:hint="default" w:ascii="Times New Roman" w:hAnsi="Times New Roman" w:eastAsia="仿宋_GB2312" w:cs="Times New Roman"/>
          <w:b w:val="0"/>
          <w:bCs w:val="0"/>
          <w:color w:val="auto"/>
        </w:rPr>
        <w:t>。</w:t>
      </w:r>
    </w:p>
    <w:p>
      <w:pPr>
        <w:jc w:val="center"/>
        <w:rPr>
          <w:rFonts w:hint="default" w:ascii="Times New Roman" w:hAnsi="Times New Roman" w:cs="Times New Roman"/>
          <w:color w:val="auto"/>
        </w:rPr>
      </w:pPr>
      <w:r>
        <w:rPr>
          <w:rFonts w:hint="eastAsia" w:ascii="仿宋" w:hAnsi="仿宋" w:eastAsia="仿宋" w:cs="仿宋"/>
          <w:b/>
          <w:bCs/>
          <w:color w:val="auto"/>
          <w:sz w:val="32"/>
          <w:szCs w:val="32"/>
          <w:lang w:val="en-US" w:eastAsia="zh-CN"/>
        </w:rPr>
        <w:t>投入指标得分</w:t>
      </w:r>
    </w:p>
    <w:tbl>
      <w:tblPr>
        <w:tblStyle w:val="13"/>
        <w:tblW w:w="8284" w:type="dxa"/>
        <w:tblInd w:w="98" w:type="dxa"/>
        <w:tblLayout w:type="fixed"/>
        <w:tblCellMar>
          <w:top w:w="0" w:type="dxa"/>
          <w:left w:w="108" w:type="dxa"/>
          <w:bottom w:w="0" w:type="dxa"/>
          <w:right w:w="108" w:type="dxa"/>
        </w:tblCellMar>
      </w:tblPr>
      <w:tblGrid>
        <w:gridCol w:w="1164"/>
        <w:gridCol w:w="1300"/>
        <w:gridCol w:w="2170"/>
        <w:gridCol w:w="1710"/>
        <w:gridCol w:w="1940"/>
      </w:tblGrid>
      <w:tr>
        <w:tblPrEx>
          <w:tblCellMar>
            <w:top w:w="0" w:type="dxa"/>
            <w:left w:w="108" w:type="dxa"/>
            <w:bottom w:w="0" w:type="dxa"/>
            <w:right w:w="108" w:type="dxa"/>
          </w:tblCellMar>
        </w:tblPrEx>
        <w:trPr>
          <w:trHeight w:val="34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一级指标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二级指标</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三级指标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标准分值</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得分</w:t>
            </w:r>
          </w:p>
        </w:tc>
      </w:tr>
      <w:tr>
        <w:tblPrEx>
          <w:tblCellMar>
            <w:top w:w="0" w:type="dxa"/>
            <w:left w:w="108" w:type="dxa"/>
            <w:bottom w:w="0" w:type="dxa"/>
            <w:right w:w="108" w:type="dxa"/>
          </w:tblCellMar>
        </w:tblPrEx>
        <w:trPr>
          <w:trHeight w:val="390"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投入</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目标设定</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绩效目标合理性</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1</w:t>
            </w:r>
          </w:p>
        </w:tc>
        <w:tc>
          <w:tcPr>
            <w:tcW w:w="194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0</w:t>
            </w:r>
          </w:p>
        </w:tc>
      </w:tr>
      <w:tr>
        <w:tblPrEx>
          <w:tblCellMar>
            <w:top w:w="0" w:type="dxa"/>
            <w:left w:w="108" w:type="dxa"/>
            <w:bottom w:w="0" w:type="dxa"/>
            <w:right w:w="108" w:type="dxa"/>
          </w:tblCellMar>
        </w:tblPrEx>
        <w:trPr>
          <w:trHeight w:val="36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绩效指标明确性</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1</w:t>
            </w:r>
          </w:p>
        </w:tc>
        <w:tc>
          <w:tcPr>
            <w:tcW w:w="194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0</w:t>
            </w:r>
          </w:p>
        </w:tc>
      </w:tr>
      <w:tr>
        <w:tblPrEx>
          <w:tblCellMar>
            <w:top w:w="0" w:type="dxa"/>
            <w:left w:w="108" w:type="dxa"/>
            <w:bottom w:w="0" w:type="dxa"/>
            <w:right w:w="108" w:type="dxa"/>
          </w:tblCellMar>
        </w:tblPrEx>
        <w:trPr>
          <w:trHeight w:val="34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预算配置</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在职人员控制率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2</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2</w:t>
            </w:r>
          </w:p>
        </w:tc>
      </w:tr>
      <w:tr>
        <w:tblPrEx>
          <w:tblCellMar>
            <w:top w:w="0" w:type="dxa"/>
            <w:left w:w="108" w:type="dxa"/>
            <w:bottom w:w="0" w:type="dxa"/>
            <w:right w:w="108" w:type="dxa"/>
          </w:tblCellMar>
        </w:tblPrEx>
        <w:trPr>
          <w:trHeight w:val="34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“三公经费”变动率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3</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3</w:t>
            </w:r>
          </w:p>
        </w:tc>
      </w:tr>
      <w:tr>
        <w:tblPrEx>
          <w:tblCellMar>
            <w:top w:w="0" w:type="dxa"/>
            <w:left w:w="108" w:type="dxa"/>
            <w:bottom w:w="0" w:type="dxa"/>
            <w:right w:w="108" w:type="dxa"/>
          </w:tblCellMar>
        </w:tblPrEx>
        <w:trPr>
          <w:trHeight w:val="34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重点支出安排率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3</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2</w:t>
            </w:r>
          </w:p>
        </w:tc>
      </w:tr>
      <w:tr>
        <w:tblPrEx>
          <w:tblCellMar>
            <w:top w:w="0" w:type="dxa"/>
            <w:left w:w="108" w:type="dxa"/>
            <w:bottom w:w="0" w:type="dxa"/>
            <w:right w:w="108" w:type="dxa"/>
          </w:tblCellMar>
        </w:tblPrEx>
        <w:trPr>
          <w:trHeight w:val="390" w:hRule="atLeast"/>
        </w:trPr>
        <w:tc>
          <w:tcPr>
            <w:tcW w:w="46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合计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10</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7</w:t>
            </w:r>
          </w:p>
        </w:tc>
      </w:tr>
    </w:tbl>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lang w:eastAsia="zh-CN"/>
        </w:rPr>
      </w:pPr>
      <w:bookmarkStart w:id="46" w:name="_Toc10692"/>
      <w:r>
        <w:rPr>
          <w:rFonts w:hint="eastAsia" w:ascii="楷体_GB2312" w:hAnsi="楷体_GB2312" w:eastAsia="楷体_GB2312" w:cs="楷体_GB2312"/>
          <w:b/>
          <w:bCs w:val="0"/>
          <w:color w:val="auto"/>
          <w:lang w:eastAsia="zh-CN"/>
        </w:rPr>
        <w:t>（</w:t>
      </w:r>
      <w:r>
        <w:rPr>
          <w:rFonts w:hint="eastAsia" w:ascii="楷体_GB2312" w:hAnsi="楷体_GB2312" w:eastAsia="楷体_GB2312" w:cs="楷体_GB2312"/>
          <w:b/>
          <w:bCs w:val="0"/>
          <w:color w:val="auto"/>
          <w:lang w:val="en-US" w:eastAsia="zh-CN"/>
        </w:rPr>
        <w:t>二</w:t>
      </w:r>
      <w:r>
        <w:rPr>
          <w:rFonts w:hint="eastAsia" w:ascii="楷体_GB2312" w:hAnsi="楷体_GB2312" w:eastAsia="楷体_GB2312" w:cs="楷体_GB2312"/>
          <w:b/>
          <w:bCs w:val="0"/>
          <w:color w:val="auto"/>
          <w:lang w:eastAsia="zh-CN"/>
        </w:rPr>
        <w:t>）过程指标分析</w:t>
      </w:r>
      <w:bookmarkEnd w:id="46"/>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预算执行方面，预算支出</w:t>
      </w:r>
      <w:r>
        <w:rPr>
          <w:rFonts w:hint="default" w:ascii="Times New Roman" w:hAnsi="Times New Roman" w:eastAsia="仿宋_GB2312" w:cs="Times New Roman"/>
          <w:color w:val="auto"/>
          <w:lang w:val="en-US" w:eastAsia="zh-CN"/>
        </w:rPr>
        <w:t>超计划完成，</w:t>
      </w:r>
      <w:r>
        <w:rPr>
          <w:rFonts w:hint="default" w:ascii="Times New Roman" w:hAnsi="Times New Roman" w:eastAsia="仿宋_GB2312" w:cs="Times New Roman"/>
          <w:color w:val="auto"/>
        </w:rPr>
        <w:t>预算支出执行数为2</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026.12万元，年初批复预算数为866.63万元，预算支出执行率为</w:t>
      </w:r>
      <w:r>
        <w:rPr>
          <w:rFonts w:hint="default" w:ascii="Times New Roman" w:hAnsi="Times New Roman" w:eastAsia="仿宋_GB2312" w:cs="Times New Roman"/>
          <w:color w:val="auto"/>
          <w:lang w:val="en-US" w:eastAsia="zh-CN"/>
        </w:rPr>
        <w:t>233.79</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资金</w:t>
      </w:r>
      <w:r>
        <w:rPr>
          <w:rFonts w:hint="default" w:ascii="Times New Roman" w:hAnsi="Times New Roman" w:eastAsia="仿宋_GB2312" w:cs="Times New Roman"/>
          <w:color w:val="auto"/>
        </w:rPr>
        <w:t>支付</w:t>
      </w:r>
      <w:r>
        <w:rPr>
          <w:rFonts w:hint="default" w:ascii="Times New Roman" w:hAnsi="Times New Roman" w:eastAsia="仿宋_GB2312" w:cs="Times New Roman"/>
          <w:color w:val="auto"/>
          <w:lang w:val="en-US" w:eastAsia="zh-CN"/>
        </w:rPr>
        <w:t>根据需求及时支付；</w:t>
      </w:r>
      <w:r>
        <w:rPr>
          <w:rFonts w:hint="default" w:ascii="Times New Roman" w:hAnsi="Times New Roman" w:eastAsia="仿宋_GB2312" w:cs="Times New Roman"/>
          <w:color w:val="auto"/>
          <w:lang w:eastAsia="zh-CN"/>
        </w:rPr>
        <w:t>“三公经费”</w:t>
      </w:r>
      <w:r>
        <w:rPr>
          <w:rFonts w:hint="default" w:ascii="Times New Roman" w:hAnsi="Times New Roman" w:eastAsia="仿宋_GB2312" w:cs="Times New Roman"/>
          <w:color w:val="auto"/>
          <w:lang w:val="en-US" w:eastAsia="zh-CN"/>
        </w:rPr>
        <w:t>控制在预算范围内</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不足之处有</w:t>
      </w:r>
      <w:r>
        <w:rPr>
          <w:rFonts w:hint="default" w:ascii="Times New Roman" w:hAnsi="Times New Roman" w:eastAsia="仿宋_GB2312" w:cs="Times New Roman"/>
          <w:color w:val="auto"/>
        </w:rPr>
        <w:t>公用经费</w:t>
      </w:r>
      <w:r>
        <w:rPr>
          <w:rFonts w:hint="default" w:ascii="Times New Roman" w:hAnsi="Times New Roman" w:eastAsia="仿宋_GB2312" w:cs="Times New Roman"/>
          <w:color w:val="auto"/>
          <w:lang w:val="en-US" w:eastAsia="zh-CN"/>
        </w:rPr>
        <w:t>支出超预算，未有效控制，</w:t>
      </w:r>
      <w:r>
        <w:rPr>
          <w:rFonts w:hint="default" w:ascii="Times New Roman" w:hAnsi="Times New Roman" w:eastAsia="仿宋_GB2312" w:cs="Times New Roman"/>
          <w:color w:val="auto"/>
        </w:rPr>
        <w:t>2022年部门整体支出中公用经费为156.32万元，年初预算97.20万元</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公用经费控制率为160.82%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此外，</w:t>
      </w:r>
      <w:r>
        <w:rPr>
          <w:rFonts w:hint="default" w:ascii="Times New Roman" w:hAnsi="Times New Roman" w:eastAsia="仿宋_GB2312" w:cs="Times New Roman"/>
          <w:color w:val="auto"/>
        </w:rPr>
        <w:t>政府采购</w:t>
      </w:r>
      <w:r>
        <w:rPr>
          <w:rFonts w:hint="default" w:ascii="Times New Roman" w:hAnsi="Times New Roman" w:eastAsia="仿宋_GB2312" w:cs="Times New Roman"/>
          <w:color w:val="auto"/>
          <w:lang w:val="en-US" w:eastAsia="zh-CN"/>
        </w:rPr>
        <w:t>也超预算，经费控制待加强。</w:t>
      </w:r>
      <w:r>
        <w:rPr>
          <w:rFonts w:hint="default" w:ascii="Times New Roman" w:hAnsi="Times New Roman" w:eastAsia="仿宋_GB2312" w:cs="Times New Roman"/>
          <w:color w:val="auto"/>
        </w:rPr>
        <w:t>2022年政府采购预算数为132.20万元，其中</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工程类65万元、货物类26.20万元、服务类41万元，当年政府采购执行金额为329.79万元，政府采购执行率为249.46%</w:t>
      </w:r>
      <w:r>
        <w:rPr>
          <w:rFonts w:hint="default" w:ascii="Times New Roman" w:hAnsi="Times New Roman" w:eastAsia="仿宋_GB2312" w:cs="Times New Roman"/>
          <w:color w:val="auto"/>
          <w:lang w:eastAsia="zh-CN"/>
        </w:rPr>
        <w:t>。</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预算管理方面，管理制度建设比较健全，已制定预算管理制度、日常财务管理制度、财政专项资金使用管理制度等制度，且内容合法、合规、完整。资金使用合规，未发现截留、挤占、挪用、虚列支出等情形。基础信息完善，预决算信息、财务科目余额表，会计报表等信息真实、准确、完整。</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资产管理方面，固定资产</w:t>
      </w:r>
      <w:r>
        <w:rPr>
          <w:rFonts w:hint="default" w:ascii="Times New Roman" w:hAnsi="Times New Roman" w:eastAsia="仿宋_GB2312" w:cs="Times New Roman"/>
          <w:color w:val="auto"/>
          <w:lang w:val="en-US" w:eastAsia="zh-CN"/>
        </w:rPr>
        <w:t>得到有效</w:t>
      </w:r>
      <w:r>
        <w:rPr>
          <w:rFonts w:hint="default" w:ascii="Times New Roman" w:hAnsi="Times New Roman" w:eastAsia="仿宋_GB2312" w:cs="Times New Roman"/>
          <w:color w:val="auto"/>
        </w:rPr>
        <w:t>利用</w:t>
      </w:r>
      <w:r>
        <w:rPr>
          <w:rFonts w:hint="default" w:ascii="Times New Roman" w:hAnsi="Times New Roman" w:eastAsia="仿宋_GB2312" w:cs="Times New Roman"/>
          <w:color w:val="auto"/>
          <w:lang w:eastAsia="zh-CN"/>
        </w:rPr>
        <w:t>，2022年底固定资产净值为735.88万元，原值为870.58万元，固定资产利用率为84.53%。</w:t>
      </w:r>
      <w:r>
        <w:rPr>
          <w:rFonts w:hint="default" w:ascii="Times New Roman" w:hAnsi="Times New Roman" w:eastAsia="仿宋_GB2312" w:cs="Times New Roman"/>
          <w:color w:val="auto"/>
          <w:lang w:val="en-US" w:eastAsia="zh-CN"/>
        </w:rPr>
        <w:t>不足之处是</w:t>
      </w:r>
      <w:r>
        <w:rPr>
          <w:rFonts w:hint="default" w:ascii="Times New Roman" w:hAnsi="Times New Roman" w:eastAsia="仿宋_GB2312" w:cs="Times New Roman"/>
          <w:color w:val="auto"/>
        </w:rPr>
        <w:t>固定资产</w:t>
      </w:r>
      <w:r>
        <w:rPr>
          <w:rFonts w:hint="default" w:ascii="Times New Roman" w:hAnsi="Times New Roman" w:eastAsia="仿宋_GB2312" w:cs="Times New Roman"/>
          <w:color w:val="auto"/>
          <w:lang w:val="en-US" w:eastAsia="zh-CN"/>
        </w:rPr>
        <w:t>管理制度建设滞后，没有制定固定资产监管制度，此外固定资产真实情况不清晰，2022年没有盘点部门固定资，也没有制定盘点制度。</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综上执行情况</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过程指标合计扣5分（具体详见附件）</w:t>
      </w:r>
      <w:r>
        <w:rPr>
          <w:rFonts w:hint="default" w:ascii="Times New Roman" w:hAnsi="Times New Roman" w:eastAsia="仿宋_GB2312" w:cs="Times New Roman"/>
          <w:color w:val="auto"/>
        </w:rPr>
        <w:t>。</w:t>
      </w:r>
    </w:p>
    <w:p>
      <w:pPr>
        <w:jc w:val="center"/>
        <w:rPr>
          <w:rFonts w:hint="default" w:ascii="Times New Roman" w:hAnsi="Times New Roman" w:cs="Times New Roman"/>
          <w:color w:val="auto"/>
        </w:rPr>
      </w:pPr>
      <w:r>
        <w:rPr>
          <w:rFonts w:hint="eastAsia" w:ascii="仿宋" w:hAnsi="仿宋" w:eastAsia="仿宋" w:cs="仿宋"/>
          <w:b/>
          <w:bCs/>
          <w:color w:val="auto"/>
          <w:sz w:val="32"/>
          <w:szCs w:val="32"/>
          <w:lang w:val="en-US" w:eastAsia="zh-CN"/>
        </w:rPr>
        <w:t>过程指标得分</w:t>
      </w:r>
    </w:p>
    <w:tbl>
      <w:tblPr>
        <w:tblStyle w:val="13"/>
        <w:tblW w:w="8324" w:type="dxa"/>
        <w:tblInd w:w="98" w:type="dxa"/>
        <w:tblLayout w:type="fixed"/>
        <w:tblCellMar>
          <w:top w:w="0" w:type="dxa"/>
          <w:left w:w="108" w:type="dxa"/>
          <w:bottom w:w="0" w:type="dxa"/>
          <w:right w:w="108" w:type="dxa"/>
        </w:tblCellMar>
      </w:tblPr>
      <w:tblGrid>
        <w:gridCol w:w="1404"/>
        <w:gridCol w:w="1290"/>
        <w:gridCol w:w="2250"/>
        <w:gridCol w:w="1660"/>
        <w:gridCol w:w="1720"/>
      </w:tblGrid>
      <w:tr>
        <w:tblPrEx>
          <w:tblCellMar>
            <w:top w:w="0" w:type="dxa"/>
            <w:left w:w="108" w:type="dxa"/>
            <w:bottom w:w="0" w:type="dxa"/>
            <w:right w:w="108" w:type="dxa"/>
          </w:tblCellMar>
        </w:tblPrEx>
        <w:trPr>
          <w:trHeight w:val="34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二级指标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三级指标</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标准分值</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得分</w:t>
            </w:r>
          </w:p>
        </w:tc>
      </w:tr>
      <w:tr>
        <w:tblPrEx>
          <w:tblCellMar>
            <w:top w:w="0" w:type="dxa"/>
            <w:left w:w="108" w:type="dxa"/>
            <w:bottom w:w="0" w:type="dxa"/>
            <w:right w:w="108" w:type="dxa"/>
          </w:tblCellMar>
        </w:tblPrEx>
        <w:trPr>
          <w:trHeight w:val="330" w:hRule="atLeast"/>
        </w:trPr>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过程</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预算执行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预算执行率</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2</w:t>
            </w:r>
          </w:p>
        </w:tc>
      </w:tr>
      <w:tr>
        <w:tblPrEx>
          <w:tblCellMar>
            <w:top w:w="0" w:type="dxa"/>
            <w:left w:w="108" w:type="dxa"/>
            <w:bottom w:w="0" w:type="dxa"/>
            <w:right w:w="108" w:type="dxa"/>
          </w:tblCellMar>
        </w:tblPrEx>
        <w:trPr>
          <w:trHeight w:val="310" w:hRule="atLeast"/>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支付进度率</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340" w:hRule="atLeast"/>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公用经费控制率</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0</w:t>
            </w:r>
          </w:p>
        </w:tc>
      </w:tr>
      <w:tr>
        <w:tblPrEx>
          <w:tblCellMar>
            <w:top w:w="0" w:type="dxa"/>
            <w:left w:w="108" w:type="dxa"/>
            <w:bottom w:w="0" w:type="dxa"/>
            <w:right w:w="108" w:type="dxa"/>
          </w:tblCellMar>
        </w:tblPrEx>
        <w:trPr>
          <w:trHeight w:val="310" w:hRule="atLeast"/>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“三公经费”控制率</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2</w:t>
            </w:r>
          </w:p>
        </w:tc>
      </w:tr>
      <w:tr>
        <w:tblPrEx>
          <w:tblCellMar>
            <w:top w:w="0" w:type="dxa"/>
            <w:left w:w="108" w:type="dxa"/>
            <w:bottom w:w="0" w:type="dxa"/>
            <w:right w:w="108" w:type="dxa"/>
          </w:tblCellMar>
        </w:tblPrEx>
        <w:trPr>
          <w:trHeight w:val="282" w:hRule="atLeast"/>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政府采购执行率</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i w:val="0"/>
                <w:iCs w:val="0"/>
                <w:color w:val="auto"/>
                <w:kern w:val="0"/>
                <w:sz w:val="21"/>
                <w:szCs w:val="21"/>
                <w:u w:val="none"/>
                <w:lang w:val="en-US" w:eastAsia="zh-CN" w:bidi="ar"/>
              </w:rPr>
              <w:t>0</w:t>
            </w:r>
          </w:p>
        </w:tc>
      </w:tr>
      <w:tr>
        <w:tblPrEx>
          <w:tblCellMar>
            <w:top w:w="0" w:type="dxa"/>
            <w:left w:w="108" w:type="dxa"/>
            <w:bottom w:w="0" w:type="dxa"/>
            <w:right w:w="108" w:type="dxa"/>
          </w:tblCellMar>
        </w:tblPrEx>
        <w:trPr>
          <w:trHeight w:val="360" w:hRule="atLeast"/>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预算管理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管理制度健全性</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2</w:t>
            </w:r>
          </w:p>
        </w:tc>
      </w:tr>
      <w:tr>
        <w:tblPrEx>
          <w:tblCellMar>
            <w:top w:w="0" w:type="dxa"/>
            <w:left w:w="108" w:type="dxa"/>
            <w:bottom w:w="0" w:type="dxa"/>
            <w:right w:w="108" w:type="dxa"/>
          </w:tblCellMar>
        </w:tblPrEx>
        <w:trPr>
          <w:trHeight w:val="340" w:hRule="atLeast"/>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资金使用合规性</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4</w:t>
            </w:r>
          </w:p>
        </w:tc>
      </w:tr>
      <w:tr>
        <w:tblPrEx>
          <w:tblCellMar>
            <w:top w:w="0" w:type="dxa"/>
            <w:left w:w="108" w:type="dxa"/>
            <w:bottom w:w="0" w:type="dxa"/>
            <w:right w:w="108" w:type="dxa"/>
          </w:tblCellMar>
        </w:tblPrEx>
        <w:trPr>
          <w:trHeight w:val="340" w:hRule="atLeast"/>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基础信息完善性</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3</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3</w:t>
            </w:r>
          </w:p>
        </w:tc>
      </w:tr>
      <w:tr>
        <w:tblPrEx>
          <w:tblCellMar>
            <w:top w:w="0" w:type="dxa"/>
            <w:left w:w="108" w:type="dxa"/>
            <w:bottom w:w="0" w:type="dxa"/>
            <w:right w:w="108" w:type="dxa"/>
          </w:tblCellMar>
        </w:tblPrEx>
        <w:trPr>
          <w:trHeight w:val="350" w:hRule="atLeast"/>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资产管理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监管制度健全性</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0</w:t>
            </w:r>
          </w:p>
        </w:tc>
      </w:tr>
      <w:tr>
        <w:tblPrEx>
          <w:tblCellMar>
            <w:top w:w="0" w:type="dxa"/>
            <w:left w:w="108" w:type="dxa"/>
            <w:bottom w:w="0" w:type="dxa"/>
            <w:right w:w="108" w:type="dxa"/>
          </w:tblCellMar>
        </w:tblPrEx>
        <w:trPr>
          <w:trHeight w:val="360" w:hRule="atLeast"/>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资产管理安全性</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0</w:t>
            </w:r>
          </w:p>
        </w:tc>
      </w:tr>
      <w:tr>
        <w:tblPrEx>
          <w:tblCellMar>
            <w:top w:w="0" w:type="dxa"/>
            <w:left w:w="108" w:type="dxa"/>
            <w:bottom w:w="0" w:type="dxa"/>
            <w:right w:w="108" w:type="dxa"/>
          </w:tblCellMar>
        </w:tblPrEx>
        <w:trPr>
          <w:trHeight w:val="370" w:hRule="atLeast"/>
        </w:trPr>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固定资产利用率</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1</w:t>
            </w:r>
          </w:p>
        </w:tc>
      </w:tr>
      <w:tr>
        <w:tblPrEx>
          <w:tblCellMar>
            <w:top w:w="0" w:type="dxa"/>
            <w:left w:w="108" w:type="dxa"/>
            <w:bottom w:w="0" w:type="dxa"/>
            <w:right w:w="108" w:type="dxa"/>
          </w:tblCellMar>
        </w:tblPrEx>
        <w:trPr>
          <w:trHeight w:val="414" w:hRule="atLeast"/>
        </w:trPr>
        <w:tc>
          <w:tcPr>
            <w:tcW w:w="49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合计</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i w:val="0"/>
                <w:iCs w:val="0"/>
                <w:color w:val="auto"/>
                <w:kern w:val="0"/>
                <w:sz w:val="21"/>
                <w:szCs w:val="21"/>
                <w:u w:val="none"/>
                <w:lang w:val="en-US" w:eastAsia="zh-CN" w:bidi="ar"/>
              </w:rPr>
              <w:t>20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i w:val="0"/>
                <w:iCs w:val="0"/>
                <w:color w:val="auto"/>
                <w:kern w:val="0"/>
                <w:sz w:val="21"/>
                <w:szCs w:val="21"/>
                <w:u w:val="none"/>
                <w:lang w:val="en-US" w:eastAsia="zh-CN" w:bidi="ar"/>
              </w:rPr>
              <w:t>15</w:t>
            </w:r>
          </w:p>
        </w:tc>
      </w:tr>
    </w:tbl>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lang w:eastAsia="zh-CN"/>
        </w:rPr>
      </w:pPr>
      <w:bookmarkStart w:id="47" w:name="_Toc22742"/>
      <w:r>
        <w:rPr>
          <w:rFonts w:hint="eastAsia" w:ascii="楷体_GB2312" w:hAnsi="楷体_GB2312" w:eastAsia="楷体_GB2312" w:cs="楷体_GB2312"/>
          <w:b/>
          <w:bCs w:val="0"/>
          <w:color w:val="auto"/>
          <w:lang w:eastAsia="zh-CN"/>
        </w:rPr>
        <w:t>（</w:t>
      </w:r>
      <w:r>
        <w:rPr>
          <w:rFonts w:hint="eastAsia" w:ascii="楷体_GB2312" w:hAnsi="楷体_GB2312" w:eastAsia="楷体_GB2312" w:cs="楷体_GB2312"/>
          <w:b/>
          <w:bCs w:val="0"/>
          <w:color w:val="auto"/>
          <w:lang w:val="en-US" w:eastAsia="zh-CN"/>
        </w:rPr>
        <w:t>三</w:t>
      </w:r>
      <w:r>
        <w:rPr>
          <w:rFonts w:hint="eastAsia" w:ascii="楷体_GB2312" w:hAnsi="楷体_GB2312" w:eastAsia="楷体_GB2312" w:cs="楷体_GB2312"/>
          <w:b/>
          <w:bCs w:val="0"/>
          <w:color w:val="auto"/>
          <w:lang w:eastAsia="zh-CN"/>
        </w:rPr>
        <w:t>）产出指标分析</w:t>
      </w:r>
      <w:bookmarkEnd w:id="47"/>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履职方面，</w:t>
      </w:r>
      <w:r>
        <w:rPr>
          <w:rFonts w:hint="default" w:ascii="Times New Roman" w:hAnsi="Times New Roman" w:eastAsia="仿宋_GB2312" w:cs="Times New Roman"/>
          <w:color w:val="auto"/>
        </w:rPr>
        <w:t>工资支付及时</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例如</w:t>
      </w:r>
      <w:r>
        <w:rPr>
          <w:rFonts w:hint="default" w:ascii="Times New Roman" w:hAnsi="Times New Roman" w:eastAsia="仿宋_GB2312" w:cs="Times New Roman"/>
          <w:color w:val="auto"/>
          <w:lang w:eastAsia="zh-CN"/>
        </w:rPr>
        <w:t>环卫工人工资按月及时足额发放（月平均支付36.97万元）；旧改拆违</w:t>
      </w:r>
      <w:r>
        <w:rPr>
          <w:rFonts w:hint="default" w:ascii="Times New Roman" w:hAnsi="Times New Roman" w:eastAsia="仿宋_GB2312" w:cs="Times New Roman"/>
          <w:color w:val="auto"/>
          <w:lang w:val="en-US" w:eastAsia="zh-CN"/>
        </w:rPr>
        <w:t>合规，未引发行政复议；重点工作泰和市场群区域性消防安全隐患整治已达成年初制定的预期目标，拆除违建棚亭、独立门店、大型广告牌及招牌等存量违法建设225处，铺设消防管道656米，增设修复消防栓5处，完成675家门店自动消防设施的增设，市场内突出消防安全隐患问题得到有效治理。</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环境整治工作</w:t>
      </w:r>
      <w:r>
        <w:rPr>
          <w:rFonts w:hint="default" w:ascii="Times New Roman" w:hAnsi="Times New Roman" w:eastAsia="仿宋_GB2312" w:cs="Times New Roman"/>
          <w:color w:val="auto"/>
          <w:lang w:val="en-US" w:eastAsia="zh-CN"/>
        </w:rPr>
        <w:t>完成未达目标</w:t>
      </w:r>
      <w:r>
        <w:rPr>
          <w:rFonts w:hint="default" w:ascii="Times New Roman" w:hAnsi="Times New Roman" w:eastAsia="仿宋_GB2312" w:cs="Times New Roman"/>
          <w:color w:val="auto"/>
        </w:rPr>
        <w:t>，办事处所辖区域为岳阳市火车站等重点商圈，环境整治工作三大类（卫生、市容</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市貌）完成率为90%。旧改拆违工作</w:t>
      </w:r>
      <w:r>
        <w:rPr>
          <w:rFonts w:hint="default" w:ascii="Times New Roman" w:hAnsi="Times New Roman" w:eastAsia="仿宋_GB2312" w:cs="Times New Roman"/>
          <w:color w:val="auto"/>
          <w:lang w:val="en-US" w:eastAsia="zh-CN"/>
        </w:rPr>
        <w:t>未按计划完成</w:t>
      </w:r>
      <w:r>
        <w:rPr>
          <w:rFonts w:hint="default" w:ascii="Times New Roman" w:hAnsi="Times New Roman" w:eastAsia="仿宋_GB2312" w:cs="Times New Roman"/>
          <w:color w:val="auto"/>
        </w:rPr>
        <w:t>，旧改拆违工作计划数</w:t>
      </w:r>
      <w:r>
        <w:rPr>
          <w:rFonts w:hint="default" w:ascii="Times New Roman" w:hAnsi="Times New Roman" w:eastAsia="仿宋_GB2312" w:cs="Times New Roman"/>
          <w:color w:val="auto"/>
          <w:lang w:val="en-US" w:eastAsia="zh-CN"/>
        </w:rPr>
        <w:t>为</w:t>
      </w:r>
      <w:r>
        <w:rPr>
          <w:rFonts w:hint="default" w:ascii="Times New Roman" w:hAnsi="Times New Roman" w:eastAsia="仿宋_GB2312" w:cs="Times New Roman"/>
          <w:color w:val="auto"/>
        </w:rPr>
        <w:t>600处，实际完成537处，旧改拆违完成率为89.50%。资金预算申请以及报销</w:t>
      </w:r>
      <w:r>
        <w:rPr>
          <w:rFonts w:hint="default" w:ascii="Times New Roman" w:hAnsi="Times New Roman" w:eastAsia="仿宋_GB2312" w:cs="Times New Roman"/>
          <w:color w:val="auto"/>
          <w:lang w:val="en-US" w:eastAsia="zh-CN"/>
        </w:rPr>
        <w:t>控制总体</w:t>
      </w:r>
      <w:r>
        <w:rPr>
          <w:rFonts w:hint="default" w:ascii="Times New Roman" w:hAnsi="Times New Roman" w:eastAsia="仿宋_GB2312" w:cs="Times New Roman"/>
          <w:color w:val="auto"/>
        </w:rPr>
        <w:t>有效，重点工作成本</w:t>
      </w:r>
      <w:r>
        <w:rPr>
          <w:rFonts w:hint="default" w:ascii="Times New Roman" w:hAnsi="Times New Roman" w:eastAsia="仿宋_GB2312" w:cs="Times New Roman"/>
          <w:color w:val="auto"/>
          <w:lang w:val="en-US" w:eastAsia="zh-CN"/>
        </w:rPr>
        <w:t>控制需进一步加强</w:t>
      </w:r>
      <w:r>
        <w:rPr>
          <w:rFonts w:hint="default" w:ascii="Times New Roman" w:hAnsi="Times New Roman" w:eastAsia="仿宋_GB2312" w:cs="Times New Roman"/>
          <w:color w:val="auto"/>
        </w:rPr>
        <w:t>，泰和市场群整治</w:t>
      </w:r>
      <w:r>
        <w:rPr>
          <w:rFonts w:hint="default" w:ascii="Times New Roman" w:hAnsi="Times New Roman" w:eastAsia="仿宋_GB2312" w:cs="Times New Roman"/>
          <w:color w:val="auto"/>
          <w:lang w:val="en-US" w:eastAsia="zh-CN"/>
        </w:rPr>
        <w:t>开支</w:t>
      </w:r>
      <w:r>
        <w:rPr>
          <w:rFonts w:hint="default" w:ascii="Times New Roman" w:hAnsi="Times New Roman" w:eastAsia="仿宋_GB2312" w:cs="Times New Roman"/>
          <w:color w:val="auto"/>
        </w:rPr>
        <w:t>主要</w:t>
      </w:r>
      <w:r>
        <w:rPr>
          <w:rFonts w:hint="default" w:ascii="Times New Roman" w:hAnsi="Times New Roman" w:eastAsia="仿宋_GB2312" w:cs="Times New Roman"/>
          <w:color w:val="auto"/>
          <w:lang w:val="en-US" w:eastAsia="zh-CN"/>
        </w:rPr>
        <w:t>有</w:t>
      </w:r>
      <w:r>
        <w:rPr>
          <w:rFonts w:hint="default" w:ascii="Times New Roman" w:hAnsi="Times New Roman" w:eastAsia="仿宋_GB2312" w:cs="Times New Roman"/>
          <w:color w:val="auto"/>
        </w:rPr>
        <w:t>办公室费用、交警拖车费用、食堂及周末加班用餐费用、大宣传大排查</w:t>
      </w:r>
      <w:r>
        <w:rPr>
          <w:rFonts w:hint="default" w:ascii="Times New Roman" w:hAnsi="Times New Roman" w:eastAsia="仿宋_GB2312" w:cs="Times New Roman"/>
          <w:color w:val="auto"/>
          <w:lang w:val="en-US" w:eastAsia="zh-CN"/>
        </w:rPr>
        <w:t>费用</w:t>
      </w:r>
      <w:r>
        <w:rPr>
          <w:rFonts w:hint="default" w:ascii="Times New Roman" w:hAnsi="Times New Roman" w:eastAsia="仿宋_GB2312" w:cs="Times New Roman"/>
          <w:color w:val="auto"/>
        </w:rPr>
        <w:t>、加班补助等费用，2022年</w:t>
      </w:r>
      <w:r>
        <w:rPr>
          <w:rFonts w:hint="default" w:ascii="Times New Roman" w:hAnsi="Times New Roman" w:eastAsia="仿宋_GB2312" w:cs="Times New Roman"/>
          <w:color w:val="auto"/>
          <w:lang w:val="en-US" w:eastAsia="zh-CN"/>
        </w:rPr>
        <w:t>决算</w:t>
      </w:r>
      <w:r>
        <w:rPr>
          <w:rFonts w:hint="default" w:ascii="Times New Roman" w:hAnsi="Times New Roman" w:eastAsia="仿宋_GB2312" w:cs="Times New Roman"/>
          <w:color w:val="auto"/>
        </w:rPr>
        <w:t>支出</w:t>
      </w:r>
      <w:r>
        <w:rPr>
          <w:rFonts w:hint="default" w:ascii="Times New Roman" w:hAnsi="Times New Roman" w:eastAsia="仿宋_GB2312" w:cs="Times New Roman"/>
          <w:color w:val="auto"/>
          <w:lang w:val="en-US" w:eastAsia="zh-CN"/>
        </w:rPr>
        <w:t>为</w:t>
      </w:r>
      <w:r>
        <w:rPr>
          <w:rFonts w:hint="default" w:ascii="Times New Roman" w:hAnsi="Times New Roman" w:eastAsia="仿宋_GB2312" w:cs="Times New Roman"/>
          <w:color w:val="auto"/>
        </w:rPr>
        <w:t>90.43万元</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调研发现加班报销餐费较多，可能存在不合理报销情况。</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综上执行情况</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产出指标合计扣3分（具体详见附件）</w:t>
      </w:r>
      <w:r>
        <w:rPr>
          <w:rFonts w:hint="default" w:ascii="Times New Roman" w:hAnsi="Times New Roman" w:eastAsia="仿宋_GB2312" w:cs="Times New Roman"/>
          <w:color w:val="auto"/>
        </w:rPr>
        <w:t>。</w:t>
      </w:r>
    </w:p>
    <w:p>
      <w:pPr>
        <w:jc w:val="center"/>
        <w:rPr>
          <w:rFonts w:hint="eastAsia" w:ascii="仿宋" w:hAnsi="仿宋" w:eastAsia="仿宋" w:cs="仿宋"/>
          <w:b/>
          <w:bCs/>
          <w:color w:val="auto"/>
          <w:sz w:val="32"/>
          <w:szCs w:val="32"/>
          <w:lang w:val="en-US" w:eastAsia="zh-CN"/>
        </w:rPr>
      </w:pPr>
    </w:p>
    <w:p>
      <w:pPr>
        <w:jc w:val="center"/>
        <w:rPr>
          <w:rFonts w:hint="default" w:ascii="Times New Roman" w:hAnsi="Times New Roman" w:cs="Times New Roman"/>
          <w:color w:val="auto"/>
        </w:rPr>
      </w:pPr>
      <w:r>
        <w:rPr>
          <w:rFonts w:hint="eastAsia" w:ascii="仿宋" w:hAnsi="仿宋" w:eastAsia="仿宋" w:cs="仿宋"/>
          <w:b/>
          <w:bCs/>
          <w:color w:val="auto"/>
          <w:sz w:val="32"/>
          <w:szCs w:val="32"/>
          <w:lang w:val="en-US" w:eastAsia="zh-CN"/>
        </w:rPr>
        <w:t>产出指标得分</w:t>
      </w:r>
    </w:p>
    <w:tbl>
      <w:tblPr>
        <w:tblStyle w:val="13"/>
        <w:tblW w:w="8324" w:type="dxa"/>
        <w:tblInd w:w="98" w:type="dxa"/>
        <w:tblLayout w:type="fixed"/>
        <w:tblCellMar>
          <w:top w:w="0" w:type="dxa"/>
          <w:left w:w="108" w:type="dxa"/>
          <w:bottom w:w="0" w:type="dxa"/>
          <w:right w:w="108" w:type="dxa"/>
        </w:tblCellMar>
      </w:tblPr>
      <w:tblGrid>
        <w:gridCol w:w="1167"/>
        <w:gridCol w:w="1527"/>
        <w:gridCol w:w="2210"/>
        <w:gridCol w:w="1410"/>
        <w:gridCol w:w="2010"/>
      </w:tblGrid>
      <w:tr>
        <w:tblPrEx>
          <w:tblCellMar>
            <w:top w:w="0" w:type="dxa"/>
            <w:left w:w="108" w:type="dxa"/>
            <w:bottom w:w="0" w:type="dxa"/>
            <w:right w:w="108" w:type="dxa"/>
          </w:tblCellMar>
        </w:tblPrEx>
        <w:trPr>
          <w:trHeight w:val="35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一级指标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二级指标</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三级指标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标准分值</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得分</w:t>
            </w:r>
          </w:p>
        </w:tc>
      </w:tr>
      <w:tr>
        <w:tblPrEx>
          <w:tblCellMar>
            <w:top w:w="0" w:type="dxa"/>
            <w:left w:w="108" w:type="dxa"/>
            <w:bottom w:w="0" w:type="dxa"/>
            <w:right w:w="108" w:type="dxa"/>
          </w:tblCellMar>
        </w:tblPrEx>
        <w:trPr>
          <w:trHeight w:val="420"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产出</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职责履行</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环境整治完成率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5</w:t>
            </w:r>
          </w:p>
        </w:tc>
      </w:tr>
      <w:tr>
        <w:tblPrEx>
          <w:tblCellMar>
            <w:top w:w="0" w:type="dxa"/>
            <w:left w:w="108" w:type="dxa"/>
            <w:bottom w:w="0" w:type="dxa"/>
            <w:right w:w="108" w:type="dxa"/>
          </w:tblCellMar>
        </w:tblPrEx>
        <w:trPr>
          <w:trHeight w:val="41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旧改拆违完成率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5</w:t>
            </w:r>
          </w:p>
        </w:tc>
      </w:tr>
      <w:tr>
        <w:tblPrEx>
          <w:tblCellMar>
            <w:top w:w="0" w:type="dxa"/>
            <w:left w:w="108" w:type="dxa"/>
            <w:bottom w:w="0" w:type="dxa"/>
            <w:right w:w="108" w:type="dxa"/>
          </w:tblCellMar>
        </w:tblPrEx>
        <w:trPr>
          <w:trHeight w:val="44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工资支付及时性</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3</w:t>
            </w:r>
          </w:p>
        </w:tc>
      </w:tr>
      <w:tr>
        <w:tblPrEx>
          <w:tblCellMar>
            <w:top w:w="0" w:type="dxa"/>
            <w:left w:w="108" w:type="dxa"/>
            <w:bottom w:w="0" w:type="dxa"/>
            <w:right w:w="108" w:type="dxa"/>
          </w:tblCellMar>
        </w:tblPrEx>
        <w:trPr>
          <w:trHeight w:val="38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旧改拆违投诉率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3</w:t>
            </w:r>
          </w:p>
        </w:tc>
      </w:tr>
      <w:tr>
        <w:tblPrEx>
          <w:tblCellMar>
            <w:top w:w="0" w:type="dxa"/>
            <w:left w:w="108" w:type="dxa"/>
            <w:bottom w:w="0" w:type="dxa"/>
            <w:right w:w="108" w:type="dxa"/>
          </w:tblCellMar>
        </w:tblPrEx>
        <w:trPr>
          <w:trHeight w:val="42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重点工作办结情况</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8</w:t>
            </w:r>
          </w:p>
        </w:tc>
      </w:tr>
      <w:tr>
        <w:tblPrEx>
          <w:tblCellMar>
            <w:top w:w="0" w:type="dxa"/>
            <w:left w:w="108" w:type="dxa"/>
            <w:bottom w:w="0" w:type="dxa"/>
            <w:right w:w="108" w:type="dxa"/>
          </w:tblCellMar>
        </w:tblPrEx>
        <w:trPr>
          <w:trHeight w:val="40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重点工作成本控制</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3</w:t>
            </w:r>
          </w:p>
        </w:tc>
      </w:tr>
      <w:tr>
        <w:tblPrEx>
          <w:tblCellMar>
            <w:top w:w="0" w:type="dxa"/>
            <w:left w:w="108" w:type="dxa"/>
            <w:bottom w:w="0" w:type="dxa"/>
            <w:right w:w="108" w:type="dxa"/>
          </w:tblCellMar>
        </w:tblPrEx>
        <w:trPr>
          <w:trHeight w:val="374" w:hRule="atLeast"/>
        </w:trPr>
        <w:tc>
          <w:tcPr>
            <w:tcW w:w="4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i w:val="0"/>
                <w:iCs w:val="0"/>
                <w:color w:val="auto"/>
                <w:kern w:val="0"/>
                <w:sz w:val="21"/>
                <w:szCs w:val="21"/>
                <w:u w:val="none"/>
                <w:lang w:val="en-US" w:eastAsia="zh-CN" w:bidi="ar"/>
              </w:rPr>
              <w:t>30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i w:val="0"/>
                <w:iCs w:val="0"/>
                <w:color w:val="auto"/>
                <w:kern w:val="0"/>
                <w:sz w:val="21"/>
                <w:szCs w:val="21"/>
                <w:u w:val="none"/>
                <w:lang w:val="en-US" w:eastAsia="zh-CN" w:bidi="ar"/>
              </w:rPr>
              <w:t>27</w:t>
            </w:r>
          </w:p>
        </w:tc>
      </w:tr>
    </w:tbl>
    <w:p>
      <w:pPr>
        <w:pStyle w:val="3"/>
        <w:pageBreakBefore w:val="0"/>
        <w:widowControl w:val="0"/>
        <w:numPr>
          <w:ilvl w:val="0"/>
          <w:numId w:val="0"/>
        </w:numPr>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color w:val="auto"/>
          <w:lang w:eastAsia="zh-CN"/>
        </w:rPr>
      </w:pPr>
      <w:bookmarkStart w:id="48" w:name="_Toc27984"/>
      <w:r>
        <w:rPr>
          <w:rFonts w:hint="eastAsia" w:ascii="楷体_GB2312" w:hAnsi="楷体_GB2312" w:eastAsia="楷体_GB2312" w:cs="楷体_GB2312"/>
          <w:b/>
          <w:bCs w:val="0"/>
          <w:color w:val="auto"/>
          <w:kern w:val="2"/>
          <w:sz w:val="32"/>
          <w:szCs w:val="24"/>
          <w:lang w:val="en-US" w:eastAsia="zh-CN" w:bidi="ar-SA"/>
        </w:rPr>
        <w:t>（四）</w:t>
      </w:r>
      <w:r>
        <w:rPr>
          <w:rFonts w:hint="eastAsia" w:ascii="楷体_GB2312" w:hAnsi="楷体_GB2312" w:eastAsia="楷体_GB2312" w:cs="楷体_GB2312"/>
          <w:b/>
          <w:bCs w:val="0"/>
          <w:color w:val="auto"/>
          <w:lang w:eastAsia="zh-CN"/>
        </w:rPr>
        <w:t>效果指标分析</w:t>
      </w:r>
      <w:bookmarkEnd w:id="48"/>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辖区安全防控</w:t>
      </w:r>
      <w:r>
        <w:rPr>
          <w:rFonts w:hint="default" w:ascii="Times New Roman" w:hAnsi="Times New Roman" w:eastAsia="仿宋_GB2312" w:cs="Times New Roman"/>
          <w:color w:val="auto"/>
          <w:lang w:val="en-US" w:eastAsia="zh-CN"/>
        </w:rPr>
        <w:t>有效，安全风险有效降低。新冠疫情防控取得良好成效，受到市、区防指高度肯定和通报表扬；泰和市场内突出消防安全隐患问题得到有效治理，区域火灾风险大幅降低，市安委会对整治工作进行专门通报表扬。</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营商环境优化</w:t>
      </w:r>
      <w:r>
        <w:rPr>
          <w:rFonts w:hint="default" w:ascii="Times New Roman" w:hAnsi="Times New Roman" w:eastAsia="仿宋_GB2312" w:cs="Times New Roman"/>
          <w:color w:val="auto"/>
          <w:lang w:val="en-US" w:eastAsia="zh-CN"/>
        </w:rPr>
        <w:t>取得一定成效</w:t>
      </w:r>
      <w:r>
        <w:rPr>
          <w:rFonts w:hint="default" w:ascii="Times New Roman" w:hAnsi="Times New Roman" w:eastAsia="仿宋_GB2312" w:cs="Times New Roman"/>
          <w:color w:val="auto"/>
        </w:rPr>
        <w:t>，通过大力宣传税收优惠政策，走访企业，发放《惠企政策汇编》，开展“迎老乡、回家乡”活动，扶持和鼓励“四上”企业申报5家，完成各项税收1.13亿元</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相较2021年，2022年</w:t>
      </w:r>
      <w:r>
        <w:rPr>
          <w:rFonts w:hint="default" w:ascii="Times New Roman" w:hAnsi="Times New Roman" w:eastAsia="仿宋_GB2312" w:cs="Times New Roman"/>
          <w:color w:val="auto"/>
        </w:rPr>
        <w:t>“四上”企业申报</w:t>
      </w:r>
      <w:r>
        <w:rPr>
          <w:rFonts w:hint="default" w:ascii="Times New Roman" w:hAnsi="Times New Roman" w:eastAsia="仿宋_GB2312" w:cs="Times New Roman"/>
          <w:color w:val="auto"/>
          <w:lang w:val="en-US" w:eastAsia="zh-CN"/>
        </w:rPr>
        <w:t>数量少2加</w:t>
      </w:r>
      <w:r>
        <w:rPr>
          <w:rFonts w:hint="default" w:ascii="Times New Roman" w:hAnsi="Times New Roman" w:eastAsia="仿宋_GB2312" w:cs="Times New Roman"/>
          <w:color w:val="auto"/>
        </w:rPr>
        <w:t>（2021年申报7家）。</w:t>
      </w:r>
      <w:r>
        <w:rPr>
          <w:rFonts w:hint="default" w:ascii="Times New Roman" w:hAnsi="Times New Roman" w:eastAsia="仿宋_GB2312" w:cs="Times New Roman"/>
          <w:color w:val="auto"/>
          <w:lang w:val="en-US" w:eastAsia="zh-CN"/>
        </w:rPr>
        <w:t>积极开展</w:t>
      </w:r>
      <w:r>
        <w:rPr>
          <w:rFonts w:hint="default" w:ascii="Times New Roman" w:hAnsi="Times New Roman" w:eastAsia="仿宋_GB2312" w:cs="Times New Roman"/>
          <w:color w:val="auto"/>
        </w:rPr>
        <w:t>社会保障</w:t>
      </w:r>
      <w:r>
        <w:rPr>
          <w:rFonts w:hint="default" w:ascii="Times New Roman" w:hAnsi="Times New Roman" w:eastAsia="仿宋_GB2312" w:cs="Times New Roman"/>
          <w:color w:val="auto"/>
          <w:lang w:val="en-US" w:eastAsia="zh-CN"/>
        </w:rPr>
        <w:t>工作</w:t>
      </w:r>
      <w:r>
        <w:rPr>
          <w:rFonts w:hint="default" w:ascii="Times New Roman" w:hAnsi="Times New Roman" w:eastAsia="仿宋_GB2312" w:cs="Times New Roman"/>
          <w:color w:val="auto"/>
        </w:rPr>
        <w:t>，地方财力有限，保障力度弱，整体上及时</w:t>
      </w:r>
      <w:r>
        <w:rPr>
          <w:rFonts w:hint="default" w:ascii="Times New Roman" w:hAnsi="Times New Roman" w:eastAsia="仿宋_GB2312" w:cs="Times New Roman"/>
          <w:color w:val="auto"/>
          <w:lang w:val="en-US" w:eastAsia="zh-CN"/>
        </w:rPr>
        <w:t>开展</w:t>
      </w:r>
      <w:r>
        <w:rPr>
          <w:rFonts w:hint="default" w:ascii="Times New Roman" w:hAnsi="Times New Roman" w:eastAsia="仿宋_GB2312" w:cs="Times New Roman"/>
          <w:color w:val="auto"/>
        </w:rPr>
        <w:t>救助，但是效果一般</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全面摸排、精准动态调整低保户27户38人、新增10户15人、提标67户，确保最低生活应保尽保。公平公正开展困难群众节日慰问，慰问资金15万元，实现149户特困供养人员应救尽救。认定失业人员349人，推荐就业岗位833个，新增就业728人。发放严重精神障碍患者看护费21人。申报医疗救助30人。发放</w:t>
      </w:r>
      <w:r>
        <w:rPr>
          <w:rFonts w:hint="default" w:ascii="Times New Roman" w:hAnsi="Times New Roman" w:eastAsia="仿宋_GB2312" w:cs="Times New Roman"/>
          <w:color w:val="auto"/>
          <w:lang w:val="en-US" w:eastAsia="zh-CN"/>
        </w:rPr>
        <w:t>和</w:t>
      </w:r>
      <w:r>
        <w:rPr>
          <w:rFonts w:hint="default" w:ascii="Times New Roman" w:hAnsi="Times New Roman" w:eastAsia="仿宋_GB2312" w:cs="Times New Roman"/>
          <w:color w:val="auto"/>
        </w:rPr>
        <w:t>办理低保户和低收入困难家庭公租房补贴17户。慰问优抚困难退役军人65人和走访解困26人次。环卫质量提升</w:t>
      </w:r>
      <w:r>
        <w:rPr>
          <w:rFonts w:hint="default" w:ascii="Times New Roman" w:hAnsi="Times New Roman" w:eastAsia="仿宋_GB2312" w:cs="Times New Roman"/>
          <w:color w:val="auto"/>
          <w:lang w:val="en-US" w:eastAsia="zh-CN"/>
        </w:rPr>
        <w:t>行动持续推进，</w:t>
      </w:r>
      <w:r>
        <w:rPr>
          <w:rFonts w:hint="default" w:ascii="Times New Roman" w:hAnsi="Times New Roman" w:eastAsia="仿宋_GB2312" w:cs="Times New Roman"/>
          <w:color w:val="auto"/>
        </w:rPr>
        <w:t>垃圾分类</w:t>
      </w:r>
      <w:r>
        <w:rPr>
          <w:rFonts w:hint="default" w:ascii="Times New Roman" w:hAnsi="Times New Roman" w:eastAsia="仿宋_GB2312" w:cs="Times New Roman"/>
          <w:color w:val="auto"/>
          <w:lang w:val="en-US" w:eastAsia="zh-CN"/>
        </w:rPr>
        <w:t>试点工作获得省市区认可，但</w:t>
      </w:r>
      <w:r>
        <w:rPr>
          <w:rFonts w:hint="default" w:ascii="Times New Roman" w:hAnsi="Times New Roman" w:eastAsia="仿宋_GB2312" w:cs="Times New Roman"/>
          <w:color w:val="auto"/>
        </w:rPr>
        <w:t>受社区人口密集，路面狭窄及拆违工作等因素影响，垃圾分类工作尚未在辖区全部社区</w:t>
      </w:r>
      <w:r>
        <w:rPr>
          <w:rFonts w:hint="default" w:ascii="Times New Roman" w:hAnsi="Times New Roman" w:eastAsia="仿宋_GB2312" w:cs="Times New Roman"/>
          <w:color w:val="auto"/>
          <w:lang w:val="en-US" w:eastAsia="zh-CN"/>
        </w:rPr>
        <w:t>推广</w:t>
      </w:r>
      <w:r>
        <w:rPr>
          <w:rFonts w:hint="default" w:ascii="Times New Roman" w:hAnsi="Times New Roman" w:eastAsia="仿宋_GB2312" w:cs="Times New Roman"/>
          <w:color w:val="auto"/>
        </w:rPr>
        <w:t>，且居民垃圾分类意识提升不</w:t>
      </w:r>
      <w:r>
        <w:rPr>
          <w:rFonts w:hint="default" w:ascii="Times New Roman" w:hAnsi="Times New Roman" w:eastAsia="仿宋_GB2312" w:cs="Times New Roman"/>
          <w:color w:val="auto"/>
          <w:lang w:val="en-US" w:eastAsia="zh-CN"/>
        </w:rPr>
        <w:t>明显</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因此</w:t>
      </w:r>
      <w:r>
        <w:rPr>
          <w:rFonts w:hint="default" w:ascii="Times New Roman" w:hAnsi="Times New Roman" w:eastAsia="仿宋_GB2312" w:cs="Times New Roman"/>
          <w:color w:val="auto"/>
        </w:rPr>
        <w:t>环卫质量提升效果</w:t>
      </w:r>
      <w:r>
        <w:rPr>
          <w:rFonts w:hint="default" w:ascii="Times New Roman" w:hAnsi="Times New Roman" w:eastAsia="仿宋_GB2312" w:cs="Times New Roman"/>
          <w:color w:val="auto"/>
          <w:lang w:val="en-US" w:eastAsia="zh-CN"/>
        </w:rPr>
        <w:t>实质一般。</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综上执行情况</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效果指标合计扣6分（具体详见附件）</w:t>
      </w:r>
      <w:r>
        <w:rPr>
          <w:rFonts w:hint="default" w:ascii="Times New Roman" w:hAnsi="Times New Roman" w:eastAsia="仿宋_GB2312" w:cs="Times New Roman"/>
          <w:color w:val="auto"/>
        </w:rPr>
        <w:t>。</w:t>
      </w:r>
    </w:p>
    <w:p>
      <w:pPr>
        <w:jc w:val="center"/>
        <w:rPr>
          <w:rFonts w:hint="default" w:ascii="Times New Roman" w:hAnsi="Times New Roman" w:cs="Times New Roman"/>
          <w:color w:val="auto"/>
        </w:rPr>
      </w:pPr>
      <w:r>
        <w:rPr>
          <w:rFonts w:hint="eastAsia" w:ascii="仿宋" w:hAnsi="仿宋" w:eastAsia="仿宋" w:cs="仿宋"/>
          <w:b/>
          <w:bCs/>
          <w:color w:val="auto"/>
          <w:sz w:val="32"/>
          <w:szCs w:val="32"/>
          <w:lang w:val="en-US" w:eastAsia="zh-CN"/>
        </w:rPr>
        <w:t>效果指标得分</w:t>
      </w:r>
    </w:p>
    <w:tbl>
      <w:tblPr>
        <w:tblStyle w:val="13"/>
        <w:tblW w:w="8314" w:type="dxa"/>
        <w:tblInd w:w="96" w:type="dxa"/>
        <w:tblLayout w:type="fixed"/>
        <w:tblCellMar>
          <w:top w:w="0" w:type="dxa"/>
          <w:left w:w="108" w:type="dxa"/>
          <w:bottom w:w="0" w:type="dxa"/>
          <w:right w:w="108" w:type="dxa"/>
        </w:tblCellMar>
      </w:tblPr>
      <w:tblGrid>
        <w:gridCol w:w="1167"/>
        <w:gridCol w:w="1527"/>
        <w:gridCol w:w="2210"/>
        <w:gridCol w:w="1420"/>
        <w:gridCol w:w="1990"/>
      </w:tblGrid>
      <w:tr>
        <w:tblPrEx>
          <w:tblCellMar>
            <w:top w:w="0" w:type="dxa"/>
            <w:left w:w="108" w:type="dxa"/>
            <w:bottom w:w="0" w:type="dxa"/>
            <w:right w:w="108" w:type="dxa"/>
          </w:tblCellMar>
        </w:tblPrEx>
        <w:trPr>
          <w:trHeight w:val="28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一级指标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二级指标</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三级指标</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标准分值</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得分</w:t>
            </w:r>
          </w:p>
        </w:tc>
      </w:tr>
      <w:tr>
        <w:tblPrEx>
          <w:tblCellMar>
            <w:top w:w="0" w:type="dxa"/>
            <w:left w:w="108" w:type="dxa"/>
            <w:bottom w:w="0" w:type="dxa"/>
            <w:right w:w="108" w:type="dxa"/>
          </w:tblCellMar>
        </w:tblPrEx>
        <w:trPr>
          <w:trHeight w:val="280"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效果</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履职效益</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营商环境优化</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6</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5</w:t>
            </w:r>
          </w:p>
        </w:tc>
      </w:tr>
      <w:tr>
        <w:tblPrEx>
          <w:tblCellMar>
            <w:top w:w="0" w:type="dxa"/>
            <w:left w:w="108" w:type="dxa"/>
            <w:bottom w:w="0" w:type="dxa"/>
            <w:right w:w="108" w:type="dxa"/>
          </w:tblCellMar>
        </w:tblPrEx>
        <w:trPr>
          <w:trHeight w:val="31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辖区安全防控</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10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10</w:t>
            </w:r>
          </w:p>
        </w:tc>
      </w:tr>
      <w:tr>
        <w:tblPrEx>
          <w:tblCellMar>
            <w:top w:w="0" w:type="dxa"/>
            <w:left w:w="108" w:type="dxa"/>
            <w:bottom w:w="0" w:type="dxa"/>
            <w:right w:w="108" w:type="dxa"/>
          </w:tblCellMar>
        </w:tblPrEx>
        <w:trPr>
          <w:trHeight w:val="34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践行社会保障</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6</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5</w:t>
            </w:r>
          </w:p>
        </w:tc>
      </w:tr>
      <w:tr>
        <w:tblPrEx>
          <w:tblCellMar>
            <w:top w:w="0" w:type="dxa"/>
            <w:left w:w="108" w:type="dxa"/>
            <w:bottom w:w="0" w:type="dxa"/>
            <w:right w:w="108" w:type="dxa"/>
          </w:tblCellMar>
        </w:tblPrEx>
        <w:trPr>
          <w:trHeight w:val="35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环卫质量提升</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8</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6</w:t>
            </w:r>
          </w:p>
        </w:tc>
      </w:tr>
      <w:tr>
        <w:tblPrEx>
          <w:tblCellMar>
            <w:top w:w="0" w:type="dxa"/>
            <w:left w:w="108" w:type="dxa"/>
            <w:bottom w:w="0" w:type="dxa"/>
            <w:right w:w="108" w:type="dxa"/>
          </w:tblCellMar>
        </w:tblPrEx>
        <w:trPr>
          <w:trHeight w:val="32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0"/>
                <w:szCs w:val="20"/>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居民满意度</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10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iCs w:val="0"/>
                <w:color w:val="auto"/>
                <w:kern w:val="0"/>
                <w:sz w:val="21"/>
                <w:szCs w:val="21"/>
                <w:u w:val="none"/>
                <w:lang w:val="en-US" w:eastAsia="zh-CN" w:bidi="ar"/>
              </w:rPr>
              <w:t>8</w:t>
            </w:r>
          </w:p>
        </w:tc>
      </w:tr>
      <w:tr>
        <w:tblPrEx>
          <w:tblCellMar>
            <w:top w:w="0" w:type="dxa"/>
            <w:left w:w="108" w:type="dxa"/>
            <w:bottom w:w="0" w:type="dxa"/>
            <w:right w:w="108" w:type="dxa"/>
          </w:tblCellMar>
        </w:tblPrEx>
        <w:trPr>
          <w:trHeight w:val="282" w:hRule="atLeast"/>
        </w:trPr>
        <w:tc>
          <w:tcPr>
            <w:tcW w:w="4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合计</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i w:val="0"/>
                <w:iCs w:val="0"/>
                <w:color w:val="auto"/>
                <w:kern w:val="0"/>
                <w:sz w:val="21"/>
                <w:szCs w:val="21"/>
                <w:u w:val="none"/>
                <w:lang w:val="en-US" w:eastAsia="zh-CN" w:bidi="ar"/>
              </w:rPr>
              <w:t>40</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i w:val="0"/>
                <w:iCs w:val="0"/>
                <w:color w:val="auto"/>
                <w:kern w:val="0"/>
                <w:sz w:val="21"/>
                <w:szCs w:val="21"/>
                <w:u w:val="none"/>
                <w:lang w:val="en-US" w:eastAsia="zh-CN" w:bidi="ar"/>
              </w:rPr>
              <w:t>34</w:t>
            </w:r>
          </w:p>
        </w:tc>
      </w:tr>
    </w:tbl>
    <w:p>
      <w:pPr>
        <w:pStyle w:val="2"/>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3" w:firstLineChars="200"/>
        <w:textAlignment w:val="auto"/>
        <w:rPr>
          <w:rFonts w:hint="default" w:ascii="Times New Roman" w:hAnsi="Times New Roman" w:eastAsia="黑体" w:cs="Times New Roman"/>
          <w:color w:val="auto"/>
          <w:sz w:val="32"/>
          <w:szCs w:val="32"/>
        </w:rPr>
      </w:pPr>
      <w:bookmarkStart w:id="49" w:name="_Toc2112"/>
      <w:r>
        <w:rPr>
          <w:rFonts w:hint="eastAsia" w:ascii="Times New Roman" w:hAnsi="Times New Roman" w:eastAsia="黑体" w:cs="Times New Roman"/>
          <w:b/>
          <w:color w:val="auto"/>
          <w:kern w:val="44"/>
          <w:sz w:val="32"/>
          <w:szCs w:val="32"/>
          <w:lang w:val="en-US" w:eastAsia="zh-CN" w:bidi="ar-SA"/>
        </w:rPr>
        <w:t>六、</w:t>
      </w:r>
      <w:r>
        <w:rPr>
          <w:rFonts w:hint="default" w:ascii="Times New Roman" w:hAnsi="Times New Roman" w:eastAsia="黑体" w:cs="Times New Roman"/>
          <w:color w:val="auto"/>
          <w:sz w:val="32"/>
          <w:szCs w:val="32"/>
        </w:rPr>
        <w:t>主要经验及做法</w:t>
      </w:r>
      <w:bookmarkEnd w:id="49"/>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lang w:eastAsia="zh-CN"/>
        </w:rPr>
      </w:pPr>
      <w:bookmarkStart w:id="50" w:name="_Toc13831"/>
      <w:r>
        <w:rPr>
          <w:rFonts w:hint="eastAsia" w:ascii="楷体_GB2312" w:hAnsi="楷体_GB2312" w:eastAsia="楷体_GB2312" w:cs="楷体_GB2312"/>
          <w:b/>
          <w:bCs w:val="0"/>
          <w:color w:val="auto"/>
          <w:lang w:val="en-US" w:eastAsia="zh-CN"/>
        </w:rPr>
        <w:t>（一）打造</w:t>
      </w:r>
      <w:r>
        <w:rPr>
          <w:rFonts w:hint="eastAsia" w:ascii="楷体_GB2312" w:hAnsi="楷体_GB2312" w:eastAsia="楷体_GB2312" w:cs="楷体_GB2312"/>
          <w:b/>
          <w:bCs w:val="0"/>
          <w:color w:val="auto"/>
          <w:lang w:eastAsia="zh-CN"/>
        </w:rPr>
        <w:t>垃圾分类示范，建立管理长效机制</w:t>
      </w:r>
      <w:bookmarkEnd w:id="50"/>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岳阳市和岳阳楼区非常重视生活垃圾分类工作，站前路街道办事处积极打造分类示范点，针对不同群体开展切实有效的垃圾分类知识普及工作，全年迎接中央、省、市生活垃圾分类评估小组督导检查4次，接待省、市、区重要领导调研垃圾分类工作3次，接待各县、市、区领导考察交流垃圾分类将工作7次。</w:t>
      </w:r>
      <w:r>
        <w:rPr>
          <w:rFonts w:hint="default" w:ascii="Times New Roman" w:hAnsi="Times New Roman" w:eastAsia="仿宋_GB2312" w:cs="Times New Roman"/>
          <w:color w:val="auto"/>
          <w:lang w:val="en-US" w:eastAsia="zh-CN"/>
        </w:rPr>
        <w:t>与此同时，</w:t>
      </w:r>
      <w:r>
        <w:rPr>
          <w:rFonts w:hint="default" w:ascii="Times New Roman" w:hAnsi="Times New Roman" w:eastAsia="仿宋_GB2312" w:cs="Times New Roman"/>
          <w:color w:val="auto"/>
        </w:rPr>
        <w:t>坚持</w:t>
      </w:r>
      <w:r>
        <w:rPr>
          <w:rFonts w:hint="default" w:ascii="Times New Roman" w:hAnsi="Times New Roman" w:eastAsia="仿宋_GB2312" w:cs="Times New Roman"/>
          <w:color w:val="auto"/>
          <w:lang w:val="en-US" w:eastAsia="zh-CN"/>
        </w:rPr>
        <w:t>在</w:t>
      </w:r>
      <w:r>
        <w:rPr>
          <w:rFonts w:hint="default" w:ascii="Times New Roman" w:hAnsi="Times New Roman" w:eastAsia="仿宋_GB2312" w:cs="Times New Roman"/>
          <w:color w:val="auto"/>
        </w:rPr>
        <w:t>微信群“晒动态、比效果”，严格督查讲评，建立环境卫生管理常态长效机制。</w:t>
      </w:r>
    </w:p>
    <w:p>
      <w:pPr>
        <w:pStyle w:val="11"/>
        <w:rPr>
          <w:rFonts w:hint="default" w:ascii="Times New Roman" w:hAnsi="Times New Roman" w:eastAsia="仿宋_GB2312" w:cs="Times New Roman"/>
          <w:color w:val="auto"/>
        </w:rPr>
      </w:pPr>
    </w:p>
    <w:tbl>
      <w:tblPr>
        <w:tblStyle w:val="14"/>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7"/>
        <w:gridCol w:w="4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7" w:type="dxa"/>
          </w:tcPr>
          <w:p>
            <w:pPr>
              <w:pStyle w:val="7"/>
              <w:spacing w:line="240" w:lineRule="auto"/>
              <w:rPr>
                <w:rFonts w:hint="default" w:ascii="Times New Roman" w:hAnsi="Times New Roman" w:eastAsia="仿宋" w:cs="Times New Roman"/>
                <w:color w:val="auto"/>
              </w:rPr>
            </w:pPr>
            <w:r>
              <w:rPr>
                <w:rFonts w:hint="default" w:ascii="Times New Roman" w:hAnsi="Times New Roman" w:eastAsia="仿宋" w:cs="Times New Roman"/>
                <w:color w:val="auto"/>
              </w:rPr>
              <w:drawing>
                <wp:inline distT="0" distB="0" distL="114300" distR="114300">
                  <wp:extent cx="2567305" cy="1926590"/>
                  <wp:effectExtent l="0" t="0" r="10795" b="3810"/>
                  <wp:docPr id="1" name="图片 1" descr="微信图片_2023091416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914162910"/>
                          <pic:cNvPicPr>
                            <a:picLocks noChangeAspect="1"/>
                          </pic:cNvPicPr>
                        </pic:nvPicPr>
                        <pic:blipFill>
                          <a:blip r:embed="rId8"/>
                          <a:stretch>
                            <a:fillRect/>
                          </a:stretch>
                        </pic:blipFill>
                        <pic:spPr>
                          <a:xfrm>
                            <a:off x="0" y="0"/>
                            <a:ext cx="2567305" cy="1926590"/>
                          </a:xfrm>
                          <a:prstGeom prst="rect">
                            <a:avLst/>
                          </a:prstGeom>
                        </pic:spPr>
                      </pic:pic>
                    </a:graphicData>
                  </a:graphic>
                </wp:inline>
              </w:drawing>
            </w:r>
          </w:p>
        </w:tc>
        <w:tc>
          <w:tcPr>
            <w:tcW w:w="4105" w:type="dxa"/>
          </w:tcPr>
          <w:p>
            <w:pPr>
              <w:pStyle w:val="7"/>
              <w:spacing w:line="240" w:lineRule="auto"/>
              <w:rPr>
                <w:rFonts w:hint="default" w:ascii="Times New Roman" w:hAnsi="Times New Roman" w:eastAsia="仿宋" w:cs="Times New Roman"/>
                <w:color w:val="auto"/>
              </w:rPr>
            </w:pPr>
            <w:r>
              <w:rPr>
                <w:rFonts w:hint="default" w:ascii="Times New Roman" w:hAnsi="Times New Roman" w:eastAsia="仿宋" w:cs="Times New Roman"/>
                <w:color w:val="auto"/>
              </w:rPr>
              <w:drawing>
                <wp:inline distT="0" distB="0" distL="114300" distR="114300">
                  <wp:extent cx="2556510" cy="1918335"/>
                  <wp:effectExtent l="0" t="0" r="8890" b="12065"/>
                  <wp:docPr id="2" name="图片 2" descr="微信图片_2023091416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914162922"/>
                          <pic:cNvPicPr>
                            <a:picLocks noChangeAspect="1"/>
                          </pic:cNvPicPr>
                        </pic:nvPicPr>
                        <pic:blipFill>
                          <a:blip r:embed="rId9"/>
                          <a:stretch>
                            <a:fillRect/>
                          </a:stretch>
                        </pic:blipFill>
                        <pic:spPr>
                          <a:xfrm>
                            <a:off x="0" y="0"/>
                            <a:ext cx="2556510" cy="19183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7" w:type="dxa"/>
          </w:tcPr>
          <w:p>
            <w:pPr>
              <w:pStyle w:val="7"/>
              <w:spacing w:line="240" w:lineRule="auto"/>
              <w:rPr>
                <w:rFonts w:hint="default" w:ascii="Times New Roman" w:hAnsi="Times New Roman" w:eastAsia="仿宋" w:cs="Times New Roman"/>
                <w:color w:val="auto"/>
              </w:rPr>
            </w:pPr>
            <w:r>
              <w:rPr>
                <w:rFonts w:hint="default" w:ascii="Times New Roman" w:hAnsi="Times New Roman" w:eastAsia="仿宋" w:cs="Times New Roman"/>
                <w:color w:val="auto"/>
              </w:rPr>
              <w:drawing>
                <wp:inline distT="0" distB="0" distL="114300" distR="114300">
                  <wp:extent cx="2568575" cy="2449830"/>
                  <wp:effectExtent l="0" t="0" r="9525" b="1270"/>
                  <wp:docPr id="4" name="图片 4" descr="微信图片_2023091416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914162936"/>
                          <pic:cNvPicPr>
                            <a:picLocks noChangeAspect="1"/>
                          </pic:cNvPicPr>
                        </pic:nvPicPr>
                        <pic:blipFill>
                          <a:blip r:embed="rId10"/>
                          <a:stretch>
                            <a:fillRect/>
                          </a:stretch>
                        </pic:blipFill>
                        <pic:spPr>
                          <a:xfrm>
                            <a:off x="0" y="0"/>
                            <a:ext cx="2568575" cy="2449830"/>
                          </a:xfrm>
                          <a:prstGeom prst="rect">
                            <a:avLst/>
                          </a:prstGeom>
                        </pic:spPr>
                      </pic:pic>
                    </a:graphicData>
                  </a:graphic>
                </wp:inline>
              </w:drawing>
            </w:r>
          </w:p>
        </w:tc>
        <w:tc>
          <w:tcPr>
            <w:tcW w:w="4105" w:type="dxa"/>
          </w:tcPr>
          <w:p>
            <w:pPr>
              <w:pStyle w:val="7"/>
              <w:spacing w:line="240" w:lineRule="auto"/>
              <w:rPr>
                <w:rFonts w:hint="default" w:ascii="Times New Roman" w:hAnsi="Times New Roman" w:eastAsia="仿宋" w:cs="Times New Roman"/>
                <w:color w:val="auto"/>
              </w:rPr>
            </w:pPr>
            <w:r>
              <w:rPr>
                <w:rFonts w:hint="default" w:ascii="Times New Roman" w:hAnsi="Times New Roman" w:eastAsia="仿宋" w:cs="Times New Roman"/>
                <w:color w:val="auto"/>
              </w:rPr>
              <w:drawing>
                <wp:inline distT="0" distB="0" distL="114300" distR="114300">
                  <wp:extent cx="2560320" cy="2451100"/>
                  <wp:effectExtent l="0" t="0" r="5080" b="0"/>
                  <wp:docPr id="5" name="图片 5" descr="微信图片_2023091416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914163059"/>
                          <pic:cNvPicPr>
                            <a:picLocks noChangeAspect="1"/>
                          </pic:cNvPicPr>
                        </pic:nvPicPr>
                        <pic:blipFill>
                          <a:blip r:embed="rId11"/>
                          <a:stretch>
                            <a:fillRect/>
                          </a:stretch>
                        </pic:blipFill>
                        <pic:spPr>
                          <a:xfrm>
                            <a:off x="0" y="0"/>
                            <a:ext cx="2560320" cy="2451100"/>
                          </a:xfrm>
                          <a:prstGeom prst="rect">
                            <a:avLst/>
                          </a:prstGeom>
                        </pic:spPr>
                      </pic:pic>
                    </a:graphicData>
                  </a:graphic>
                </wp:inline>
              </w:drawing>
            </w:r>
          </w:p>
        </w:tc>
      </w:tr>
    </w:tbl>
    <w:p>
      <w:pPr>
        <w:pStyle w:val="7"/>
        <w:spacing w:line="240" w:lineRule="auto"/>
        <w:rPr>
          <w:rFonts w:hint="default" w:ascii="Times New Roman" w:hAnsi="Times New Roman" w:eastAsia="仿宋" w:cs="Times New Roman"/>
          <w:color w:val="auto"/>
        </w:rPr>
      </w:pPr>
      <w:r>
        <w:rPr>
          <w:rFonts w:hint="eastAsia" w:ascii="仿宋_GB2312" w:hAnsi="仿宋_GB2312" w:eastAsia="仿宋_GB2312" w:cs="仿宋_GB2312"/>
          <w:color w:val="auto"/>
        </w:rPr>
        <w:t>注：站前路街道经编厂小区生活垃圾分类示范点</w:t>
      </w:r>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lang w:val="en-US" w:eastAsia="zh-CN"/>
        </w:rPr>
      </w:pPr>
      <w:bookmarkStart w:id="51" w:name="_Toc23008"/>
      <w:r>
        <w:rPr>
          <w:rFonts w:hint="eastAsia" w:ascii="楷体_GB2312" w:hAnsi="楷体_GB2312" w:eastAsia="楷体_GB2312" w:cs="楷体_GB2312"/>
          <w:b/>
          <w:bCs w:val="0"/>
          <w:color w:val="auto"/>
          <w:lang w:val="en-US" w:eastAsia="zh-CN"/>
        </w:rPr>
        <w:t>（二）协同整治安全隐患，推动实现长效自治</w:t>
      </w:r>
      <w:bookmarkEnd w:id="51"/>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rPr>
        <w:t>站前路街道办事处辖区内的泰和市场群始建于上世纪90年代，存在五金、家电、家纺等大型综合性市场11家，大小商家店铺3</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000余家，</w:t>
      </w:r>
      <w:r>
        <w:rPr>
          <w:rFonts w:hint="default" w:ascii="Times New Roman" w:hAnsi="Times New Roman" w:eastAsia="仿宋_GB2312" w:cs="Times New Roman"/>
          <w:color w:val="auto"/>
          <w:lang w:val="en-US" w:eastAsia="zh-CN"/>
        </w:rPr>
        <w:t>为</w:t>
      </w:r>
      <w:r>
        <w:rPr>
          <w:rFonts w:hint="default" w:ascii="Times New Roman" w:hAnsi="Times New Roman" w:eastAsia="仿宋_GB2312" w:cs="Times New Roman"/>
          <w:color w:val="auto"/>
        </w:rPr>
        <w:t>岳阳市日常用品批发和零售的聚散地。由于泰和市场群</w:t>
      </w:r>
      <w:r>
        <w:rPr>
          <w:rFonts w:hint="default" w:ascii="Times New Roman" w:hAnsi="Times New Roman" w:eastAsia="仿宋_GB2312" w:cs="Times New Roman"/>
          <w:color w:val="auto"/>
          <w:lang w:val="en-US" w:eastAsia="zh-CN"/>
        </w:rPr>
        <w:t>建设</w:t>
      </w:r>
      <w:r>
        <w:rPr>
          <w:rFonts w:hint="default" w:ascii="Times New Roman" w:hAnsi="Times New Roman" w:eastAsia="仿宋_GB2312" w:cs="Times New Roman"/>
          <w:color w:val="auto"/>
        </w:rPr>
        <w:t>已久，基础设施陈旧破损，违规搭建、占用消防通道等现象</w:t>
      </w:r>
      <w:r>
        <w:rPr>
          <w:rFonts w:hint="default" w:ascii="Times New Roman" w:hAnsi="Times New Roman" w:eastAsia="仿宋_GB2312" w:cs="Times New Roman"/>
          <w:color w:val="auto"/>
          <w:lang w:val="en-US" w:eastAsia="zh-CN"/>
        </w:rPr>
        <w:t>非常</w:t>
      </w:r>
      <w:r>
        <w:rPr>
          <w:rFonts w:hint="default" w:ascii="Times New Roman" w:hAnsi="Times New Roman" w:eastAsia="仿宋_GB2312" w:cs="Times New Roman"/>
          <w:color w:val="auto"/>
        </w:rPr>
        <w:t>普遍，存在严重消防安全隐患，2017年被</w:t>
      </w:r>
      <w:r>
        <w:rPr>
          <w:rFonts w:hint="default" w:ascii="Times New Roman" w:hAnsi="Times New Roman" w:eastAsia="仿宋_GB2312" w:cs="Times New Roman"/>
          <w:color w:val="auto"/>
          <w:lang w:val="en-US" w:eastAsia="zh-CN"/>
        </w:rPr>
        <w:t>湖南</w:t>
      </w:r>
      <w:r>
        <w:rPr>
          <w:rFonts w:hint="default" w:ascii="Times New Roman" w:hAnsi="Times New Roman" w:eastAsia="仿宋_GB2312" w:cs="Times New Roman"/>
          <w:color w:val="auto"/>
        </w:rPr>
        <w:t>省政府列为区域性火灾隐患单位挂牌督办。</w:t>
      </w:r>
      <w:r>
        <w:rPr>
          <w:rFonts w:hint="default" w:ascii="Times New Roman" w:hAnsi="Times New Roman" w:eastAsia="仿宋_GB2312" w:cs="Times New Roman"/>
          <w:color w:val="auto"/>
          <w:szCs w:val="32"/>
        </w:rPr>
        <w:t>2020年2月，岳阳楼区政府组建高规格的泰和市场群安全隐患综合整治办公室，从消防救援大队、岳阳楼公安分局、岳阳楼交警大队、区城管局、退役军人事务局、</w:t>
      </w:r>
      <w:r>
        <w:rPr>
          <w:rFonts w:hint="default" w:ascii="Times New Roman" w:hAnsi="Times New Roman" w:eastAsia="仿宋_GB2312" w:cs="Times New Roman"/>
          <w:b w:val="0"/>
          <w:bCs w:val="0"/>
          <w:color w:val="auto"/>
          <w:szCs w:val="32"/>
        </w:rPr>
        <w:t>站前路街道办事处</w:t>
      </w:r>
      <w:r>
        <w:rPr>
          <w:rFonts w:hint="default" w:ascii="Times New Roman" w:hAnsi="Times New Roman" w:eastAsia="仿宋_GB2312" w:cs="Times New Roman"/>
          <w:color w:val="auto"/>
          <w:szCs w:val="32"/>
        </w:rPr>
        <w:t>抽调工作人员，对泰和市场</w:t>
      </w:r>
      <w:r>
        <w:rPr>
          <w:rFonts w:hint="default" w:ascii="Times New Roman" w:hAnsi="Times New Roman" w:eastAsia="仿宋_GB2312" w:cs="Times New Roman"/>
          <w:color w:val="auto"/>
          <w:szCs w:val="32"/>
          <w:lang w:val="en-US" w:eastAsia="zh-CN"/>
        </w:rPr>
        <w:t>群</w:t>
      </w:r>
      <w:r>
        <w:rPr>
          <w:rFonts w:hint="default" w:ascii="Times New Roman" w:hAnsi="Times New Roman" w:eastAsia="仿宋_GB2312" w:cs="Times New Roman"/>
          <w:color w:val="auto"/>
          <w:szCs w:val="32"/>
        </w:rPr>
        <w:t>的火灾隐患、道路交通、私搭乱建、出店经营等问题开展综合整治。</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rPr>
        <w:t>2022年站前路街道办事处</w:t>
      </w:r>
      <w:r>
        <w:rPr>
          <w:rFonts w:hint="default" w:ascii="Times New Roman" w:hAnsi="Times New Roman" w:eastAsia="仿宋_GB2312" w:cs="Times New Roman"/>
          <w:color w:val="auto"/>
        </w:rPr>
        <w:t>持续推进泰和市场群区域性消防安全隐患整治，拆除违建棚亭、独立门店、大型广告牌及招牌等存量违法建设，市场内突出消防安全隐患问题得到有效治理。此外，站前路街道办事处牵头成立泰和市群消防安全管理工作办公室，负责联系部门联合执法、出台整治机制，巩固整治工作成效。</w:t>
      </w:r>
    </w:p>
    <w:p>
      <w:pPr>
        <w:pStyle w:val="2"/>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3" w:firstLineChars="200"/>
        <w:textAlignment w:val="auto"/>
        <w:rPr>
          <w:rFonts w:hint="default" w:ascii="Times New Roman" w:hAnsi="Times New Roman" w:eastAsia="黑体" w:cs="Times New Roman"/>
          <w:color w:val="auto"/>
          <w:sz w:val="32"/>
          <w:szCs w:val="32"/>
        </w:rPr>
      </w:pPr>
      <w:bookmarkStart w:id="52" w:name="_Toc11255"/>
      <w:r>
        <w:rPr>
          <w:rFonts w:hint="eastAsia" w:ascii="Times New Roman" w:hAnsi="Times New Roman" w:eastAsia="黑体" w:cs="Times New Roman"/>
          <w:b/>
          <w:color w:val="auto"/>
          <w:kern w:val="44"/>
          <w:sz w:val="32"/>
          <w:szCs w:val="32"/>
          <w:lang w:val="en-US" w:eastAsia="zh-CN" w:bidi="ar-SA"/>
        </w:rPr>
        <w:t>七、</w:t>
      </w:r>
      <w:r>
        <w:rPr>
          <w:rFonts w:hint="default" w:ascii="Times New Roman" w:hAnsi="Times New Roman" w:eastAsia="黑体" w:cs="Times New Roman"/>
          <w:color w:val="auto"/>
          <w:sz w:val="32"/>
          <w:szCs w:val="32"/>
        </w:rPr>
        <w:t>存在的问题及原因分析</w:t>
      </w:r>
      <w:bookmarkEnd w:id="52"/>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lang w:val="en-US" w:eastAsia="zh-CN"/>
        </w:rPr>
      </w:pPr>
      <w:bookmarkStart w:id="53" w:name="_Toc27966"/>
      <w:r>
        <w:rPr>
          <w:rFonts w:hint="eastAsia" w:ascii="楷体_GB2312" w:hAnsi="楷体_GB2312" w:eastAsia="楷体_GB2312" w:cs="楷体_GB2312"/>
          <w:b/>
          <w:bCs w:val="0"/>
          <w:color w:val="auto"/>
          <w:lang w:val="en-US" w:eastAsia="zh-CN"/>
        </w:rPr>
        <w:t>（一）预算绩效管理问题</w:t>
      </w:r>
      <w:bookmarkEnd w:id="53"/>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lang w:val="en-US" w:eastAsia="zh-CN"/>
        </w:rPr>
      </w:pPr>
      <w:bookmarkStart w:id="54" w:name="_Toc29044"/>
      <w:r>
        <w:rPr>
          <w:rFonts w:hint="default" w:ascii="Times New Roman" w:hAnsi="Times New Roman" w:eastAsia="仿宋_GB2312" w:cs="Times New Roman"/>
          <w:color w:val="auto"/>
          <w:lang w:val="en-US" w:eastAsia="zh-CN"/>
        </w:rPr>
        <w:t>1.对</w:t>
      </w:r>
      <w:r>
        <w:rPr>
          <w:rFonts w:hint="default" w:ascii="Times New Roman" w:hAnsi="Times New Roman" w:eastAsia="仿宋_GB2312" w:cs="Times New Roman"/>
          <w:color w:val="auto"/>
        </w:rPr>
        <w:t>绩效目标</w:t>
      </w:r>
      <w:r>
        <w:rPr>
          <w:rFonts w:hint="default" w:ascii="Times New Roman" w:hAnsi="Times New Roman" w:eastAsia="仿宋_GB2312" w:cs="Times New Roman"/>
          <w:color w:val="auto"/>
          <w:lang w:val="en-US" w:eastAsia="zh-CN"/>
        </w:rPr>
        <w:t>重视不够</w:t>
      </w:r>
      <w:bookmarkEnd w:id="54"/>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Cs w:val="32"/>
          <w:lang w:val="en-US" w:eastAsia="zh-CN"/>
        </w:rPr>
        <w:t>经过现场访谈，部门没有编制2022年工作计划，以往年度也没有编制，缺失工作计划制度。预算公开信息表中部门整体支出绩效目标表的总体目标仅仅是部门职责，混淆职责与目标的区别，绩效指标只有一级和二级共性指标，缺失三级指标。造成上述结果的原因可能是认为计划与目标作用不大，上级对工作计划也没有硬性要求。</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lang w:val="en-US" w:eastAsia="zh-CN"/>
        </w:rPr>
      </w:pPr>
      <w:bookmarkStart w:id="55" w:name="_Toc160"/>
      <w:r>
        <w:rPr>
          <w:rFonts w:hint="default" w:ascii="Times New Roman" w:hAnsi="Times New Roman" w:eastAsia="仿宋_GB2312" w:cs="Times New Roman"/>
          <w:color w:val="auto"/>
          <w:lang w:val="en-US" w:eastAsia="zh-CN"/>
        </w:rPr>
        <w:t>2.预算编制准确性不够</w:t>
      </w:r>
      <w:bookmarkEnd w:id="55"/>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olor w:val="auto"/>
          <w:lang w:val="en-US" w:eastAsia="zh-CN"/>
        </w:rPr>
      </w:pPr>
      <w:r>
        <w:rPr>
          <w:rFonts w:hint="default" w:ascii="Times New Roman" w:hAnsi="Times New Roman" w:eastAsia="仿宋_GB2312" w:cs="Times New Roman"/>
          <w:color w:val="auto"/>
          <w:szCs w:val="32"/>
          <w:lang w:val="en-US" w:eastAsia="zh-CN"/>
        </w:rPr>
        <w:t>经过访谈预算编制人员和调阅预算材料发现，2022年初预算支出主要安排的是工资福利社保支出，项目支出列支很少，且没有安排重点项目支出。必须要开展的环卫、安全、人社、残联、退役军人等项目支出，绝大部分是在实际工作中根据进度和需求向岳阳楼区财政局或者岳阳楼区相关主管部门申请资金，这种非预算安排做法导致年度决算支出远远超过年初批复预算支出。造成上述局面的原因，：一是地方财力有限，站前路街道办事处许多支出来自非预算安排的专项资金；二是忽视计划和绩效目标的引导作用，预算编制准确性低。</w:t>
      </w:r>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lang w:val="en-US" w:eastAsia="zh-CN"/>
        </w:rPr>
      </w:pPr>
      <w:bookmarkStart w:id="56" w:name="_Toc25577"/>
      <w:r>
        <w:rPr>
          <w:rFonts w:hint="eastAsia" w:ascii="楷体_GB2312" w:hAnsi="楷体_GB2312" w:eastAsia="楷体_GB2312" w:cs="楷体_GB2312"/>
          <w:b/>
          <w:bCs w:val="0"/>
          <w:color w:val="auto"/>
          <w:lang w:val="en-US" w:eastAsia="zh-CN"/>
        </w:rPr>
        <w:t>（二）部门财务管理问题</w:t>
      </w:r>
      <w:bookmarkEnd w:id="56"/>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lang w:val="en-US" w:eastAsia="zh-CN"/>
        </w:rPr>
      </w:pPr>
      <w:bookmarkStart w:id="57" w:name="_Toc6931"/>
      <w:r>
        <w:rPr>
          <w:rFonts w:hint="default" w:ascii="Times New Roman" w:hAnsi="Times New Roman" w:eastAsia="仿宋_GB2312" w:cs="Times New Roman"/>
          <w:color w:val="auto"/>
          <w:lang w:val="en-US" w:eastAsia="zh-CN"/>
        </w:rPr>
        <w:t>1.对公借款未及时处理</w:t>
      </w:r>
      <w:bookmarkEnd w:id="57"/>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32"/>
          <w:lang w:val="en-US" w:eastAsia="zh-CN"/>
        </w:rPr>
        <w:t>查阅其它应付款科目余额表发现，站前路街道办事处2022年底存在应付城陵矶街道办事处30万元、王家河街道办事处20万元、郭镇乡30万元以及东茅岭街道办事处20万元，均为周转借款，合计100万元，上述借款形成于2022年以前，用途以及借款原因不详，长期挂账，处理不及时。</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lang w:val="en-US" w:eastAsia="zh-CN"/>
        </w:rPr>
      </w:pPr>
      <w:bookmarkStart w:id="58" w:name="_Toc22581"/>
      <w:r>
        <w:rPr>
          <w:rFonts w:hint="default" w:ascii="Times New Roman" w:hAnsi="Times New Roman" w:eastAsia="仿宋_GB2312" w:cs="Times New Roman"/>
          <w:color w:val="auto"/>
          <w:lang w:val="en-US" w:eastAsia="zh-CN"/>
        </w:rPr>
        <w:t>2.资产管理制度不健全</w:t>
      </w:r>
      <w:bookmarkEnd w:id="58"/>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Cs w:val="32"/>
          <w:lang w:val="en-US" w:eastAsia="zh-CN"/>
        </w:rPr>
        <w:t>经查阅制度建设内容，发现没有制定资产管理制度。此外，2022年没有盘点部门固定资产，无法评价固定资产帐实相符情况。</w:t>
      </w:r>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lang w:val="en-US" w:eastAsia="zh-CN"/>
        </w:rPr>
      </w:pPr>
      <w:bookmarkStart w:id="59" w:name="_Toc10211"/>
      <w:r>
        <w:rPr>
          <w:rFonts w:hint="eastAsia" w:ascii="楷体_GB2312" w:hAnsi="楷体_GB2312" w:eastAsia="楷体_GB2312" w:cs="楷体_GB2312"/>
          <w:b/>
          <w:bCs w:val="0"/>
          <w:color w:val="auto"/>
          <w:lang w:val="en-US" w:eastAsia="zh-CN"/>
        </w:rPr>
        <w:t>（三）重点工作落实问题</w:t>
      </w:r>
      <w:bookmarkEnd w:id="59"/>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lang w:val="en-US" w:eastAsia="zh-CN"/>
        </w:rPr>
      </w:pPr>
      <w:bookmarkStart w:id="60" w:name="_Toc22223"/>
      <w:r>
        <w:rPr>
          <w:rFonts w:hint="default" w:ascii="Times New Roman" w:hAnsi="Times New Roman" w:eastAsia="仿宋_GB2312" w:cs="Times New Roman"/>
          <w:color w:val="auto"/>
          <w:lang w:val="en-US" w:eastAsia="zh-CN"/>
        </w:rPr>
        <w:t>1.资金保障力度低</w:t>
      </w:r>
      <w:bookmarkEnd w:id="60"/>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岳阳楼区有两项重点工作：环卫和安全，街道办事处作为区政府的派出机构应认真贯彻落实。2022年预算信息显示，站前路街道办事处对上述两项重要工作未作预算安排。采取“边干边争取”的资金落实方式，这种方式资金保障力度弱。</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color w:val="auto"/>
          <w:lang w:val="en-US" w:eastAsia="zh-CN"/>
        </w:rPr>
      </w:pPr>
      <w:bookmarkStart w:id="61" w:name="_Toc5780"/>
      <w:r>
        <w:rPr>
          <w:rFonts w:hint="default" w:ascii="Times New Roman" w:hAnsi="Times New Roman" w:eastAsia="仿宋_GB2312" w:cs="Times New Roman"/>
          <w:color w:val="auto"/>
          <w:lang w:val="en-US" w:eastAsia="zh-CN"/>
        </w:rPr>
        <w:t>2.提质增效待加强</w:t>
      </w:r>
      <w:bookmarkEnd w:id="61"/>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kern w:val="2"/>
          <w:sz w:val="32"/>
          <w:szCs w:val="32"/>
          <w:lang w:val="en-US" w:eastAsia="zh-CN" w:bidi="ar-SA"/>
        </w:rPr>
        <w:t>环卫工作中生活垃圾分类工作已经取得示范成效，扩面有待加强。首先，2022年站前路街道办事处辖区内开展生活垃圾分类工作的社区未做到全覆盖，点状建设，没有形成扩面态势。其次，居民垃圾分类意识的提升不明显，导致垃圾分类设施的使用程度可能不高，影响资金的使用效益。</w:t>
      </w:r>
    </w:p>
    <w:p>
      <w:pPr>
        <w:pStyle w:val="2"/>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3" w:firstLineChars="200"/>
        <w:textAlignment w:val="auto"/>
        <w:rPr>
          <w:rFonts w:hint="default" w:ascii="Times New Roman" w:hAnsi="Times New Roman" w:eastAsia="黑体" w:cs="Times New Roman"/>
          <w:color w:val="auto"/>
          <w:sz w:val="32"/>
          <w:szCs w:val="32"/>
        </w:rPr>
      </w:pPr>
      <w:bookmarkStart w:id="62" w:name="_Toc15956"/>
      <w:r>
        <w:rPr>
          <w:rFonts w:hint="eastAsia" w:ascii="Times New Roman" w:hAnsi="Times New Roman" w:eastAsia="黑体" w:cs="Times New Roman"/>
          <w:b/>
          <w:color w:val="auto"/>
          <w:kern w:val="44"/>
          <w:sz w:val="32"/>
          <w:szCs w:val="32"/>
          <w:lang w:val="en-US" w:eastAsia="zh-CN" w:bidi="ar-SA"/>
        </w:rPr>
        <w:t>八、</w:t>
      </w:r>
      <w:r>
        <w:rPr>
          <w:rFonts w:hint="default" w:ascii="Times New Roman" w:hAnsi="Times New Roman" w:eastAsia="黑体" w:cs="Times New Roman"/>
          <w:color w:val="auto"/>
          <w:sz w:val="32"/>
          <w:szCs w:val="32"/>
        </w:rPr>
        <w:t>有关建议</w:t>
      </w:r>
      <w:bookmarkEnd w:id="62"/>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lang w:val="en-US" w:eastAsia="zh-CN"/>
        </w:rPr>
      </w:pPr>
      <w:bookmarkStart w:id="63" w:name="_Toc27611"/>
      <w:r>
        <w:rPr>
          <w:rFonts w:hint="eastAsia" w:ascii="楷体_GB2312" w:hAnsi="楷体_GB2312" w:eastAsia="楷体_GB2312" w:cs="楷体_GB2312"/>
          <w:b/>
          <w:bCs w:val="0"/>
          <w:color w:val="auto"/>
          <w:lang w:val="en-US" w:eastAsia="zh-CN"/>
        </w:rPr>
        <w:t>（一）计划与目标先行</w:t>
      </w:r>
      <w:bookmarkEnd w:id="63"/>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首先，建立工作计划制度，站前路街道办事处各个部门在整体年度工作计划下安排工作，整体工作计划衔接岳阳楼区的重点工作部署。其次，建立绩效目标制度，基于年度工作计划，制定年度绩效目标，提炼核心关键指标（特别是三级指标）。第三，基于工作计划和绩效目标，申请和安排预算资金，资金安排区分基本运转需求和重点工作保障。</w:t>
      </w:r>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楷体_GB2312" w:hAnsi="楷体_GB2312" w:eastAsia="楷体_GB2312" w:cs="楷体_GB2312"/>
          <w:b/>
          <w:bCs w:val="0"/>
          <w:color w:val="auto"/>
          <w:lang w:val="en-US" w:eastAsia="zh-CN"/>
        </w:rPr>
      </w:pPr>
      <w:bookmarkStart w:id="64" w:name="_Toc10018"/>
      <w:r>
        <w:rPr>
          <w:rFonts w:hint="eastAsia" w:ascii="楷体_GB2312" w:hAnsi="楷体_GB2312" w:eastAsia="楷体_GB2312" w:cs="楷体_GB2312"/>
          <w:b/>
          <w:bCs w:val="0"/>
          <w:color w:val="auto"/>
          <w:lang w:val="en-US" w:eastAsia="zh-CN"/>
        </w:rPr>
        <w:t>（二）清理借款与制度建设并重</w:t>
      </w:r>
      <w:bookmarkEnd w:id="64"/>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首先，对其它机关的借款要逐笔确认每笔借款的时间、用途、原因、经办人以及签署的借款文件等，形成一份详细台账。其次，采取多种方式分类处置，可以通过岳阳楼区财政局牵头（例如通过一笔周转资金）消除借贷双方的挂账问题，或者站前路街道办事处通过提供服务的方式向借款方偿还借款。再次，制定借款制度，严格借款程序，做到借款全过程留痕。</w:t>
      </w: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制定站前路街道办事处资产管理制度，内容包括资产标签、盘点细则、处置细则、绩效评价等，开展一次全面资产大盘点，处置变现闲置资产，回收资金，偿还借款。</w:t>
      </w:r>
    </w:p>
    <w:p>
      <w:pPr>
        <w:pStyle w:val="3"/>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楷体" w:cs="Times New Roman"/>
          <w:b/>
          <w:bCs w:val="0"/>
          <w:color w:val="auto"/>
          <w:lang w:val="en-US" w:eastAsia="zh-CN"/>
        </w:rPr>
      </w:pPr>
      <w:bookmarkStart w:id="65" w:name="_Toc21289"/>
      <w:r>
        <w:rPr>
          <w:rFonts w:hint="eastAsia" w:ascii="楷体_GB2312" w:hAnsi="楷体_GB2312" w:eastAsia="楷体_GB2312" w:cs="楷体_GB2312"/>
          <w:b/>
          <w:bCs w:val="0"/>
          <w:color w:val="auto"/>
          <w:lang w:val="en-US" w:eastAsia="zh-CN"/>
        </w:rPr>
        <w:t>（三）重点工作资金保障与效益提质</w:t>
      </w:r>
      <w:bookmarkEnd w:id="65"/>
    </w:p>
    <w:p>
      <w:pPr>
        <w:pStyle w:val="7"/>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明确年度重点工作内容、目标以及实施方案，优先安排关键工作资金，例如对于安全生产和环卫清扫的突出问题要着重安排资金予以保障。重点工作要求提质增效，生活垃圾分类工作资金投入可以从居民意识提升（制作和分发优质的垃圾分类宣传视频内容，利用现代移动互联网工具传播垃圾分类知识，投入上甚至可以代替线下的宣传基地建设投入）入手，通过提升行动，对于意识较好的社区优先配置垃圾分类设施，确保分类设施能够高效使用。</w:t>
      </w:r>
    </w:p>
    <w:p>
      <w:pPr>
        <w:pStyle w:val="11"/>
        <w:ind w:left="1260" w:leftChars="0" w:firstLine="420" w:firstLineChars="0"/>
        <w:rPr>
          <w:rFonts w:hint="eastAsia"/>
          <w:color w:val="auto"/>
          <w:lang w:val="en-US" w:eastAsia="zh-CN"/>
        </w:rPr>
      </w:pPr>
    </w:p>
    <w:p>
      <w:pPr>
        <w:pStyle w:val="11"/>
        <w:ind w:left="1260" w:leftChars="0" w:firstLine="420" w:firstLineChars="0"/>
        <w:rPr>
          <w:rFonts w:hint="eastAsia"/>
          <w:color w:val="auto"/>
          <w:lang w:val="en-US" w:eastAsia="zh-CN"/>
        </w:rPr>
      </w:pPr>
      <w:r>
        <w:rPr>
          <w:rFonts w:hint="eastAsia"/>
          <w:color w:val="auto"/>
          <w:lang w:val="en-US" w:eastAsia="zh-CN"/>
        </w:rPr>
        <w:t xml:space="preserve">  </w:t>
      </w:r>
    </w:p>
    <w:p>
      <w:pPr>
        <w:rPr>
          <w:rFonts w:hint="eastAsia"/>
          <w:color w:val="auto"/>
          <w:lang w:val="en-US" w:eastAsia="zh-CN"/>
        </w:rPr>
      </w:pPr>
    </w:p>
    <w:p>
      <w:pPr>
        <w:widowControl/>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岳阳楼区站前路街道办事处部门整体支出绩效评价指标体系评分表</w:t>
      </w:r>
    </w:p>
    <w:p>
      <w:pPr>
        <w:widowControl/>
        <w:numPr>
          <w:ilvl w:val="0"/>
          <w:numId w:val="0"/>
        </w:numPr>
        <w:spacing w:line="600" w:lineRule="exact"/>
        <w:jc w:val="left"/>
        <w:rPr>
          <w:rFonts w:hint="eastAsia" w:ascii="仿宋_GB2312" w:hAnsi="仿宋_GB2312" w:eastAsia="仿宋_GB2312" w:cs="仿宋_GB2312"/>
          <w:sz w:val="32"/>
          <w:szCs w:val="32"/>
          <w:lang w:val="en-US" w:eastAsia="zh-CN"/>
        </w:rPr>
      </w:pPr>
    </w:p>
    <w:p>
      <w:pPr>
        <w:widowControl/>
        <w:numPr>
          <w:ilvl w:val="0"/>
          <w:numId w:val="0"/>
        </w:numPr>
        <w:spacing w:line="600" w:lineRule="exact"/>
        <w:jc w:val="left"/>
        <w:rPr>
          <w:rFonts w:hint="default" w:ascii="Times New Roman" w:hAnsi="Times New Roman" w:eastAsia="仿宋_GB2312" w:cs="Times New Roman"/>
          <w:sz w:val="32"/>
          <w:szCs w:val="32"/>
          <w:lang w:val="en-US" w:eastAsia="zh-CN"/>
        </w:rPr>
      </w:pPr>
      <w:bookmarkStart w:id="66" w:name="_GoBack"/>
      <w:bookmarkEnd w:id="66"/>
    </w:p>
    <w:p>
      <w:pPr>
        <w:pStyle w:val="24"/>
        <w:ind w:firstLine="3200" w:firstLineChars="1000"/>
        <w:jc w:val="both"/>
        <w:rPr>
          <w:rFonts w:hint="eastAsia" w:ascii="Times New Roman" w:hAnsi="Times New Roman" w:eastAsia="仿宋_GB2312" w:cs="Times New Roman"/>
          <w:kern w:val="2"/>
          <w:sz w:val="32"/>
          <w:szCs w:val="32"/>
          <w:lang w:val="en-US" w:eastAsia="zh-CN" w:bidi="zh-CN"/>
        </w:rPr>
      </w:pPr>
      <w:r>
        <w:rPr>
          <w:rFonts w:hint="eastAsia" w:ascii="Times New Roman" w:hAnsi="Times New Roman" w:eastAsia="仿宋_GB2312" w:cs="Times New Roman"/>
          <w:kern w:val="2"/>
          <w:sz w:val="32"/>
          <w:szCs w:val="32"/>
          <w:lang w:val="en-US" w:eastAsia="zh-CN" w:bidi="zh-CN"/>
        </w:rPr>
        <w:t>中政智信（北京）经济咨询有限公司</w:t>
      </w:r>
    </w:p>
    <w:p>
      <w:pPr>
        <w:pStyle w:val="24"/>
        <w:ind w:firstLine="4800" w:firstLineChars="1500"/>
        <w:jc w:val="both"/>
        <w:rPr>
          <w:rFonts w:hint="eastAsia" w:ascii="Times New Roman" w:hAnsi="Times New Roman" w:eastAsia="仿宋_GB2312" w:cs="Times New Roman"/>
          <w:kern w:val="2"/>
          <w:sz w:val="32"/>
          <w:szCs w:val="32"/>
          <w:lang w:val="en-US" w:eastAsia="zh-CN" w:bidi="zh-CN"/>
        </w:rPr>
      </w:pPr>
      <w:r>
        <w:rPr>
          <w:rFonts w:hint="default" w:ascii="Times New Roman" w:hAnsi="Times New Roman" w:eastAsia="仿宋" w:cs="Times New Roman"/>
          <w:sz w:val="32"/>
          <w:szCs w:val="32"/>
          <w:lang w:bidi="zh-CN"/>
        </w:rPr>
        <w:t>2023</w:t>
      </w:r>
      <w:r>
        <w:rPr>
          <w:rFonts w:hint="default" w:ascii="Times New Roman" w:hAnsi="Times New Roman" w:eastAsia="仿宋_GB2312" w:cs="Times New Roman"/>
          <w:kern w:val="2"/>
          <w:sz w:val="32"/>
          <w:szCs w:val="32"/>
          <w:lang w:val="en-US" w:eastAsia="zh-CN" w:bidi="zh-CN"/>
        </w:rPr>
        <w:t>年</w:t>
      </w:r>
      <w:r>
        <w:rPr>
          <w:rFonts w:hint="default" w:ascii="Times New Roman" w:hAnsi="Times New Roman" w:cs="Times New Roman"/>
          <w:kern w:val="2"/>
          <w:sz w:val="32"/>
          <w:szCs w:val="32"/>
          <w:lang w:val="en-US" w:eastAsia="zh-CN" w:bidi="zh-CN"/>
        </w:rPr>
        <w:t>10月</w:t>
      </w:r>
    </w:p>
    <w:p>
      <w:pPr>
        <w:widowControl/>
        <w:numPr>
          <w:ilvl w:val="0"/>
          <w:numId w:val="0"/>
        </w:numPr>
        <w:spacing w:line="600" w:lineRule="exact"/>
        <w:jc w:val="left"/>
        <w:rPr>
          <w:rFonts w:hint="default" w:ascii="Times New Roman" w:hAnsi="Times New Roman" w:eastAsia="仿宋_GB2312" w:cs="Times New Roman"/>
          <w:sz w:val="32"/>
          <w:szCs w:val="32"/>
          <w:lang w:val="en-US" w:eastAsia="zh-CN"/>
        </w:rPr>
      </w:pPr>
    </w:p>
    <w:p>
      <w:pPr>
        <w:widowControl/>
        <w:numPr>
          <w:ilvl w:val="0"/>
          <w:numId w:val="0"/>
        </w:numPr>
        <w:spacing w:line="600" w:lineRule="exact"/>
        <w:jc w:val="left"/>
        <w:rPr>
          <w:rFonts w:hint="default" w:ascii="Times New Roman" w:hAnsi="Times New Roman" w:eastAsia="仿宋_GB2312" w:cs="Times New Roman"/>
          <w:sz w:val="32"/>
          <w:szCs w:val="32"/>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Times New Roman" w:hAnsi="Times New Roman" w:eastAsia="仿宋_GB2312" w:cs="Times New Roman"/>
          <w:sz w:val="32"/>
          <w:szCs w:val="32"/>
          <w:lang w:val="en-US" w:eastAsia="zh-CN"/>
        </w:rPr>
        <w:t xml:space="preserve">   </w:t>
      </w:r>
    </w:p>
    <w:p>
      <w:pP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w:t>
      </w:r>
      <w:r>
        <w:rPr>
          <w:rFonts w:hint="default" w:ascii="Times New Roman" w:hAnsi="Times New Roman" w:eastAsia="仿宋" w:cs="Times New Roman"/>
          <w:b w:val="0"/>
          <w:bCs w:val="0"/>
          <w:color w:val="auto"/>
          <w:sz w:val="32"/>
          <w:szCs w:val="32"/>
          <w:lang w:val="en-US" w:eastAsia="zh-CN"/>
        </w:rPr>
        <w:t>1</w:t>
      </w:r>
      <w:r>
        <w:rPr>
          <w:rFonts w:hint="eastAsia" w:ascii="仿宋" w:hAnsi="仿宋" w:eastAsia="仿宋" w:cs="仿宋"/>
          <w:b/>
          <w:bCs/>
          <w:color w:val="auto"/>
          <w:sz w:val="32"/>
          <w:szCs w:val="32"/>
          <w:lang w:val="en-US" w:eastAsia="zh-CN"/>
        </w:rPr>
        <w:t>：        岳阳楼区站前路街道办事处部门整体支出绩效评价指标体系评分表</w:t>
      </w:r>
    </w:p>
    <w:p>
      <w:pPr>
        <w:pStyle w:val="11"/>
        <w:rPr>
          <w:rFonts w:hint="default"/>
          <w:color w:val="auto"/>
          <w:lang w:val="en-US" w:eastAsia="zh-CN"/>
        </w:rPr>
      </w:pPr>
    </w:p>
    <w:tbl>
      <w:tblPr>
        <w:tblStyle w:val="13"/>
        <w:tblW w:w="13973"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12"/>
        <w:gridCol w:w="1128"/>
        <w:gridCol w:w="1344"/>
        <w:gridCol w:w="3137"/>
        <w:gridCol w:w="3585"/>
        <w:gridCol w:w="689"/>
        <w:gridCol w:w="2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1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仿宋" w:cs="Times New Roman"/>
                <w:b/>
                <w:bCs/>
                <w:i w:val="0"/>
                <w:iCs w:val="0"/>
                <w:color w:val="auto"/>
                <w:kern w:val="0"/>
                <w:sz w:val="21"/>
                <w:szCs w:val="21"/>
                <w:u w:val="none"/>
                <w:lang w:val="en-US" w:eastAsia="zh-CN" w:bidi="ar"/>
              </w:rPr>
              <w:t>一级指标</w:t>
            </w:r>
          </w:p>
        </w:tc>
        <w:tc>
          <w:tcPr>
            <w:tcW w:w="112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仿宋" w:cs="Times New Roman"/>
                <w:b/>
                <w:bCs/>
                <w:i w:val="0"/>
                <w:iCs w:val="0"/>
                <w:color w:val="auto"/>
                <w:kern w:val="0"/>
                <w:sz w:val="21"/>
                <w:szCs w:val="21"/>
                <w:u w:val="none"/>
                <w:lang w:val="en-US" w:eastAsia="zh-CN" w:bidi="ar"/>
              </w:rPr>
              <w:t>二级指标</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仿宋" w:cs="Times New Roman"/>
                <w:b/>
                <w:bCs/>
                <w:i w:val="0"/>
                <w:iCs w:val="0"/>
                <w:color w:val="auto"/>
                <w:kern w:val="0"/>
                <w:sz w:val="21"/>
                <w:szCs w:val="21"/>
                <w:u w:val="none"/>
                <w:lang w:val="en-US" w:eastAsia="zh-CN" w:bidi="ar"/>
              </w:rPr>
              <w:t>三级指标</w:t>
            </w:r>
          </w:p>
        </w:tc>
        <w:tc>
          <w:tcPr>
            <w:tcW w:w="31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仿宋" w:cs="Times New Roman"/>
                <w:b/>
                <w:bCs/>
                <w:i w:val="0"/>
                <w:iCs w:val="0"/>
                <w:color w:val="auto"/>
                <w:kern w:val="0"/>
                <w:sz w:val="21"/>
                <w:szCs w:val="21"/>
                <w:u w:val="none"/>
                <w:lang w:val="en-US" w:eastAsia="zh-CN" w:bidi="ar"/>
              </w:rPr>
              <w:t>指标解释</w:t>
            </w:r>
          </w:p>
        </w:tc>
        <w:tc>
          <w:tcPr>
            <w:tcW w:w="358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仿宋" w:cs="Times New Roman"/>
                <w:b/>
                <w:bCs/>
                <w:i w:val="0"/>
                <w:iCs w:val="0"/>
                <w:color w:val="auto"/>
                <w:kern w:val="0"/>
                <w:sz w:val="21"/>
                <w:szCs w:val="21"/>
                <w:u w:val="none"/>
                <w:lang w:val="en-US" w:eastAsia="zh-CN" w:bidi="ar"/>
              </w:rPr>
              <w:t>评分标准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仿宋" w:cs="Times New Roman"/>
                <w:b/>
                <w:bCs/>
                <w:i w:val="0"/>
                <w:iCs w:val="0"/>
                <w:color w:val="auto"/>
                <w:kern w:val="0"/>
                <w:sz w:val="21"/>
                <w:szCs w:val="21"/>
                <w:u w:val="none"/>
                <w:lang w:val="en-US" w:eastAsia="zh-CN" w:bidi="ar"/>
              </w:rPr>
              <w:t>得分</w:t>
            </w:r>
          </w:p>
        </w:tc>
        <w:tc>
          <w:tcPr>
            <w:tcW w:w="297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仿宋" w:cs="Times New Roman"/>
                <w:b/>
                <w:bCs/>
                <w:i w:val="0"/>
                <w:iCs w:val="0"/>
                <w:color w:val="auto"/>
                <w:kern w:val="0"/>
                <w:sz w:val="21"/>
                <w:szCs w:val="21"/>
                <w:u w:val="none"/>
                <w:lang w:val="en-US" w:eastAsia="zh-CN" w:bidi="ar"/>
              </w:rPr>
              <w:t>得分或者扣分依据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投入</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（10分）</w:t>
            </w:r>
          </w:p>
        </w:tc>
        <w:tc>
          <w:tcPr>
            <w:tcW w:w="112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目标设定（2分）</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绩效目标</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合理性</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部门设立的整体绩效目标依据是否充分，是否符合客观实际，用以反映和考核部门整体绩效目标与部门履职、年度工作任务的相符性情况。</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设定的绩效目标符合国家法律法规和国家总体规划、部门职责、部门中长期实施规划，得1分，不符合任何一项或未编制绩效目标表，不得分。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0</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由于预算公开信息表中，部门整体支出绩效目标表只有一级和二级共性指标，缺失三级指标，视同未编制绩效目标表，因此扣1分。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绩效指标</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明确性</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部门依据整体绩效目标所设定的绩效指标是否清晰、细化、可衡量，用以反映和考核部门整体绩效目标的明细化情况。</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设定的绩效目标已细化分解为具体工作任务且通过清晰、可衡量的指标值予以体现，得1分，不符合任何一项或未编制绩效目标表，不得分。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0</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部门整体支出绩效目标表只有一级和二级共性指标，缺失三级指标，未细化分解为具体工作任务，亦未设定清晰、可衡量的指标值，因此扣1分。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预算配置（8分）</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在职人员</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控制率</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部门本年度实际在职人员数与编制数的比率，用以反映和考核部门对人员成本的控制程度。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在职人员控制率=（在职人员数/编制数）×100%≤100%，得2分，每超过一个百分点扣0.5分。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在职人员中拥有行政编制的人数为18人，事业编制36人，编制数为54人，在职人员控制率为100%。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6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“三公经</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费“变动率</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部门本年度“三公经费”预算数与上年度“三公经费”预算数的变动比率，用以反映和考核部门对控制重点行政成本的努力程度。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三公经费”变动率=（本年度“三公经费”总额-上年度“三公经费”总额）/上年度“三公经费”总额×100%。“三公经费”变动率≤0，得3分，0&lt;“三公经费”变动率≤5%，得2分；5%&lt;“三公经费”变动率≤10%，得1分；10%&lt;“三公经费”变动率，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2022年度“三公经费”总额为8.44万元，2021年为11.34万元，2022年“三公经费”下降25.57%。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重点支出</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安排率</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部门本年度安排的重点支出与部门总支出的比率，用以反映和考核部门对履行主要职责或完成重点任务的保障程度。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重点支出安排率≥60%，得3分；40%≤重点支出安排率&lt;60%，得2分；20%≤重点支出安排率&lt;40%，得1分；重点支出安排率&lt;20%，不得分。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2022年除保障运转的工资福利支出以外，部门重点支出为安全生产支出以及环卫支出。安全生产支出包括疫情防控支出73.97万元、控建拆违工作经费34.90万元、泰和市场整治经费和泰和市场消防安全整治经费90.43万元。城管环卫资金为633.71万元。重点支出安排率为41.11%。根据评分标准，本项指标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trPr>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过程</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（20分）</w:t>
            </w:r>
          </w:p>
        </w:tc>
        <w:tc>
          <w:tcPr>
            <w:tcW w:w="112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预算执行（</w:t>
            </w:r>
            <w:r>
              <w:rPr>
                <w:rFonts w:hint="eastAsia" w:ascii="Times New Roman" w:hAnsi="Times New Roman" w:eastAsia="仿宋" w:cs="Times New Roman"/>
                <w:i w:val="0"/>
                <w:iCs w:val="0"/>
                <w:color w:val="auto"/>
                <w:kern w:val="0"/>
                <w:sz w:val="21"/>
                <w:szCs w:val="21"/>
                <w:u w:val="none"/>
                <w:lang w:val="en-US" w:eastAsia="zh-CN" w:bidi="ar"/>
              </w:rPr>
              <w:t>8</w:t>
            </w:r>
            <w:r>
              <w:rPr>
                <w:rFonts w:hint="default" w:ascii="Times New Roman" w:hAnsi="Times New Roman" w:eastAsia="仿宋" w:cs="Times New Roman"/>
                <w:i w:val="0"/>
                <w:iCs w:val="0"/>
                <w:color w:val="auto"/>
                <w:kern w:val="0"/>
                <w:sz w:val="21"/>
                <w:szCs w:val="21"/>
                <w:u w:val="none"/>
                <w:lang w:val="en-US" w:eastAsia="zh-CN" w:bidi="ar"/>
              </w:rPr>
              <w:t>分）</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b w:val="0"/>
                <w:bCs w:val="0"/>
                <w:i w:val="0"/>
                <w:iCs w:val="0"/>
                <w:color w:val="auto"/>
                <w:kern w:val="0"/>
                <w:sz w:val="21"/>
                <w:szCs w:val="21"/>
                <w:u w:val="none"/>
                <w:lang w:val="en-US" w:eastAsia="zh-CN" w:bidi="ar"/>
              </w:rPr>
              <w:t>预算执行率（</w:t>
            </w:r>
            <w:r>
              <w:rPr>
                <w:rFonts w:hint="eastAsia" w:ascii="Times New Roman" w:hAnsi="Times New Roman" w:eastAsia="仿宋" w:cs="Times New Roman"/>
                <w:b w:val="0"/>
                <w:bCs w:val="0"/>
                <w:i w:val="0"/>
                <w:iCs w:val="0"/>
                <w:color w:val="auto"/>
                <w:kern w:val="0"/>
                <w:sz w:val="21"/>
                <w:szCs w:val="21"/>
                <w:u w:val="none"/>
                <w:lang w:val="en-US" w:eastAsia="zh-CN" w:bidi="ar"/>
              </w:rPr>
              <w:t>2</w:t>
            </w:r>
            <w:r>
              <w:rPr>
                <w:rFonts w:hint="default" w:ascii="Times New Roman" w:hAnsi="Times New Roman" w:eastAsia="仿宋" w:cs="Times New Roman"/>
                <w:b w:val="0"/>
                <w:bCs w:val="0"/>
                <w:i w:val="0"/>
                <w:iCs w:val="0"/>
                <w:color w:val="auto"/>
                <w:kern w:val="0"/>
                <w:sz w:val="21"/>
                <w:szCs w:val="21"/>
                <w:u w:val="none"/>
                <w:lang w:val="en-US" w:eastAsia="zh-CN" w:bidi="ar"/>
              </w:rPr>
              <w:t>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部门本年度预算完成数与预算数的比率，用以反映和考核部门预算完成程度。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预算执行率=预算执行数/财政批复预算数×100%。</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预算执行率≥100%，得2分；95≤预算执行率&lt;100%，得1分；90≤预算执行率&lt;95%，得0.5分。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预算支出执行数为2,026.12万元，年初批复预算数为866.63万元，预算支出执行率为233.79%。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支付进度率（1分）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部门年度支付数与年度预算（调整）数的比率，用以反映和评价部门预算执行的及时和均衡程度。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支付进度率=部门年度支付数÷（上年结余结转+本年部门预算安排+全年执行中追加追减+向上级部门争资争项资金）×100%。</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98%≤支付进度率，得1分；90%≤支付进度率&lt;98%，得0.5分；支付进度率&lt;90%，不得分。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上年结余结转22.33万元，加上年初预算以及追加追减和争资争项资金合计2048.44万元，年度支付数为2,026.11万元，支付进度率为98.91%。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公用经费</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控制率</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部门本年度实际支出的公用经费总额与预算安排的公用经费总额的比率，用以反映和考核部门对机构运转成本的实际控制程度。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公用经费控制率=实际支出公用经费总额/预算安排公用经费总额×100%。</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公用经费控制率≤100%，得2分；100%&lt;公用经费控制率≤105%，得1分；105%&lt;公用经费控制率，不得分。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0</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公用经费控制方面，2022年部门整体支出中公用经费为156.32万元，年初预算支出安排公用经费为97.20万元，公用经费控制率为160.82%，根据评分标准，本项指标扣2分。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“三公经费”控制率（2分）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部门本年度“三公经费”实际支出数与预算安排数的比率，用以反映和考核部门对“三公经费”的实际控制程度。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“三公经费”控制率=“三公经费”实际支出数/“三公经费”预算安排数×100%。</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“三公经费”控制率≤100%，得2分；100%&lt;“三公经费”控制率≤105%，得1分；105%&lt;“三公经费”控制率，得0分。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2022年“三公经费”实际支出为8.44万元，“三公经费”预算安排24万元，“三公经费”控制率为35.17%。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政府采购</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执行率</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部门本年度实际政府采购金额与年初政府采购预算的比率，用以反映和考核部门政府采购预算执行情况。</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政府采购执行率=实际政府采购金额/政府采购预算数×100%。</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政府采购执行率=100%，得1分；100%≤政府采购执行率&lt;105%,得0.5分；105%&lt;政府采购执行率，不得分。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0</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Style w:val="22"/>
                <w:rFonts w:hint="default" w:ascii="Times New Roman" w:hAnsi="Times New Roman" w:eastAsia="仿宋" w:cs="Times New Roman"/>
                <w:color w:val="auto"/>
                <w:sz w:val="21"/>
                <w:szCs w:val="21"/>
                <w:lang w:val="en-US" w:eastAsia="zh-CN" w:bidi="ar"/>
              </w:rPr>
              <w:t>2022年政府采购预算数为132.20万元，其中工程类65万元，货物类26.20万元，服务类41万元，</w:t>
            </w:r>
            <w:r>
              <w:rPr>
                <w:rStyle w:val="23"/>
                <w:rFonts w:hint="default" w:ascii="Times New Roman" w:hAnsi="Times New Roman" w:eastAsia="仿宋" w:cs="Times New Roman"/>
                <w:color w:val="auto"/>
                <w:sz w:val="21"/>
                <w:szCs w:val="21"/>
                <w:lang w:val="en-US" w:eastAsia="zh-CN" w:bidi="ar"/>
              </w:rPr>
              <w:t>实际政府采购金额为329.79万元，政府采购执行率为249.46%，根据评分标准，本项指标扣1分。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预算管理（</w:t>
            </w:r>
            <w:r>
              <w:rPr>
                <w:rFonts w:hint="eastAsia" w:ascii="Times New Roman" w:hAnsi="Times New Roman" w:eastAsia="仿宋" w:cs="Times New Roman"/>
                <w:i w:val="0"/>
                <w:iCs w:val="0"/>
                <w:color w:val="auto"/>
                <w:kern w:val="0"/>
                <w:sz w:val="21"/>
                <w:szCs w:val="21"/>
                <w:u w:val="none"/>
                <w:lang w:val="en-US" w:eastAsia="zh-CN" w:bidi="ar"/>
              </w:rPr>
              <w:t>9</w:t>
            </w:r>
            <w:r>
              <w:rPr>
                <w:rFonts w:hint="default" w:ascii="Times New Roman" w:hAnsi="Times New Roman" w:eastAsia="仿宋" w:cs="Times New Roman"/>
                <w:i w:val="0"/>
                <w:iCs w:val="0"/>
                <w:color w:val="auto"/>
                <w:kern w:val="0"/>
                <w:sz w:val="21"/>
                <w:szCs w:val="21"/>
                <w:u w:val="none"/>
                <w:lang w:val="en-US" w:eastAsia="zh-CN" w:bidi="ar"/>
              </w:rPr>
              <w:t>分）</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管理制度</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健全性</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部门为加强预算管理、规范财务行为而制定的管理制度是否健全完整，用以反映和考核部门预算管理制度对完成主要职责或促进事业发展的保障情况。</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已制定或具有预算资金管理办法、内部财务管理制度、会计核算制度等管理制度，且合法、合规、完整，得2分，其他情况不得分。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w:t>
            </w:r>
          </w:p>
        </w:tc>
        <w:tc>
          <w:tcPr>
            <w:tcW w:w="2978"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已制定内部会计控制制度、预算管理制度、日常财务管理制度、财政专项资金使用管理制度、现金管理制度等制度规范，且合法、合规、完整。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资金使用合规性（4分）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部门使用预算资金是否符合相关的预算财务管理制度的规定，用以反映和考核部门预算资金的规范运行情况。</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符合预算支出管理办法的规定，有完整的审批程序和手续，已经过评估论证，符合预算批复的用途，且不存在截留、挤占、挪用、虚列支出等情形，得2分，其他情况不得分。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经查询支付所附凭证以及审批资料，支出事项符合预算支出管理相关规定，有完整的审批程序和手续，经过预算评审，符合批复用途，不存在截留、挤占、挪用、虚列支出等情形。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基础信息完善性（3分）</w:t>
            </w:r>
          </w:p>
        </w:tc>
        <w:tc>
          <w:tcPr>
            <w:tcW w:w="3137"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部门基础信息是否完善，用以反映和考核基础信息对预算管理工作的支撑情况。</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基础数据信息和会计信息资料真实、准确、完整，得3分，其他情况不得分。</w:t>
            </w:r>
          </w:p>
        </w:tc>
        <w:tc>
          <w:tcPr>
            <w:tcW w:w="68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经查阅的预决算信息、财务科目余额表，会计报表等预决算和财务信息真实、准确、完整。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资产管理（3分）</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监管制度</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健全性</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部门为加强资产监管、规范资产管理行为而制定的监管制度是否健全完整，用以反映和考核部门资产监管制度对完成主要职责或促进社会发展的保障情况。</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已制定或具有资产监管制度，且合法、合规、完整，得1分，其他情况不得分。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0</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经查阅站前路街道办事处制度建设内容，没有专门制定资产监管制度，根据评分标准，本性指标扣1分。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资产管理</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安全性</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部门的资产是否保存完整、使用合规、配置合理、处置规范、收入及时足额上缴，用以反映和考核部门资产安全运行情况。</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资产保存完整，配置合理，处置规范，账务处理合规，帐实相符，得1分，其他情况不得分。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0</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经过访谈发现，2022年没有盘点部门固定资产状况，且没有定期盘点制度，无法评价固定资产真实情况，根据评分标准，本项指标扣1分。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固定资产</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利用率</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部门实际在用固定资产总额与所有固定资产总额的比率，用以反映和考核部门固定资产使用效率程度。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固定资产利用率=（实际在用固定资产总额/所有固定资产总额）×100%。</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80%≤固定资产利用率，得1分；70%≤固定资产利用率&lt;80%，得0.5分；固定资产利用率&lt;70%，得0分。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2022年底固定资产净值为735.88万元，原值为870.58万元，固定资产利用率为84.53%。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40" w:hRule="atLeast"/>
        </w:trPr>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产出</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（30分）</w:t>
            </w:r>
          </w:p>
        </w:tc>
        <w:tc>
          <w:tcPr>
            <w:tcW w:w="112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职责履行（30分）</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环境整治</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完成率</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（6分）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部门履行环境整治实际完成工作数与计划工作数的比率，用以反映和考核部门履职环境整治完成程度。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环境整治完成率=环境整治实际完成工作数/计划工作数×100%。</w:t>
            </w:r>
          </w:p>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100%≤环境整治完成率，得6分；85%≤环境整治完成率&lt;100%，得5分；70%≤环境整治完成率&lt;85%，得4分；环境整治完成率&lt;70%，得3分。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Times New Roman" w:hAnsi="Times New Roman" w:eastAsia="仿宋" w:cs="Times New Roman"/>
                <w:i w:val="0"/>
                <w:iCs w:val="0"/>
                <w:color w:val="auto"/>
                <w:kern w:val="0"/>
                <w:sz w:val="21"/>
                <w:szCs w:val="21"/>
                <w:u w:val="none"/>
                <w:lang w:val="en-US" w:eastAsia="zh-CN" w:bidi="ar"/>
              </w:rPr>
              <w:t>5</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站前路街道办事处所辖区域为岳阳市火车站等重点商圈，环境整治工作繁重，环境整治工作三大类（卫生、市容以及市貌）完成进度为90%。根据评分标准，本项指标扣1分。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旧改拆违</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完成率</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（6分）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部门履行旧改拆违实际完成工作数与计划工作数的比率，用以反映和考核部门履职旧改拆违完成程度。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旧改拆违完成率=旧改拆违实际完成工作数/计划工作数×100%。</w:t>
            </w:r>
          </w:p>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100%≤旧改拆违完成率，得6分；85%≤旧改拆违完成率&lt;100%，得5分；70%≤旧改拆违完成率&lt;85%，得4分；旧改拆违完成率70%，得3分。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Times New Roman" w:hAnsi="Times New Roman" w:eastAsia="仿宋" w:cs="Times New Roman"/>
                <w:i w:val="0"/>
                <w:iCs w:val="0"/>
                <w:color w:val="auto"/>
                <w:kern w:val="0"/>
                <w:sz w:val="21"/>
                <w:szCs w:val="21"/>
                <w:u w:val="none"/>
                <w:lang w:val="en-US" w:eastAsia="zh-CN" w:bidi="ar"/>
              </w:rPr>
              <w:t>5</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旧改拆违工作计划数为600处，实际完成537处，旧改拆违完成率为89.50%。根据评分标准，</w:t>
            </w:r>
            <w:r>
              <w:rPr>
                <w:rFonts w:hint="default" w:ascii="Times New Roman" w:hAnsi="Times New Roman" w:eastAsia="仿宋" w:cs="Times New Roman"/>
                <w:b w:val="0"/>
                <w:bCs w:val="0"/>
                <w:i w:val="0"/>
                <w:iCs w:val="0"/>
                <w:color w:val="auto"/>
                <w:kern w:val="0"/>
                <w:sz w:val="21"/>
                <w:szCs w:val="21"/>
                <w:u w:val="none"/>
                <w:lang w:val="en-US" w:eastAsia="zh-CN" w:bidi="ar"/>
              </w:rPr>
              <w:t>本项指标扣1分。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工资支付</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及时性</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部门在规定时限内及时支付环卫工人工资,用以反映和考核部门履职环境整治目标的保障程度。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按时足够支付，得3分；足额基本按时支付，得2分；其他情况不得分。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每月15日之前发放环卫工人工资，月平均支付36.97万元，按月及时足额发放。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旧改拆违</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投诉率</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（3分）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部门在旧改拆违工作中处理服务对象的投诉，用以反映和考核部门履职旧改拆违的合法性与合理性。</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没有投诉和行政争议，得3分；有投诉但及时合理处理，得2分，有投诉不处理，引发行政争议案件，不得分。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12345接诉后2日内处理，2022年岳阳楼区司法局，共办理行政复议案件94件（办结72件），未查询到因旧改拆违引发的行政复议案件。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重点工作</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办结情况</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（8分）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部门推进泰和市场群安全隐患整治工作进度，用以反映部门履职安全隐患整治的落实程度。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按计划推进实现既定目标，得8分；调整计划，稳定推进，基本实现既定目标，得4分；较为滞后计划进度，未实现既定目标，得2分；严重滞后进度计划，不得分。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8</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推进泰和市场群区域性消防安全隐患整治，拆除违建棚亭、独立门店、大型广告牌及招牌等存量违法建设225处1.5万余平方米，铺设消防管道656米，增设修复消防栓5处，完成675家门店33511平方米建筑面积的自动消防设施增设工作，市场内突出消防安全隐患问题得到有效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2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重点工作</w:t>
            </w: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成本控制</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（4分）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部门控制泰和市场群安全隐患整治支出，用以反映部门履职安全隐患整治成本控制力度。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有效控制，得4分；基本控制，得3分，严重超支或浪费，不得分。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泰和市场群整治效果主要开支有办公室费用、交警拖车费用、食堂及周末加班用餐费用、大宣传大排查、加班补助等费用，2022年支出90.43万元（不含预付的100万元工程款）。资金预算申请以及费用报销控制总体有效，调研发现加班报销餐费较多，可能存在不合理报销情况。根据评分标准，本项指标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60" w:hRule="atLeast"/>
        </w:trPr>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效果</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（40分）</w:t>
            </w:r>
          </w:p>
        </w:tc>
        <w:tc>
          <w:tcPr>
            <w:tcW w:w="112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履职效益（40分）</w:t>
            </w: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营商环境</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优化</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（6分）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部门履职促进辖区内企业发展，优化营商环境，增加税收来源的效果。</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营商环境显著优化，得6分；营商环境一般优化，得5分；营商环境没有变化，得4分。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Times New Roman" w:hAnsi="Times New Roman" w:eastAsia="仿宋" w:cs="Times New Roman"/>
                <w:i w:val="0"/>
                <w:iCs w:val="0"/>
                <w:color w:val="auto"/>
                <w:kern w:val="0"/>
                <w:sz w:val="21"/>
                <w:szCs w:val="21"/>
                <w:u w:val="none"/>
                <w:lang w:val="en-US" w:eastAsia="zh-CN" w:bidi="ar"/>
              </w:rPr>
              <w:t>5</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通过大力宣传税收优惠政策，走访企业（210家），发放《惠企政策汇编》（300余本），开展“迎老乡、回家乡”活动，扶持和鼓励辖区企业发展。已完成“四上”企业申报5家（2021年申报7家），完成各项税收1.13亿元。总体评价，营商环境优化有一定成效，但效果不显著，根据评分标准，本项指标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辖区安全</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防控</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（10分）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部门履职辖区安全风险是否有效防控，用以反映部门履职安全生产风险防控取得的效果。</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辖区安全生产风险明显著降低，10分；安全防控取得一定成效，得8分；防控举措有力，但成效一般，得6分；未采取有效举措，得4分；不作为，不得分。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10</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通过实施数据摸排、“扫楼扫街”行动、全员核酸检测、区域核酸检测等防控举措，取得良好成效，受到市、区防指高度肯定和通报表扬；通过拆除违建棚亭、独立门店、大型广告牌及招牌等存量违法建设，泰和市场群突出消防安全隐患问题得到有效治理，区域火灾风险大幅降低，市安委会对整治工作进行专门通报表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8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落实社会</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保障</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（6分）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部门履职辖区内弱势群体是否得到及时救助，用以反映部门履职弱势群体社会保障方面的落实情况。</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弱势群体得到及时且有效救助，得6分；及时帮扶但救助效果一般，得5分；虽不及时但救助效果较好，得4分；既不及时救助效果也不好，不得分。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Times New Roman" w:hAnsi="Times New Roman" w:eastAsia="仿宋" w:cs="Times New Roman"/>
                <w:i w:val="0"/>
                <w:iCs w:val="0"/>
                <w:color w:val="auto"/>
                <w:kern w:val="0"/>
                <w:sz w:val="21"/>
                <w:szCs w:val="21"/>
                <w:u w:val="none"/>
                <w:lang w:val="en-US" w:eastAsia="zh-CN" w:bidi="ar"/>
              </w:rPr>
              <w:t>5</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全面摸排、精准动态调整低保户27户、新增10户、提标67户。公平公正开展困难群众节日慰问，慰问资金15万元，应救尽救149户特困户。推荐就业岗位833个，新增就业728人。发放严重精神障碍患者看护费21人。申报医疗救助30人。慰问优抚困难退役军人65人。由于保障面广，所需资金较多，地方财力有限，社会保障力度弱，整体上及时开展救助，但效果一般，因此本项指标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0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default" w:ascii="Times New Roman" w:hAnsi="Times New Roman" w:eastAsia="仿宋" w:cs="Times New Roman"/>
                <w:i w:val="0"/>
                <w:iCs w:val="0"/>
                <w:color w:val="auto"/>
                <w:kern w:val="0"/>
                <w:sz w:val="21"/>
                <w:szCs w:val="21"/>
                <w:u w:val="none"/>
                <w:lang w:val="en-US" w:eastAsia="zh-CN" w:bidi="ar"/>
              </w:rPr>
              <w:t>环卫质量</w:t>
            </w:r>
          </w:p>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提升</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（8分）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部门履职是否改善提升环境卫生质量，用以反映部门履职提升生态效益方面的提升效果。</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通过环卫治脏行动和开展垃圾分类工作，环卫质量显著提升，得8分；环卫质量提升效果一般，得6分；环卫质量没有变化，得4分；环卫质量下降，得2分；环卫质量恶化，不得分。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6</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环卫质量提升行动持续推进，生活垃圾分类试点工作获得省市区认可，但受社区人口密集，路面狭窄以及拆违工作等因素影响，生活垃圾分类工作尚未在辖区全部社区推广，且居民垃圾分类意识提升不显著，因此环卫质量提升效果实质不够显著，因此本项指标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trPr>
        <w:tc>
          <w:tcPr>
            <w:tcW w:w="1112"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128" w:type="dxa"/>
            <w:vMerge w:val="continue"/>
            <w:tcBorders>
              <w:tl2br w:val="nil"/>
              <w:tr2bl w:val="nil"/>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34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居民满意度</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t>（10分）</w:t>
            </w:r>
          </w:p>
        </w:tc>
        <w:tc>
          <w:tcPr>
            <w:tcW w:w="3137"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部门履职情况是否为居民所认可，反映居民对部门履职社会管理和服务的满意程度。</w:t>
            </w:r>
          </w:p>
        </w:tc>
        <w:tc>
          <w:tcPr>
            <w:tcW w:w="3585"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98%≤居民满意度，得10分；90%≤居民满意度&lt;98%,得8分；85%≤居民满意度&lt;90%，得6分；80%≤居民满意度&lt;85%，得4分；75%≤居民满意度&lt;80%，得2分。</w:t>
            </w:r>
          </w:p>
        </w:tc>
        <w:tc>
          <w:tcPr>
            <w:tcW w:w="68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8</w:t>
            </w:r>
          </w:p>
        </w:tc>
        <w:tc>
          <w:tcPr>
            <w:tcW w:w="2978"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通过发放问卷调查，回收172份有效问卷。通过分析和整理，居民对站前路街道办事处各项工作的满意度为97.38%。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10306" w:type="dxa"/>
            <w:gridSpan w:val="5"/>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合计</w:t>
            </w:r>
          </w:p>
        </w:tc>
        <w:tc>
          <w:tcPr>
            <w:tcW w:w="68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lang w:val="en-US"/>
              </w:rPr>
            </w:pPr>
            <w:r>
              <w:rPr>
                <w:rFonts w:hint="eastAsia" w:ascii="Times New Roman" w:hAnsi="Times New Roman" w:eastAsia="仿宋" w:cs="Times New Roman"/>
                <w:b/>
                <w:bCs/>
                <w:i w:val="0"/>
                <w:iCs w:val="0"/>
                <w:color w:val="auto"/>
                <w:kern w:val="0"/>
                <w:sz w:val="21"/>
                <w:szCs w:val="21"/>
                <w:u w:val="none"/>
                <w:lang w:val="en-US" w:eastAsia="zh-CN" w:bidi="ar"/>
              </w:rPr>
              <w:t>83</w:t>
            </w:r>
          </w:p>
        </w:tc>
        <w:tc>
          <w:tcPr>
            <w:tcW w:w="2978" w:type="dxa"/>
            <w:tcBorders>
              <w:tl2br w:val="nil"/>
              <w:tr2bl w:val="nil"/>
            </w:tcBorders>
            <w:shd w:val="clear" w:color="auto" w:fill="auto"/>
            <w:noWrap/>
            <w:vAlign w:val="center"/>
          </w:tcPr>
          <w:p>
            <w:pPr>
              <w:rPr>
                <w:rFonts w:hint="default" w:ascii="Times New Roman" w:hAnsi="Times New Roman" w:eastAsia="仿宋" w:cs="Times New Roman"/>
                <w:i w:val="0"/>
                <w:iCs w:val="0"/>
                <w:color w:val="auto"/>
                <w:sz w:val="21"/>
                <w:szCs w:val="21"/>
                <w:u w:val="none"/>
              </w:rPr>
            </w:pPr>
          </w:p>
        </w:tc>
      </w:tr>
    </w:tbl>
    <w:p>
      <w:pPr>
        <w:rPr>
          <w:rFonts w:hint="default"/>
          <w:color w:val="auto"/>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4F0A13-7A40-4214-9BFB-2E15F46B60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w:altName w:val="Cambria"/>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2" w:fontKey="{8AA51EFE-83C3-4921-88E9-DDFAF85CAE62}"/>
  </w:font>
  <w:font w:name="方正仿宋简体">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C6F35EE1-6EA8-4AB4-A520-2E0D983257D9}"/>
  </w:font>
  <w:font w:name="方正小标宋_GBK">
    <w:panose1 w:val="02000000000000000000"/>
    <w:charset w:val="86"/>
    <w:family w:val="script"/>
    <w:pitch w:val="default"/>
    <w:sig w:usb0="A00002BF" w:usb1="38CF7CFA" w:usb2="00082016" w:usb3="00000000" w:csb0="00040001" w:csb1="00000000"/>
    <w:embedRegular r:id="rId4" w:fontKey="{CE52B72F-2CBA-4D22-B074-9BB4C381CAD6}"/>
  </w:font>
  <w:font w:name="楷体">
    <w:panose1 w:val="02010609060101010101"/>
    <w:charset w:val="86"/>
    <w:family w:val="modern"/>
    <w:pitch w:val="default"/>
    <w:sig w:usb0="800002BF" w:usb1="38CF7CFA" w:usb2="00000016" w:usb3="00000000" w:csb0="00040001" w:csb1="00000000"/>
    <w:embedRegular r:id="rId5" w:fontKey="{63F1A4C0-D321-4E0A-8C19-DAF5E4B7F742}"/>
  </w:font>
  <w:font w:name="Cambria">
    <w:panose1 w:val="02040503050406030204"/>
    <w:charset w:val="00"/>
    <w:family w:val="auto"/>
    <w:pitch w:val="default"/>
    <w:sig w:usb0="E00006FF" w:usb1="420024FF" w:usb2="02000000" w:usb3="00000000" w:csb0="2000019F" w:csb1="00000000"/>
  </w:font>
  <w:font w:name="微软雅黑 Light">
    <w:panose1 w:val="020B0502040204020203"/>
    <w:charset w:val="86"/>
    <w:family w:val="auto"/>
    <w:pitch w:val="default"/>
    <w:sig w:usb0="80000287" w:usb1="2ACF001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6" w:fontKey="{2F61E2C0-BA5E-4FE7-987B-59F78C7F8E2D}"/>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62FBC"/>
    <w:multiLevelType w:val="singleLevel"/>
    <w:tmpl w:val="3A162FBC"/>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MTg3MzlmNTVkMWE0YjRhODRmZGJjYzY0YjM2ZjUifQ=="/>
  </w:docVars>
  <w:rsids>
    <w:rsidRoot w:val="00BF7E64"/>
    <w:rsid w:val="00044EF2"/>
    <w:rsid w:val="000D4419"/>
    <w:rsid w:val="00125861"/>
    <w:rsid w:val="00155351"/>
    <w:rsid w:val="002E6413"/>
    <w:rsid w:val="00307A95"/>
    <w:rsid w:val="00311A5F"/>
    <w:rsid w:val="00423C6D"/>
    <w:rsid w:val="00586FEC"/>
    <w:rsid w:val="005C088A"/>
    <w:rsid w:val="00641E35"/>
    <w:rsid w:val="006E05BE"/>
    <w:rsid w:val="00732078"/>
    <w:rsid w:val="00906967"/>
    <w:rsid w:val="00BF7E64"/>
    <w:rsid w:val="00CC418B"/>
    <w:rsid w:val="00D23242"/>
    <w:rsid w:val="00DE7F18"/>
    <w:rsid w:val="01160EA3"/>
    <w:rsid w:val="01195642"/>
    <w:rsid w:val="012B64AF"/>
    <w:rsid w:val="016245C6"/>
    <w:rsid w:val="016F0A91"/>
    <w:rsid w:val="018067FB"/>
    <w:rsid w:val="01875DDB"/>
    <w:rsid w:val="018C1643"/>
    <w:rsid w:val="01C95043"/>
    <w:rsid w:val="020B07BA"/>
    <w:rsid w:val="02753E85"/>
    <w:rsid w:val="0284231A"/>
    <w:rsid w:val="02902A6D"/>
    <w:rsid w:val="02B32C00"/>
    <w:rsid w:val="02B40E52"/>
    <w:rsid w:val="02B80B7A"/>
    <w:rsid w:val="02DF57A3"/>
    <w:rsid w:val="02E01C47"/>
    <w:rsid w:val="02E1151B"/>
    <w:rsid w:val="02FA082F"/>
    <w:rsid w:val="03675EC4"/>
    <w:rsid w:val="03AC7D7B"/>
    <w:rsid w:val="03F37758"/>
    <w:rsid w:val="04074FB1"/>
    <w:rsid w:val="042B5143"/>
    <w:rsid w:val="043F299D"/>
    <w:rsid w:val="04402271"/>
    <w:rsid w:val="045C354F"/>
    <w:rsid w:val="04BF763A"/>
    <w:rsid w:val="04D70E27"/>
    <w:rsid w:val="04E90B5B"/>
    <w:rsid w:val="04EB6681"/>
    <w:rsid w:val="051536FE"/>
    <w:rsid w:val="051A6F66"/>
    <w:rsid w:val="0548762F"/>
    <w:rsid w:val="05962A91"/>
    <w:rsid w:val="059954BE"/>
    <w:rsid w:val="05B265AD"/>
    <w:rsid w:val="06057FE3"/>
    <w:rsid w:val="060B336B"/>
    <w:rsid w:val="063618DF"/>
    <w:rsid w:val="06395F3E"/>
    <w:rsid w:val="063D4CBA"/>
    <w:rsid w:val="06625496"/>
    <w:rsid w:val="06915006"/>
    <w:rsid w:val="06997BF8"/>
    <w:rsid w:val="071E0F8F"/>
    <w:rsid w:val="073C7668"/>
    <w:rsid w:val="075E75DE"/>
    <w:rsid w:val="07B635D8"/>
    <w:rsid w:val="07DD1E9C"/>
    <w:rsid w:val="07E15B19"/>
    <w:rsid w:val="07F43A9E"/>
    <w:rsid w:val="08256BE2"/>
    <w:rsid w:val="08512C9F"/>
    <w:rsid w:val="085D56CD"/>
    <w:rsid w:val="085D7896"/>
    <w:rsid w:val="087370B9"/>
    <w:rsid w:val="08A94889"/>
    <w:rsid w:val="08DA2C94"/>
    <w:rsid w:val="09047D11"/>
    <w:rsid w:val="090715AF"/>
    <w:rsid w:val="090D306A"/>
    <w:rsid w:val="09173EE8"/>
    <w:rsid w:val="09AB63DF"/>
    <w:rsid w:val="09E87633"/>
    <w:rsid w:val="0A075D0B"/>
    <w:rsid w:val="0A1E2BE3"/>
    <w:rsid w:val="0A410AF1"/>
    <w:rsid w:val="0A424CF5"/>
    <w:rsid w:val="0A4A3E4A"/>
    <w:rsid w:val="0A921BB9"/>
    <w:rsid w:val="0AE0732E"/>
    <w:rsid w:val="0AE24082"/>
    <w:rsid w:val="0AFF2E86"/>
    <w:rsid w:val="0B0B6E02"/>
    <w:rsid w:val="0B1D155E"/>
    <w:rsid w:val="0B2B3C7B"/>
    <w:rsid w:val="0B352404"/>
    <w:rsid w:val="0B3A2110"/>
    <w:rsid w:val="0B492353"/>
    <w:rsid w:val="0B4B60CB"/>
    <w:rsid w:val="0B93537C"/>
    <w:rsid w:val="0BB27EF8"/>
    <w:rsid w:val="0BBF6171"/>
    <w:rsid w:val="0BC045AA"/>
    <w:rsid w:val="0BCB720C"/>
    <w:rsid w:val="0BE1433A"/>
    <w:rsid w:val="0BEF2EFA"/>
    <w:rsid w:val="0C450D6C"/>
    <w:rsid w:val="0C517711"/>
    <w:rsid w:val="0C5745FC"/>
    <w:rsid w:val="0C6E3993"/>
    <w:rsid w:val="0C7B29E0"/>
    <w:rsid w:val="0C9413AC"/>
    <w:rsid w:val="0CA77331"/>
    <w:rsid w:val="0CB8153E"/>
    <w:rsid w:val="0CB87790"/>
    <w:rsid w:val="0CBE506C"/>
    <w:rsid w:val="0CCC4FEA"/>
    <w:rsid w:val="0D004C93"/>
    <w:rsid w:val="0D4E1EA3"/>
    <w:rsid w:val="0D4E3C51"/>
    <w:rsid w:val="0D5561A9"/>
    <w:rsid w:val="0D584ACF"/>
    <w:rsid w:val="0D7A67F4"/>
    <w:rsid w:val="0D875721"/>
    <w:rsid w:val="0D95362E"/>
    <w:rsid w:val="0DBF06AB"/>
    <w:rsid w:val="0DDE3227"/>
    <w:rsid w:val="0DE10621"/>
    <w:rsid w:val="0E146C48"/>
    <w:rsid w:val="0E2B3F92"/>
    <w:rsid w:val="0E5A03D3"/>
    <w:rsid w:val="0E820056"/>
    <w:rsid w:val="0E856EE6"/>
    <w:rsid w:val="0E884F40"/>
    <w:rsid w:val="0EA55AF2"/>
    <w:rsid w:val="0EAE3AEF"/>
    <w:rsid w:val="0EAF4BC3"/>
    <w:rsid w:val="0F1A0888"/>
    <w:rsid w:val="0F3B0205"/>
    <w:rsid w:val="0F3D3F7D"/>
    <w:rsid w:val="0F557518"/>
    <w:rsid w:val="0F73174D"/>
    <w:rsid w:val="0F7A2ADB"/>
    <w:rsid w:val="0FA638D0"/>
    <w:rsid w:val="0FB35FED"/>
    <w:rsid w:val="0FC401FA"/>
    <w:rsid w:val="0FDF5034"/>
    <w:rsid w:val="0FE55046"/>
    <w:rsid w:val="100F5919"/>
    <w:rsid w:val="101C0036"/>
    <w:rsid w:val="106B68C8"/>
    <w:rsid w:val="108F0808"/>
    <w:rsid w:val="10D4446D"/>
    <w:rsid w:val="10EA5A3E"/>
    <w:rsid w:val="11001706"/>
    <w:rsid w:val="110034B4"/>
    <w:rsid w:val="11056D1C"/>
    <w:rsid w:val="1111121D"/>
    <w:rsid w:val="111E1B8C"/>
    <w:rsid w:val="11230F50"/>
    <w:rsid w:val="112E1DCF"/>
    <w:rsid w:val="11317B11"/>
    <w:rsid w:val="11427629"/>
    <w:rsid w:val="115E01DA"/>
    <w:rsid w:val="11733F8E"/>
    <w:rsid w:val="11B04EDA"/>
    <w:rsid w:val="11B30526"/>
    <w:rsid w:val="11C52008"/>
    <w:rsid w:val="122E4051"/>
    <w:rsid w:val="124D44D7"/>
    <w:rsid w:val="125E3EC7"/>
    <w:rsid w:val="126B2BAF"/>
    <w:rsid w:val="127E28E2"/>
    <w:rsid w:val="12802AFE"/>
    <w:rsid w:val="128A572B"/>
    <w:rsid w:val="128D03E2"/>
    <w:rsid w:val="12B02CB8"/>
    <w:rsid w:val="12C47920"/>
    <w:rsid w:val="12E7492B"/>
    <w:rsid w:val="12F42BA4"/>
    <w:rsid w:val="12FD414F"/>
    <w:rsid w:val="13196AAF"/>
    <w:rsid w:val="13223C89"/>
    <w:rsid w:val="13333C13"/>
    <w:rsid w:val="134A6C68"/>
    <w:rsid w:val="135D699C"/>
    <w:rsid w:val="13665D79"/>
    <w:rsid w:val="13897791"/>
    <w:rsid w:val="13B46D28"/>
    <w:rsid w:val="13E64BE3"/>
    <w:rsid w:val="13F54E26"/>
    <w:rsid w:val="14056FC8"/>
    <w:rsid w:val="140E7C96"/>
    <w:rsid w:val="14157276"/>
    <w:rsid w:val="14524026"/>
    <w:rsid w:val="14535FF1"/>
    <w:rsid w:val="1460719F"/>
    <w:rsid w:val="14885C9A"/>
    <w:rsid w:val="148B12E6"/>
    <w:rsid w:val="14A16EE9"/>
    <w:rsid w:val="14D94748"/>
    <w:rsid w:val="15194B44"/>
    <w:rsid w:val="152051AC"/>
    <w:rsid w:val="15210A86"/>
    <w:rsid w:val="154F4A0A"/>
    <w:rsid w:val="156C37B3"/>
    <w:rsid w:val="15755FA6"/>
    <w:rsid w:val="15EE7D7F"/>
    <w:rsid w:val="15FD53BA"/>
    <w:rsid w:val="16096967"/>
    <w:rsid w:val="161D03CE"/>
    <w:rsid w:val="161F618A"/>
    <w:rsid w:val="162714E3"/>
    <w:rsid w:val="165612C1"/>
    <w:rsid w:val="165C73DE"/>
    <w:rsid w:val="166E7112"/>
    <w:rsid w:val="167D1103"/>
    <w:rsid w:val="16881F81"/>
    <w:rsid w:val="16923EC2"/>
    <w:rsid w:val="16F21AF1"/>
    <w:rsid w:val="17342109"/>
    <w:rsid w:val="1772678E"/>
    <w:rsid w:val="17836BED"/>
    <w:rsid w:val="17935082"/>
    <w:rsid w:val="17D82A95"/>
    <w:rsid w:val="17FA007C"/>
    <w:rsid w:val="18090EA0"/>
    <w:rsid w:val="18463EA2"/>
    <w:rsid w:val="187E26D8"/>
    <w:rsid w:val="189C1D14"/>
    <w:rsid w:val="18B54B84"/>
    <w:rsid w:val="190475D2"/>
    <w:rsid w:val="190A3122"/>
    <w:rsid w:val="19222CB8"/>
    <w:rsid w:val="19487651"/>
    <w:rsid w:val="19597C05"/>
    <w:rsid w:val="195A5A66"/>
    <w:rsid w:val="196071E6"/>
    <w:rsid w:val="19632832"/>
    <w:rsid w:val="19A277FE"/>
    <w:rsid w:val="19AA220F"/>
    <w:rsid w:val="19DD0836"/>
    <w:rsid w:val="19DE635C"/>
    <w:rsid w:val="19E07262"/>
    <w:rsid w:val="19E80F89"/>
    <w:rsid w:val="19EF056A"/>
    <w:rsid w:val="19F618F8"/>
    <w:rsid w:val="1A0E09F0"/>
    <w:rsid w:val="1A6C3968"/>
    <w:rsid w:val="1A7171D0"/>
    <w:rsid w:val="1A7B1FBB"/>
    <w:rsid w:val="1A8E1B30"/>
    <w:rsid w:val="1AA72BF2"/>
    <w:rsid w:val="1AC90DBB"/>
    <w:rsid w:val="1B177D78"/>
    <w:rsid w:val="1B1E1106"/>
    <w:rsid w:val="1B351FAC"/>
    <w:rsid w:val="1B43291B"/>
    <w:rsid w:val="1BB43819"/>
    <w:rsid w:val="1BBC447B"/>
    <w:rsid w:val="1BD619E1"/>
    <w:rsid w:val="1BD9502D"/>
    <w:rsid w:val="1C2F10F1"/>
    <w:rsid w:val="1C393D1E"/>
    <w:rsid w:val="1C44694B"/>
    <w:rsid w:val="1C646FED"/>
    <w:rsid w:val="1C67088B"/>
    <w:rsid w:val="1C8808D7"/>
    <w:rsid w:val="1C937BEB"/>
    <w:rsid w:val="1CA90EA4"/>
    <w:rsid w:val="1CB3587E"/>
    <w:rsid w:val="1CB3762C"/>
    <w:rsid w:val="1CDF48C5"/>
    <w:rsid w:val="1CE30808"/>
    <w:rsid w:val="1D1A2A37"/>
    <w:rsid w:val="1D291FE4"/>
    <w:rsid w:val="1D5675C9"/>
    <w:rsid w:val="1D5726AE"/>
    <w:rsid w:val="1D5A03F0"/>
    <w:rsid w:val="1D882867"/>
    <w:rsid w:val="1DA21F28"/>
    <w:rsid w:val="1DF20628"/>
    <w:rsid w:val="1DF223D6"/>
    <w:rsid w:val="1E0068A1"/>
    <w:rsid w:val="1E135E59"/>
    <w:rsid w:val="1E450758"/>
    <w:rsid w:val="1E4569AA"/>
    <w:rsid w:val="1E4D585F"/>
    <w:rsid w:val="1E890F8D"/>
    <w:rsid w:val="1E91399D"/>
    <w:rsid w:val="1EB63404"/>
    <w:rsid w:val="1EDB2E6A"/>
    <w:rsid w:val="1EF34658"/>
    <w:rsid w:val="1F0979D8"/>
    <w:rsid w:val="1F464788"/>
    <w:rsid w:val="1F4E7AE0"/>
    <w:rsid w:val="1F9A0F77"/>
    <w:rsid w:val="1FCB7383"/>
    <w:rsid w:val="1FE346CD"/>
    <w:rsid w:val="1FFB7C68"/>
    <w:rsid w:val="202D1DEC"/>
    <w:rsid w:val="204809D3"/>
    <w:rsid w:val="204C4CF3"/>
    <w:rsid w:val="20B63B8F"/>
    <w:rsid w:val="20BB2F53"/>
    <w:rsid w:val="20D14525"/>
    <w:rsid w:val="20D64231"/>
    <w:rsid w:val="20EB1A8B"/>
    <w:rsid w:val="211508B6"/>
    <w:rsid w:val="21584C46"/>
    <w:rsid w:val="215A065E"/>
    <w:rsid w:val="21B207FA"/>
    <w:rsid w:val="21BC55CF"/>
    <w:rsid w:val="21EF55AB"/>
    <w:rsid w:val="21FA7AAB"/>
    <w:rsid w:val="221440A4"/>
    <w:rsid w:val="2217065D"/>
    <w:rsid w:val="2221328A"/>
    <w:rsid w:val="22284619"/>
    <w:rsid w:val="2245341D"/>
    <w:rsid w:val="225E003A"/>
    <w:rsid w:val="22680EB9"/>
    <w:rsid w:val="22BA5BB9"/>
    <w:rsid w:val="22CF718A"/>
    <w:rsid w:val="22EE5862"/>
    <w:rsid w:val="23046E34"/>
    <w:rsid w:val="233D40F4"/>
    <w:rsid w:val="234E00AF"/>
    <w:rsid w:val="2351194D"/>
    <w:rsid w:val="237613B4"/>
    <w:rsid w:val="23810484"/>
    <w:rsid w:val="23971A56"/>
    <w:rsid w:val="2398757C"/>
    <w:rsid w:val="23AE0B4E"/>
    <w:rsid w:val="23C40371"/>
    <w:rsid w:val="23D507D0"/>
    <w:rsid w:val="23F549CE"/>
    <w:rsid w:val="244020ED"/>
    <w:rsid w:val="247955FF"/>
    <w:rsid w:val="2484198E"/>
    <w:rsid w:val="24A361D8"/>
    <w:rsid w:val="24BE3012"/>
    <w:rsid w:val="24DD793C"/>
    <w:rsid w:val="24EA02AB"/>
    <w:rsid w:val="24EF141E"/>
    <w:rsid w:val="24FD7FDE"/>
    <w:rsid w:val="250A26FB"/>
    <w:rsid w:val="25401C79"/>
    <w:rsid w:val="255106D6"/>
    <w:rsid w:val="25551CBF"/>
    <w:rsid w:val="257A33DD"/>
    <w:rsid w:val="25981AB5"/>
    <w:rsid w:val="25F5515A"/>
    <w:rsid w:val="260C44BB"/>
    <w:rsid w:val="2622053B"/>
    <w:rsid w:val="26345C82"/>
    <w:rsid w:val="263D1CFC"/>
    <w:rsid w:val="264F6618"/>
    <w:rsid w:val="26532A92"/>
    <w:rsid w:val="2677791D"/>
    <w:rsid w:val="26904F49"/>
    <w:rsid w:val="269A360B"/>
    <w:rsid w:val="26AA5F44"/>
    <w:rsid w:val="26BD5C77"/>
    <w:rsid w:val="26C77FA7"/>
    <w:rsid w:val="26DC7BD8"/>
    <w:rsid w:val="26E03714"/>
    <w:rsid w:val="26E256DE"/>
    <w:rsid w:val="26F24F3F"/>
    <w:rsid w:val="27223D2C"/>
    <w:rsid w:val="27270A10"/>
    <w:rsid w:val="274F0899"/>
    <w:rsid w:val="276854B7"/>
    <w:rsid w:val="276E0D20"/>
    <w:rsid w:val="27752CC6"/>
    <w:rsid w:val="277B39CD"/>
    <w:rsid w:val="278E3170"/>
    <w:rsid w:val="27A110F5"/>
    <w:rsid w:val="27F92BDD"/>
    <w:rsid w:val="28180F22"/>
    <w:rsid w:val="283A6E54"/>
    <w:rsid w:val="28537F15"/>
    <w:rsid w:val="28687DF8"/>
    <w:rsid w:val="286F11F3"/>
    <w:rsid w:val="287C56BE"/>
    <w:rsid w:val="289A5B44"/>
    <w:rsid w:val="28AD1D1C"/>
    <w:rsid w:val="28BD7DF3"/>
    <w:rsid w:val="28DE3C83"/>
    <w:rsid w:val="28E76FDC"/>
    <w:rsid w:val="291122AA"/>
    <w:rsid w:val="291E22D1"/>
    <w:rsid w:val="291E49C7"/>
    <w:rsid w:val="29231FDE"/>
    <w:rsid w:val="2939710B"/>
    <w:rsid w:val="293B7327"/>
    <w:rsid w:val="29581C87"/>
    <w:rsid w:val="295F594B"/>
    <w:rsid w:val="29705B8D"/>
    <w:rsid w:val="2987256D"/>
    <w:rsid w:val="299B7DC6"/>
    <w:rsid w:val="29C27101"/>
    <w:rsid w:val="29C42E79"/>
    <w:rsid w:val="29CE1F49"/>
    <w:rsid w:val="29E4176D"/>
    <w:rsid w:val="2A1C2D11"/>
    <w:rsid w:val="2A1F09F7"/>
    <w:rsid w:val="2A9C2048"/>
    <w:rsid w:val="2A9C3DF6"/>
    <w:rsid w:val="2AA33FEE"/>
    <w:rsid w:val="2B053749"/>
    <w:rsid w:val="2B142300"/>
    <w:rsid w:val="2B4F0E68"/>
    <w:rsid w:val="2B591CE7"/>
    <w:rsid w:val="2B8F395A"/>
    <w:rsid w:val="2BB533C1"/>
    <w:rsid w:val="2BCC24B9"/>
    <w:rsid w:val="2BEC4909"/>
    <w:rsid w:val="2BFE5BDA"/>
    <w:rsid w:val="2C4C53A8"/>
    <w:rsid w:val="2C6170A5"/>
    <w:rsid w:val="2C6D3C9C"/>
    <w:rsid w:val="2C752B50"/>
    <w:rsid w:val="2CC633AC"/>
    <w:rsid w:val="2CD05FD9"/>
    <w:rsid w:val="2CD71115"/>
    <w:rsid w:val="2CDF446E"/>
    <w:rsid w:val="2CE101E6"/>
    <w:rsid w:val="2D0839C4"/>
    <w:rsid w:val="2D482013"/>
    <w:rsid w:val="2D9B0395"/>
    <w:rsid w:val="2DA37249"/>
    <w:rsid w:val="2DF45796"/>
    <w:rsid w:val="2E00644A"/>
    <w:rsid w:val="2E206AEC"/>
    <w:rsid w:val="2E3600BD"/>
    <w:rsid w:val="2E4B1DBB"/>
    <w:rsid w:val="2E516CA5"/>
    <w:rsid w:val="2E734E6D"/>
    <w:rsid w:val="2E996D68"/>
    <w:rsid w:val="2EA25753"/>
    <w:rsid w:val="2EAB0AAB"/>
    <w:rsid w:val="2EAD4823"/>
    <w:rsid w:val="2EBC05C2"/>
    <w:rsid w:val="2EC27BA3"/>
    <w:rsid w:val="2ED2428A"/>
    <w:rsid w:val="2EFC1307"/>
    <w:rsid w:val="2F124686"/>
    <w:rsid w:val="2F1A353B"/>
    <w:rsid w:val="2F1E127D"/>
    <w:rsid w:val="2F30739A"/>
    <w:rsid w:val="2F4D1B62"/>
    <w:rsid w:val="2F4F1437"/>
    <w:rsid w:val="2F642A08"/>
    <w:rsid w:val="2F6F3887"/>
    <w:rsid w:val="2F754C15"/>
    <w:rsid w:val="2FA06D28"/>
    <w:rsid w:val="2FA63021"/>
    <w:rsid w:val="2FE04785"/>
    <w:rsid w:val="2FE853E7"/>
    <w:rsid w:val="3002294D"/>
    <w:rsid w:val="300E3119"/>
    <w:rsid w:val="300F506A"/>
    <w:rsid w:val="3011060A"/>
    <w:rsid w:val="302503E9"/>
    <w:rsid w:val="302A1EA4"/>
    <w:rsid w:val="302A3C52"/>
    <w:rsid w:val="304F5466"/>
    <w:rsid w:val="30AE6631"/>
    <w:rsid w:val="30C21D5E"/>
    <w:rsid w:val="30CD2F5B"/>
    <w:rsid w:val="30F71D86"/>
    <w:rsid w:val="31137E2C"/>
    <w:rsid w:val="311751B0"/>
    <w:rsid w:val="31253A1B"/>
    <w:rsid w:val="31576CC8"/>
    <w:rsid w:val="317258B0"/>
    <w:rsid w:val="31771119"/>
    <w:rsid w:val="3199108F"/>
    <w:rsid w:val="31C56268"/>
    <w:rsid w:val="31EA18EB"/>
    <w:rsid w:val="32180206"/>
    <w:rsid w:val="32253171"/>
    <w:rsid w:val="32566F80"/>
    <w:rsid w:val="32755658"/>
    <w:rsid w:val="32963820"/>
    <w:rsid w:val="329830F5"/>
    <w:rsid w:val="329B0E37"/>
    <w:rsid w:val="32A001FB"/>
    <w:rsid w:val="32A9560F"/>
    <w:rsid w:val="32B36180"/>
    <w:rsid w:val="32B67A1F"/>
    <w:rsid w:val="33386686"/>
    <w:rsid w:val="333B1513"/>
    <w:rsid w:val="334D0383"/>
    <w:rsid w:val="33664FA1"/>
    <w:rsid w:val="338C505F"/>
    <w:rsid w:val="338D69D1"/>
    <w:rsid w:val="33955886"/>
    <w:rsid w:val="33E5680D"/>
    <w:rsid w:val="33F64577"/>
    <w:rsid w:val="340053F5"/>
    <w:rsid w:val="341174E5"/>
    <w:rsid w:val="34190265"/>
    <w:rsid w:val="341E1D1F"/>
    <w:rsid w:val="34627E5E"/>
    <w:rsid w:val="348E0C53"/>
    <w:rsid w:val="34AE30A3"/>
    <w:rsid w:val="34B64EDC"/>
    <w:rsid w:val="34BD32E6"/>
    <w:rsid w:val="34D0301A"/>
    <w:rsid w:val="34D32B0A"/>
    <w:rsid w:val="34DA6BFC"/>
    <w:rsid w:val="34E645EB"/>
    <w:rsid w:val="34E940DB"/>
    <w:rsid w:val="35006613"/>
    <w:rsid w:val="35466E38"/>
    <w:rsid w:val="35505F08"/>
    <w:rsid w:val="3566572C"/>
    <w:rsid w:val="358636D8"/>
    <w:rsid w:val="35B93781"/>
    <w:rsid w:val="35DC154A"/>
    <w:rsid w:val="35EA0E10"/>
    <w:rsid w:val="36064819"/>
    <w:rsid w:val="36257395"/>
    <w:rsid w:val="363B44C3"/>
    <w:rsid w:val="36545584"/>
    <w:rsid w:val="3659703F"/>
    <w:rsid w:val="36653C36"/>
    <w:rsid w:val="36743E79"/>
    <w:rsid w:val="36783969"/>
    <w:rsid w:val="36B04C59"/>
    <w:rsid w:val="36B349A1"/>
    <w:rsid w:val="36B67FED"/>
    <w:rsid w:val="36CE17DB"/>
    <w:rsid w:val="36E96615"/>
    <w:rsid w:val="36EC7EB3"/>
    <w:rsid w:val="36F01751"/>
    <w:rsid w:val="370074BA"/>
    <w:rsid w:val="374522CB"/>
    <w:rsid w:val="37492C0F"/>
    <w:rsid w:val="37597C5C"/>
    <w:rsid w:val="375C0FF0"/>
    <w:rsid w:val="37661A13"/>
    <w:rsid w:val="377A726D"/>
    <w:rsid w:val="377F2AD5"/>
    <w:rsid w:val="378620B5"/>
    <w:rsid w:val="37863E63"/>
    <w:rsid w:val="37BA1D5F"/>
    <w:rsid w:val="38037262"/>
    <w:rsid w:val="38341B11"/>
    <w:rsid w:val="387F0D2C"/>
    <w:rsid w:val="388A1731"/>
    <w:rsid w:val="38B822EC"/>
    <w:rsid w:val="38D94467"/>
    <w:rsid w:val="3905700A"/>
    <w:rsid w:val="390C7982"/>
    <w:rsid w:val="39184F8F"/>
    <w:rsid w:val="3934169D"/>
    <w:rsid w:val="39351613"/>
    <w:rsid w:val="393A3157"/>
    <w:rsid w:val="394A0EC1"/>
    <w:rsid w:val="395D6E46"/>
    <w:rsid w:val="395F2BBE"/>
    <w:rsid w:val="395F671A"/>
    <w:rsid w:val="39671A73"/>
    <w:rsid w:val="396C6330"/>
    <w:rsid w:val="396E2E01"/>
    <w:rsid w:val="39D92970"/>
    <w:rsid w:val="3A1A0893"/>
    <w:rsid w:val="3A220C58"/>
    <w:rsid w:val="3A231E3E"/>
    <w:rsid w:val="3A543DA5"/>
    <w:rsid w:val="3AAA7E69"/>
    <w:rsid w:val="3ABE235B"/>
    <w:rsid w:val="3AC76C6D"/>
    <w:rsid w:val="3ACC6031"/>
    <w:rsid w:val="3AD60AE8"/>
    <w:rsid w:val="3AD62A0C"/>
    <w:rsid w:val="3AEA295B"/>
    <w:rsid w:val="3AFA0DF0"/>
    <w:rsid w:val="3B037579"/>
    <w:rsid w:val="3B4A51A8"/>
    <w:rsid w:val="3B8001E0"/>
    <w:rsid w:val="3B8E1539"/>
    <w:rsid w:val="3BAE5737"/>
    <w:rsid w:val="3BB371F1"/>
    <w:rsid w:val="3BC431AC"/>
    <w:rsid w:val="3BD056AD"/>
    <w:rsid w:val="3BD66A3C"/>
    <w:rsid w:val="3BFD221A"/>
    <w:rsid w:val="3C4D6CFE"/>
    <w:rsid w:val="3C597D99"/>
    <w:rsid w:val="3C850B8E"/>
    <w:rsid w:val="3C922A41"/>
    <w:rsid w:val="3CA408E8"/>
    <w:rsid w:val="3CD264BC"/>
    <w:rsid w:val="3D0870C9"/>
    <w:rsid w:val="3D1117D8"/>
    <w:rsid w:val="3D2C1009"/>
    <w:rsid w:val="3D956BAE"/>
    <w:rsid w:val="3DD73509"/>
    <w:rsid w:val="3DDF7E2A"/>
    <w:rsid w:val="3DEA7988"/>
    <w:rsid w:val="3E285C74"/>
    <w:rsid w:val="3E4B1963"/>
    <w:rsid w:val="3E55633E"/>
    <w:rsid w:val="3E6F5651"/>
    <w:rsid w:val="3EBF7C5B"/>
    <w:rsid w:val="3F1A33BE"/>
    <w:rsid w:val="3F542A99"/>
    <w:rsid w:val="3F786788"/>
    <w:rsid w:val="3F980BD8"/>
    <w:rsid w:val="3F9A5CE4"/>
    <w:rsid w:val="400A442B"/>
    <w:rsid w:val="400F00E4"/>
    <w:rsid w:val="40322DDA"/>
    <w:rsid w:val="4037219F"/>
    <w:rsid w:val="403D52DB"/>
    <w:rsid w:val="404B3C60"/>
    <w:rsid w:val="40644F5E"/>
    <w:rsid w:val="40A9471F"/>
    <w:rsid w:val="40C61775"/>
    <w:rsid w:val="40F41E3E"/>
    <w:rsid w:val="41067DC3"/>
    <w:rsid w:val="41197AF6"/>
    <w:rsid w:val="412344D1"/>
    <w:rsid w:val="413761CE"/>
    <w:rsid w:val="41524DB6"/>
    <w:rsid w:val="418036D2"/>
    <w:rsid w:val="41B94E35"/>
    <w:rsid w:val="41DD28D2"/>
    <w:rsid w:val="41E77BF5"/>
    <w:rsid w:val="41F06AA9"/>
    <w:rsid w:val="41F36599"/>
    <w:rsid w:val="41F90D90"/>
    <w:rsid w:val="422C3859"/>
    <w:rsid w:val="425752A0"/>
    <w:rsid w:val="427B20EB"/>
    <w:rsid w:val="428C60A6"/>
    <w:rsid w:val="42AB0C22"/>
    <w:rsid w:val="42BF46CD"/>
    <w:rsid w:val="42C822E3"/>
    <w:rsid w:val="42CD0B98"/>
    <w:rsid w:val="42D40179"/>
    <w:rsid w:val="42DD22F7"/>
    <w:rsid w:val="42F36125"/>
    <w:rsid w:val="43140575"/>
    <w:rsid w:val="431C1B20"/>
    <w:rsid w:val="431C38CE"/>
    <w:rsid w:val="4339622E"/>
    <w:rsid w:val="43430E5B"/>
    <w:rsid w:val="4357298B"/>
    <w:rsid w:val="43747266"/>
    <w:rsid w:val="43A833B4"/>
    <w:rsid w:val="43E53CC0"/>
    <w:rsid w:val="441D78FE"/>
    <w:rsid w:val="441E71D2"/>
    <w:rsid w:val="44223166"/>
    <w:rsid w:val="44627A06"/>
    <w:rsid w:val="447514E8"/>
    <w:rsid w:val="44753296"/>
    <w:rsid w:val="448160DE"/>
    <w:rsid w:val="44953938"/>
    <w:rsid w:val="44D0671E"/>
    <w:rsid w:val="44E64193"/>
    <w:rsid w:val="44F468B0"/>
    <w:rsid w:val="451707F1"/>
    <w:rsid w:val="45280308"/>
    <w:rsid w:val="45352A25"/>
    <w:rsid w:val="45BE6EBE"/>
    <w:rsid w:val="45CC15DB"/>
    <w:rsid w:val="45CF2E79"/>
    <w:rsid w:val="45F66658"/>
    <w:rsid w:val="45F97EF6"/>
    <w:rsid w:val="460D0194"/>
    <w:rsid w:val="46236D21"/>
    <w:rsid w:val="463902F3"/>
    <w:rsid w:val="46841EB6"/>
    <w:rsid w:val="46893028"/>
    <w:rsid w:val="46965745"/>
    <w:rsid w:val="46AE2A8F"/>
    <w:rsid w:val="46DD15C6"/>
    <w:rsid w:val="46F25EE9"/>
    <w:rsid w:val="47333EB8"/>
    <w:rsid w:val="475C24EB"/>
    <w:rsid w:val="47D429C9"/>
    <w:rsid w:val="47E250E6"/>
    <w:rsid w:val="47F60B91"/>
    <w:rsid w:val="480212E4"/>
    <w:rsid w:val="48027536"/>
    <w:rsid w:val="480A1F47"/>
    <w:rsid w:val="481E59F2"/>
    <w:rsid w:val="483416BA"/>
    <w:rsid w:val="485D651B"/>
    <w:rsid w:val="48651873"/>
    <w:rsid w:val="486A6E89"/>
    <w:rsid w:val="48735D3E"/>
    <w:rsid w:val="487B47F2"/>
    <w:rsid w:val="491D214E"/>
    <w:rsid w:val="49282FCC"/>
    <w:rsid w:val="49303C2F"/>
    <w:rsid w:val="493354CD"/>
    <w:rsid w:val="494A2C73"/>
    <w:rsid w:val="495A6EFE"/>
    <w:rsid w:val="496B6B1F"/>
    <w:rsid w:val="49865193"/>
    <w:rsid w:val="49940662"/>
    <w:rsid w:val="49A972DA"/>
    <w:rsid w:val="49EC224C"/>
    <w:rsid w:val="4A4E6A63"/>
    <w:rsid w:val="4A677B24"/>
    <w:rsid w:val="4A6F4C2B"/>
    <w:rsid w:val="4A8E17AE"/>
    <w:rsid w:val="4AA02F8B"/>
    <w:rsid w:val="4AA246B9"/>
    <w:rsid w:val="4AD056CA"/>
    <w:rsid w:val="4ADB717D"/>
    <w:rsid w:val="4AF3760A"/>
    <w:rsid w:val="4B0B1EC1"/>
    <w:rsid w:val="4B3612A5"/>
    <w:rsid w:val="4B5005B9"/>
    <w:rsid w:val="4B6C4969"/>
    <w:rsid w:val="4B893ACB"/>
    <w:rsid w:val="4BDA4326"/>
    <w:rsid w:val="4BE3142D"/>
    <w:rsid w:val="4BF2341E"/>
    <w:rsid w:val="4C121D12"/>
    <w:rsid w:val="4C2630C7"/>
    <w:rsid w:val="4C286E40"/>
    <w:rsid w:val="4C4A2D7F"/>
    <w:rsid w:val="4C6A7458"/>
    <w:rsid w:val="4C7E4CB1"/>
    <w:rsid w:val="4C940979"/>
    <w:rsid w:val="4CBF59F6"/>
    <w:rsid w:val="4CC72AFC"/>
    <w:rsid w:val="4CCA439B"/>
    <w:rsid w:val="4D0E24D9"/>
    <w:rsid w:val="4D2717ED"/>
    <w:rsid w:val="4D2E2B7B"/>
    <w:rsid w:val="4D2F209B"/>
    <w:rsid w:val="4D41465D"/>
    <w:rsid w:val="4D662315"/>
    <w:rsid w:val="4D694539"/>
    <w:rsid w:val="4D902EEE"/>
    <w:rsid w:val="4D926C66"/>
    <w:rsid w:val="4DBC0187"/>
    <w:rsid w:val="4DBF5582"/>
    <w:rsid w:val="4DDC4386"/>
    <w:rsid w:val="4DDF7D36"/>
    <w:rsid w:val="4DF01BDF"/>
    <w:rsid w:val="4DF24863"/>
    <w:rsid w:val="4E19598E"/>
    <w:rsid w:val="4E1C4782"/>
    <w:rsid w:val="4E1F24C4"/>
    <w:rsid w:val="4E256CFD"/>
    <w:rsid w:val="4E2B4B10"/>
    <w:rsid w:val="4E4168DE"/>
    <w:rsid w:val="4E65437B"/>
    <w:rsid w:val="4E6F0D56"/>
    <w:rsid w:val="4ECD1F20"/>
    <w:rsid w:val="4ED212E5"/>
    <w:rsid w:val="4ED60DD5"/>
    <w:rsid w:val="4EE03A01"/>
    <w:rsid w:val="4EFA0394"/>
    <w:rsid w:val="4F1813ED"/>
    <w:rsid w:val="4F506DD9"/>
    <w:rsid w:val="4F534FA2"/>
    <w:rsid w:val="4F876573"/>
    <w:rsid w:val="4F934F18"/>
    <w:rsid w:val="4FA2515B"/>
    <w:rsid w:val="4FAB2261"/>
    <w:rsid w:val="4FBA1D96"/>
    <w:rsid w:val="4FE15C83"/>
    <w:rsid w:val="4FE237A9"/>
    <w:rsid w:val="4FE8127E"/>
    <w:rsid w:val="50144C96"/>
    <w:rsid w:val="50210776"/>
    <w:rsid w:val="50281B04"/>
    <w:rsid w:val="502D711A"/>
    <w:rsid w:val="503C110B"/>
    <w:rsid w:val="50413177"/>
    <w:rsid w:val="5052092F"/>
    <w:rsid w:val="506D7517"/>
    <w:rsid w:val="507C59AC"/>
    <w:rsid w:val="509B4084"/>
    <w:rsid w:val="50AB003F"/>
    <w:rsid w:val="50C01D3C"/>
    <w:rsid w:val="50C64E79"/>
    <w:rsid w:val="50CC6933"/>
    <w:rsid w:val="50F10148"/>
    <w:rsid w:val="51053BF3"/>
    <w:rsid w:val="51085492"/>
    <w:rsid w:val="51243D4F"/>
    <w:rsid w:val="51295B34"/>
    <w:rsid w:val="51493AE0"/>
    <w:rsid w:val="515561D0"/>
    <w:rsid w:val="517E44CE"/>
    <w:rsid w:val="519F5DF6"/>
    <w:rsid w:val="51C413B8"/>
    <w:rsid w:val="51DD0961"/>
    <w:rsid w:val="51EB4B97"/>
    <w:rsid w:val="521C5892"/>
    <w:rsid w:val="522105B9"/>
    <w:rsid w:val="526D1A50"/>
    <w:rsid w:val="527032EE"/>
    <w:rsid w:val="5272350A"/>
    <w:rsid w:val="528F5E6A"/>
    <w:rsid w:val="52A5743C"/>
    <w:rsid w:val="52C75604"/>
    <w:rsid w:val="52D1331E"/>
    <w:rsid w:val="52F13B3E"/>
    <w:rsid w:val="52F1442F"/>
    <w:rsid w:val="52FC4B82"/>
    <w:rsid w:val="53065A01"/>
    <w:rsid w:val="53083147"/>
    <w:rsid w:val="531B76FE"/>
    <w:rsid w:val="53582700"/>
    <w:rsid w:val="53591FD4"/>
    <w:rsid w:val="53607807"/>
    <w:rsid w:val="537B63EF"/>
    <w:rsid w:val="53BD07B5"/>
    <w:rsid w:val="53CC6C4A"/>
    <w:rsid w:val="53DD46BA"/>
    <w:rsid w:val="53F046E7"/>
    <w:rsid w:val="5402266C"/>
    <w:rsid w:val="543C5B7E"/>
    <w:rsid w:val="544B7B6F"/>
    <w:rsid w:val="545E3D46"/>
    <w:rsid w:val="54992FD0"/>
    <w:rsid w:val="54C067AF"/>
    <w:rsid w:val="54CD2C7A"/>
    <w:rsid w:val="54F131F6"/>
    <w:rsid w:val="54FC355F"/>
    <w:rsid w:val="550C37A2"/>
    <w:rsid w:val="555E38D2"/>
    <w:rsid w:val="558C6691"/>
    <w:rsid w:val="55CE6CAA"/>
    <w:rsid w:val="55D02A22"/>
    <w:rsid w:val="55DF4A13"/>
    <w:rsid w:val="55E738C7"/>
    <w:rsid w:val="560E354A"/>
    <w:rsid w:val="565025DE"/>
    <w:rsid w:val="56535A10"/>
    <w:rsid w:val="565E627F"/>
    <w:rsid w:val="56AE6F8F"/>
    <w:rsid w:val="56CE4A87"/>
    <w:rsid w:val="56E524FD"/>
    <w:rsid w:val="574C432A"/>
    <w:rsid w:val="576D604E"/>
    <w:rsid w:val="578D1574"/>
    <w:rsid w:val="57961A49"/>
    <w:rsid w:val="579E08FE"/>
    <w:rsid w:val="57B83D41"/>
    <w:rsid w:val="57BC2B32"/>
    <w:rsid w:val="57BF132B"/>
    <w:rsid w:val="57C447C2"/>
    <w:rsid w:val="57DF519E"/>
    <w:rsid w:val="57E84079"/>
    <w:rsid w:val="58022C3B"/>
    <w:rsid w:val="58164938"/>
    <w:rsid w:val="581666E6"/>
    <w:rsid w:val="582F1556"/>
    <w:rsid w:val="584533A8"/>
    <w:rsid w:val="584E6E99"/>
    <w:rsid w:val="585511A7"/>
    <w:rsid w:val="585D4315"/>
    <w:rsid w:val="587C0C3F"/>
    <w:rsid w:val="58A27F7A"/>
    <w:rsid w:val="58AD704A"/>
    <w:rsid w:val="58BB0463"/>
    <w:rsid w:val="58D345D7"/>
    <w:rsid w:val="58E44CE6"/>
    <w:rsid w:val="58E6255C"/>
    <w:rsid w:val="58F702C5"/>
    <w:rsid w:val="58FA1B64"/>
    <w:rsid w:val="59030A18"/>
    <w:rsid w:val="592A0F27"/>
    <w:rsid w:val="592B4413"/>
    <w:rsid w:val="593257A1"/>
    <w:rsid w:val="594013EC"/>
    <w:rsid w:val="594F1EAF"/>
    <w:rsid w:val="5952374E"/>
    <w:rsid w:val="59545718"/>
    <w:rsid w:val="596C0CB3"/>
    <w:rsid w:val="596D4A2C"/>
    <w:rsid w:val="59725B9E"/>
    <w:rsid w:val="59B61F2F"/>
    <w:rsid w:val="59B938F8"/>
    <w:rsid w:val="59E36A9C"/>
    <w:rsid w:val="5A1621EF"/>
    <w:rsid w:val="5A201A9E"/>
    <w:rsid w:val="5A39634B"/>
    <w:rsid w:val="5A5359CF"/>
    <w:rsid w:val="5AD54636"/>
    <w:rsid w:val="5AF70A51"/>
    <w:rsid w:val="5B4B2B4A"/>
    <w:rsid w:val="5B525697"/>
    <w:rsid w:val="5B5639C9"/>
    <w:rsid w:val="5B5C6B06"/>
    <w:rsid w:val="5B687515"/>
    <w:rsid w:val="5B920779"/>
    <w:rsid w:val="5BE03293"/>
    <w:rsid w:val="5BE07737"/>
    <w:rsid w:val="5BFE196B"/>
    <w:rsid w:val="5C182A2D"/>
    <w:rsid w:val="5C1D6295"/>
    <w:rsid w:val="5C2F421A"/>
    <w:rsid w:val="5C4001D5"/>
    <w:rsid w:val="5C62014C"/>
    <w:rsid w:val="5C702869"/>
    <w:rsid w:val="5C8207EE"/>
    <w:rsid w:val="5CBD5382"/>
    <w:rsid w:val="5CFC20BE"/>
    <w:rsid w:val="5D131446"/>
    <w:rsid w:val="5D543F38"/>
    <w:rsid w:val="5D9B1B67"/>
    <w:rsid w:val="5DA87DE0"/>
    <w:rsid w:val="5DB449D7"/>
    <w:rsid w:val="5DBA7B13"/>
    <w:rsid w:val="5DC310BE"/>
    <w:rsid w:val="5DC42740"/>
    <w:rsid w:val="5DCA244C"/>
    <w:rsid w:val="5DD60DF1"/>
    <w:rsid w:val="5E0D40E7"/>
    <w:rsid w:val="5E231B5D"/>
    <w:rsid w:val="5E5341F0"/>
    <w:rsid w:val="5E5D0BCB"/>
    <w:rsid w:val="5E624433"/>
    <w:rsid w:val="5E653F23"/>
    <w:rsid w:val="5E824AD5"/>
    <w:rsid w:val="5ECB647C"/>
    <w:rsid w:val="5EDB5F93"/>
    <w:rsid w:val="5F0E0117"/>
    <w:rsid w:val="5F3A715E"/>
    <w:rsid w:val="5F3C2ED6"/>
    <w:rsid w:val="5F447FDD"/>
    <w:rsid w:val="5F5C70D4"/>
    <w:rsid w:val="5F5F0972"/>
    <w:rsid w:val="5F5F6BC4"/>
    <w:rsid w:val="5F6D308F"/>
    <w:rsid w:val="5F8B5C0B"/>
    <w:rsid w:val="5F926F9A"/>
    <w:rsid w:val="5FA148BD"/>
    <w:rsid w:val="5FAB3BB8"/>
    <w:rsid w:val="5FAE5456"/>
    <w:rsid w:val="5FD0793B"/>
    <w:rsid w:val="6009186E"/>
    <w:rsid w:val="60196D73"/>
    <w:rsid w:val="605D1356"/>
    <w:rsid w:val="60716BAF"/>
    <w:rsid w:val="60787F3E"/>
    <w:rsid w:val="60820DBC"/>
    <w:rsid w:val="608D07DE"/>
    <w:rsid w:val="60A54010"/>
    <w:rsid w:val="60A800F7"/>
    <w:rsid w:val="60FA6BA5"/>
    <w:rsid w:val="60FB0B6F"/>
    <w:rsid w:val="611F2AAF"/>
    <w:rsid w:val="612E4AA0"/>
    <w:rsid w:val="61442516"/>
    <w:rsid w:val="615A7643"/>
    <w:rsid w:val="61631C7E"/>
    <w:rsid w:val="61736957"/>
    <w:rsid w:val="61A46B11"/>
    <w:rsid w:val="61E46FDF"/>
    <w:rsid w:val="621719D8"/>
    <w:rsid w:val="62287742"/>
    <w:rsid w:val="624D2976"/>
    <w:rsid w:val="624D53FA"/>
    <w:rsid w:val="624F2F20"/>
    <w:rsid w:val="62565BDF"/>
    <w:rsid w:val="62614A02"/>
    <w:rsid w:val="62652E3F"/>
    <w:rsid w:val="627E7362"/>
    <w:rsid w:val="62944DD7"/>
    <w:rsid w:val="62B611F1"/>
    <w:rsid w:val="62D80250"/>
    <w:rsid w:val="62F74D81"/>
    <w:rsid w:val="62FB7408"/>
    <w:rsid w:val="6300246C"/>
    <w:rsid w:val="633F11E7"/>
    <w:rsid w:val="634560D1"/>
    <w:rsid w:val="636369CE"/>
    <w:rsid w:val="638B442C"/>
    <w:rsid w:val="63E43B3C"/>
    <w:rsid w:val="6408782B"/>
    <w:rsid w:val="640D3093"/>
    <w:rsid w:val="64195594"/>
    <w:rsid w:val="646627A3"/>
    <w:rsid w:val="64836EB1"/>
    <w:rsid w:val="64970BAF"/>
    <w:rsid w:val="650049A6"/>
    <w:rsid w:val="652C06CC"/>
    <w:rsid w:val="65363F24"/>
    <w:rsid w:val="65404DA2"/>
    <w:rsid w:val="655B398A"/>
    <w:rsid w:val="656211BC"/>
    <w:rsid w:val="65752C9E"/>
    <w:rsid w:val="659D3FA3"/>
    <w:rsid w:val="65A43583"/>
    <w:rsid w:val="65AE61B0"/>
    <w:rsid w:val="65B55790"/>
    <w:rsid w:val="65C14135"/>
    <w:rsid w:val="65E055BC"/>
    <w:rsid w:val="65F31E15"/>
    <w:rsid w:val="660109D5"/>
    <w:rsid w:val="6603474E"/>
    <w:rsid w:val="66377F53"/>
    <w:rsid w:val="66442670"/>
    <w:rsid w:val="66540B05"/>
    <w:rsid w:val="66BC66AA"/>
    <w:rsid w:val="66FE4F15"/>
    <w:rsid w:val="67185FD7"/>
    <w:rsid w:val="671D79C6"/>
    <w:rsid w:val="672E75A8"/>
    <w:rsid w:val="67535261"/>
    <w:rsid w:val="67656D42"/>
    <w:rsid w:val="676B07FC"/>
    <w:rsid w:val="67BC1058"/>
    <w:rsid w:val="67D22629"/>
    <w:rsid w:val="67E20393"/>
    <w:rsid w:val="67FB3202"/>
    <w:rsid w:val="68060525"/>
    <w:rsid w:val="68196D67"/>
    <w:rsid w:val="681A7B2C"/>
    <w:rsid w:val="68212C69"/>
    <w:rsid w:val="68376930"/>
    <w:rsid w:val="683A1F7D"/>
    <w:rsid w:val="684E159F"/>
    <w:rsid w:val="686139AD"/>
    <w:rsid w:val="68703BF0"/>
    <w:rsid w:val="68907DEF"/>
    <w:rsid w:val="68A35D74"/>
    <w:rsid w:val="68BB130F"/>
    <w:rsid w:val="68C37E04"/>
    <w:rsid w:val="68D67EF7"/>
    <w:rsid w:val="68D91796"/>
    <w:rsid w:val="69146C72"/>
    <w:rsid w:val="691B324C"/>
    <w:rsid w:val="6938470E"/>
    <w:rsid w:val="69482477"/>
    <w:rsid w:val="69644728"/>
    <w:rsid w:val="697414BE"/>
    <w:rsid w:val="699E02E9"/>
    <w:rsid w:val="69A47FF6"/>
    <w:rsid w:val="69CB5582"/>
    <w:rsid w:val="69E623BC"/>
    <w:rsid w:val="6A5512F0"/>
    <w:rsid w:val="6A5C442C"/>
    <w:rsid w:val="6A6908F7"/>
    <w:rsid w:val="6AB26742"/>
    <w:rsid w:val="6ADB7A47"/>
    <w:rsid w:val="6AFA59F3"/>
    <w:rsid w:val="6B030D4C"/>
    <w:rsid w:val="6B0F149F"/>
    <w:rsid w:val="6B2F7D93"/>
    <w:rsid w:val="6B301415"/>
    <w:rsid w:val="6B4D1FC7"/>
    <w:rsid w:val="6B6537B4"/>
    <w:rsid w:val="6B910106"/>
    <w:rsid w:val="6BDA3F4C"/>
    <w:rsid w:val="6BE566A3"/>
    <w:rsid w:val="6C33740F"/>
    <w:rsid w:val="6C382C77"/>
    <w:rsid w:val="6C537AB1"/>
    <w:rsid w:val="6C97799E"/>
    <w:rsid w:val="6CA64085"/>
    <w:rsid w:val="6CB00A5F"/>
    <w:rsid w:val="6CED3A62"/>
    <w:rsid w:val="6D1E3C1B"/>
    <w:rsid w:val="6D201BB4"/>
    <w:rsid w:val="6D2F407A"/>
    <w:rsid w:val="6D34343E"/>
    <w:rsid w:val="6D3671B7"/>
    <w:rsid w:val="6D381879"/>
    <w:rsid w:val="6D3E7DC4"/>
    <w:rsid w:val="6D513FF0"/>
    <w:rsid w:val="6D521B17"/>
    <w:rsid w:val="6D543AE1"/>
    <w:rsid w:val="6D5743E9"/>
    <w:rsid w:val="6D57712D"/>
    <w:rsid w:val="6D6F4477"/>
    <w:rsid w:val="6DC9627D"/>
    <w:rsid w:val="6DDF784E"/>
    <w:rsid w:val="6DEF5C2B"/>
    <w:rsid w:val="6E251502"/>
    <w:rsid w:val="6F202646"/>
    <w:rsid w:val="6F2968A7"/>
    <w:rsid w:val="6F414CE4"/>
    <w:rsid w:val="6F54601A"/>
    <w:rsid w:val="6F63625D"/>
    <w:rsid w:val="6F6A75EB"/>
    <w:rsid w:val="6F946416"/>
    <w:rsid w:val="6F977CB5"/>
    <w:rsid w:val="6FAD1286"/>
    <w:rsid w:val="6FD827A7"/>
    <w:rsid w:val="70187047"/>
    <w:rsid w:val="701A5271"/>
    <w:rsid w:val="701F03D6"/>
    <w:rsid w:val="70275C90"/>
    <w:rsid w:val="705838E8"/>
    <w:rsid w:val="7075449A"/>
    <w:rsid w:val="70926DFA"/>
    <w:rsid w:val="70CC398E"/>
    <w:rsid w:val="70D94A29"/>
    <w:rsid w:val="710475CC"/>
    <w:rsid w:val="71115DBA"/>
    <w:rsid w:val="712D267F"/>
    <w:rsid w:val="71573B9F"/>
    <w:rsid w:val="716360A0"/>
    <w:rsid w:val="718844D0"/>
    <w:rsid w:val="718D136F"/>
    <w:rsid w:val="71900E5F"/>
    <w:rsid w:val="71C22858"/>
    <w:rsid w:val="71CB1E97"/>
    <w:rsid w:val="71F3606C"/>
    <w:rsid w:val="72062ED0"/>
    <w:rsid w:val="723E2669"/>
    <w:rsid w:val="724E6D50"/>
    <w:rsid w:val="72B50B7E"/>
    <w:rsid w:val="72C15774"/>
    <w:rsid w:val="72E74AAF"/>
    <w:rsid w:val="72F84F0E"/>
    <w:rsid w:val="730E4732"/>
    <w:rsid w:val="731358A4"/>
    <w:rsid w:val="73292630"/>
    <w:rsid w:val="73781BAB"/>
    <w:rsid w:val="738B4DF7"/>
    <w:rsid w:val="73B61A30"/>
    <w:rsid w:val="73BC5F3C"/>
    <w:rsid w:val="73E86D31"/>
    <w:rsid w:val="73ED22E4"/>
    <w:rsid w:val="74161AF0"/>
    <w:rsid w:val="741E09A4"/>
    <w:rsid w:val="7420296E"/>
    <w:rsid w:val="7434641A"/>
    <w:rsid w:val="743851F5"/>
    <w:rsid w:val="74AC4202"/>
    <w:rsid w:val="74B51709"/>
    <w:rsid w:val="74CE4179"/>
    <w:rsid w:val="74F811F5"/>
    <w:rsid w:val="74FA4F6E"/>
    <w:rsid w:val="751853F4"/>
    <w:rsid w:val="75241FEA"/>
    <w:rsid w:val="753233B2"/>
    <w:rsid w:val="75954C96"/>
    <w:rsid w:val="75F818EE"/>
    <w:rsid w:val="760D6F22"/>
    <w:rsid w:val="76375D4D"/>
    <w:rsid w:val="763F1E3E"/>
    <w:rsid w:val="764C7A4B"/>
    <w:rsid w:val="764D731F"/>
    <w:rsid w:val="76516E0F"/>
    <w:rsid w:val="7686635C"/>
    <w:rsid w:val="768F24C5"/>
    <w:rsid w:val="76C27D0D"/>
    <w:rsid w:val="76D0242A"/>
    <w:rsid w:val="77075720"/>
    <w:rsid w:val="770976EA"/>
    <w:rsid w:val="77112A42"/>
    <w:rsid w:val="775C3CBE"/>
    <w:rsid w:val="775D17E4"/>
    <w:rsid w:val="77690189"/>
    <w:rsid w:val="777051DD"/>
    <w:rsid w:val="778356EE"/>
    <w:rsid w:val="77933457"/>
    <w:rsid w:val="77A45665"/>
    <w:rsid w:val="77A85155"/>
    <w:rsid w:val="77B27D81"/>
    <w:rsid w:val="77CD4BBB"/>
    <w:rsid w:val="78112CFA"/>
    <w:rsid w:val="78250553"/>
    <w:rsid w:val="78320EC2"/>
    <w:rsid w:val="783A38D3"/>
    <w:rsid w:val="7883171E"/>
    <w:rsid w:val="78A23952"/>
    <w:rsid w:val="78CA2EA9"/>
    <w:rsid w:val="78CC4E73"/>
    <w:rsid w:val="78E35D19"/>
    <w:rsid w:val="78F50D6D"/>
    <w:rsid w:val="79224A93"/>
    <w:rsid w:val="793D18CD"/>
    <w:rsid w:val="79433793"/>
    <w:rsid w:val="797439F5"/>
    <w:rsid w:val="79AB2CDA"/>
    <w:rsid w:val="79C21DD2"/>
    <w:rsid w:val="79CE69C9"/>
    <w:rsid w:val="7A04063C"/>
    <w:rsid w:val="7A0A5C53"/>
    <w:rsid w:val="7A150154"/>
    <w:rsid w:val="7A794B87"/>
    <w:rsid w:val="7A845DFB"/>
    <w:rsid w:val="7A995229"/>
    <w:rsid w:val="7AA80FC8"/>
    <w:rsid w:val="7AE30252"/>
    <w:rsid w:val="7AFE508C"/>
    <w:rsid w:val="7B2E771F"/>
    <w:rsid w:val="7B2F195E"/>
    <w:rsid w:val="7B3B62E0"/>
    <w:rsid w:val="7B707D38"/>
    <w:rsid w:val="7B8B4B71"/>
    <w:rsid w:val="7BD05D0E"/>
    <w:rsid w:val="7BEC1388"/>
    <w:rsid w:val="7C077F70"/>
    <w:rsid w:val="7C1D7794"/>
    <w:rsid w:val="7C413482"/>
    <w:rsid w:val="7C420736"/>
    <w:rsid w:val="7C547659"/>
    <w:rsid w:val="7C701FB9"/>
    <w:rsid w:val="7C743857"/>
    <w:rsid w:val="7C8A307B"/>
    <w:rsid w:val="7C8F1F7D"/>
    <w:rsid w:val="7C975798"/>
    <w:rsid w:val="7CA26617"/>
    <w:rsid w:val="7CD21EA3"/>
    <w:rsid w:val="7CE56503"/>
    <w:rsid w:val="7CF20C20"/>
    <w:rsid w:val="7D056BA5"/>
    <w:rsid w:val="7D083FA0"/>
    <w:rsid w:val="7D2E7EAA"/>
    <w:rsid w:val="7D2F3C22"/>
    <w:rsid w:val="7D450D50"/>
    <w:rsid w:val="7D8819B8"/>
    <w:rsid w:val="7D951CD7"/>
    <w:rsid w:val="7DAF266D"/>
    <w:rsid w:val="7DCC7AD0"/>
    <w:rsid w:val="7DD02D0F"/>
    <w:rsid w:val="7DDA3B8E"/>
    <w:rsid w:val="7DE40569"/>
    <w:rsid w:val="7DF52776"/>
    <w:rsid w:val="7E2766A8"/>
    <w:rsid w:val="7E352137"/>
    <w:rsid w:val="7E4D4360"/>
    <w:rsid w:val="7E521976"/>
    <w:rsid w:val="7E977CD1"/>
    <w:rsid w:val="7EE54599"/>
    <w:rsid w:val="7EED169F"/>
    <w:rsid w:val="7F037115"/>
    <w:rsid w:val="7F1C1F84"/>
    <w:rsid w:val="7F3909EE"/>
    <w:rsid w:val="7F5A43E6"/>
    <w:rsid w:val="7F7B314F"/>
    <w:rsid w:val="7F800765"/>
    <w:rsid w:val="7FBB179D"/>
    <w:rsid w:val="7FCB5E84"/>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99"/>
    <w:pPr>
      <w:spacing w:before="120" w:after="200" w:line="276" w:lineRule="auto"/>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spacing w:line="360" w:lineRule="auto"/>
    </w:pPr>
    <w:rPr>
      <w:rFonts w:ascii="time" w:hAnsi="time" w:eastAsia="仿宋_GB2312"/>
      <w:sz w:val="32"/>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toc 2"/>
    <w:basedOn w:val="1"/>
    <w:next w:val="1"/>
    <w:qFormat/>
    <w:uiPriority w:val="39"/>
    <w:pPr>
      <w:ind w:left="420" w:leftChars="200"/>
    </w:pPr>
    <w:rPr>
      <w:rFonts w:ascii="Times New Roman" w:hAnsi="Times New Roman" w:eastAsia="宋体" w:cs="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18">
    <w:name w:val="标题 2 Char"/>
    <w:link w:val="3"/>
    <w:qFormat/>
    <w:uiPriority w:val="0"/>
    <w:rPr>
      <w:rFonts w:ascii="Arial" w:hAnsi="Arial" w:eastAsia="黑体"/>
      <w:b/>
      <w:sz w:val="32"/>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 w:type="character" w:customStyle="1" w:styleId="22">
    <w:name w:val="font11"/>
    <w:basedOn w:val="15"/>
    <w:qFormat/>
    <w:uiPriority w:val="0"/>
    <w:rPr>
      <w:rFonts w:hint="eastAsia" w:ascii="仿宋" w:hAnsi="仿宋" w:eastAsia="仿宋" w:cs="仿宋"/>
      <w:color w:val="000000"/>
      <w:sz w:val="22"/>
      <w:szCs w:val="22"/>
      <w:u w:val="none"/>
    </w:rPr>
  </w:style>
  <w:style w:type="character" w:customStyle="1" w:styleId="23">
    <w:name w:val="font81"/>
    <w:basedOn w:val="15"/>
    <w:qFormat/>
    <w:uiPriority w:val="0"/>
    <w:rPr>
      <w:rFonts w:hint="eastAsia" w:ascii="仿宋" w:hAnsi="仿宋" w:eastAsia="仿宋" w:cs="仿宋"/>
      <w:color w:val="000000"/>
      <w:sz w:val="22"/>
      <w:szCs w:val="22"/>
      <w:u w:val="none"/>
    </w:rPr>
  </w:style>
  <w:style w:type="paragraph" w:customStyle="1" w:styleId="24">
    <w:name w:val="正文首行缩进1"/>
    <w:basedOn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1077</Words>
  <Characters>6144</Characters>
  <Lines>51</Lines>
  <Paragraphs>14</Paragraphs>
  <TotalTime>10</TotalTime>
  <ScaleCrop>false</ScaleCrop>
  <LinksUpToDate>false</LinksUpToDate>
  <CharactersWithSpaces>7207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2023-02-22T07:07:00Z</dcterms:created>
  <dc:creator>Administrator</dc:creator>
  <cp:lastModifiedBy>文档存本地丢失不负责</cp:lastModifiedBy>
  <dcterms:modified xsi:type="dcterms:W3CDTF">2023-12-13T15:24:52Z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9FBB38CB48F94C1EBFAEA7ECBABA36B4_13</vt:lpwstr>
  </property>
</Properties>
</file>