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bookmarkStart w:id="0" w:name="_GoBack"/>
            <w:bookmarkEnd w:id="0"/>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岳阳市岳阳楼区千亩湖小学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102</w:t>
            </w:r>
          </w:p>
        </w:tc>
        <w:tc>
          <w:tcPr>
            <w:tcW w:w="1679" w:type="dxa"/>
            <w:gridSpan w:val="2"/>
            <w:noWrap w:val="0"/>
            <w:vAlign w:val="top"/>
          </w:tcPr>
          <w:p>
            <w:pPr>
              <w:ind w:firstLine="480" w:firstLineChars="200"/>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2550%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无</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2022年6月原民办学校弘毅南湖小学转制为公办小学</w:t>
            </w:r>
          </w:p>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2022年年初无预算</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8"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155.72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FF0000"/>
                <w:sz w:val="24"/>
                <w:szCs w:val="24"/>
              </w:rPr>
            </w:pPr>
            <w:r>
              <w:rPr>
                <w:rFonts w:hint="eastAsia" w:asciiTheme="majorEastAsia" w:hAnsiTheme="majorEastAsia" w:eastAsiaTheme="majorEastAsia" w:cstheme="majorEastAsia"/>
                <w:color w:val="auto"/>
                <w:spacing w:val="1"/>
                <w:sz w:val="24"/>
                <w:szCs w:val="24"/>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FF0000"/>
                <w:sz w:val="21"/>
              </w:rPr>
            </w:pPr>
          </w:p>
        </w:tc>
        <w:tc>
          <w:tcPr>
            <w:tcW w:w="2325" w:type="dxa"/>
            <w:gridSpan w:val="2"/>
            <w:noWrap w:val="0"/>
            <w:vAlign w:val="top"/>
          </w:tcPr>
          <w:p>
            <w:pPr>
              <w:jc w:val="center"/>
              <w:rPr>
                <w:rFonts w:hint="eastAsia" w:asciiTheme="majorEastAsia" w:hAnsiTheme="majorEastAsia" w:eastAsiaTheme="majorEastAsia" w:cstheme="majorEastAsia"/>
                <w:color w:val="FF0000"/>
                <w:sz w:val="24"/>
                <w:szCs w:val="24"/>
              </w:rPr>
            </w:pPr>
          </w:p>
        </w:tc>
        <w:tc>
          <w:tcPr>
            <w:tcW w:w="1679" w:type="dxa"/>
            <w:gridSpan w:val="2"/>
            <w:noWrap w:val="0"/>
            <w:vAlign w:val="top"/>
          </w:tcPr>
          <w:p>
            <w:pPr>
              <w:jc w:val="center"/>
              <w:rPr>
                <w:rFonts w:hint="eastAsia" w:asciiTheme="majorEastAsia" w:hAnsiTheme="majorEastAsia" w:eastAsiaTheme="majorEastAsia" w:cstheme="majorEastAsia"/>
                <w:color w:val="FF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坚持开展宣传教育、建全工作机制、建章立制、监督检查、加强管理</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7"/>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岳阳市岳阳楼区千亩湖小学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607.83</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635.13</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635.13</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632.05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635.13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0.31</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目标一：全面加强党的思想建设、队伍建设和廉政建设，努力办好人民满意的教育；</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目标二：安全工作部署校园安全排查；</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目标三：开展课服活动，使学生们兴趣丰富多彩；</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目标四：提高教学质量，坚持每两周开展教研活动；</w:t>
            </w:r>
          </w:p>
        </w:tc>
        <w:tc>
          <w:tcPr>
            <w:tcW w:w="4055"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党支部通过每月“巴陵先锋活动日”，充分发挥党支部的战斗堡垒作用。今年，我们按照要求召开年度组织生活会和“四亮”组织生活会，开展“四亮”活动以来，全体党员教师佩戴党徽上课，树立党员意识，增强党员荣誉感。</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left"/>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在“民转公”推进的特殊时期，方军书记授出党课《一起向未来》，统一全体教师思想，提高了党员教师政治站位，为促成共识提供了有力保障。</w:t>
            </w:r>
          </w:p>
          <w:p>
            <w:pPr>
              <w:keepNext w:val="0"/>
              <w:keepLines w:val="0"/>
              <w:pageBreakBefore w:val="0"/>
              <w:widowControl w:val="0"/>
              <w:numPr>
                <w:ilvl w:val="0"/>
                <w:numId w:val="1"/>
              </w:numPr>
              <w:kinsoku/>
              <w:wordWrap/>
              <w:overflowPunct/>
              <w:topLinePunct w:val="0"/>
              <w:autoSpaceDE/>
              <w:autoSpaceDN/>
              <w:bidi w:val="0"/>
              <w:adjustRightInd/>
              <w:snapToGrid/>
              <w:spacing w:line="240" w:lineRule="exact"/>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从安全工作部署到校园安全排查，从安全主题班会到学生各项安全演练，我们每时每刻都在强调；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全校分年级分班级开展课服活动，并严格落实“三段式”模式开展。除常规课外，同学们可自由选择，包括各种球类、啦啦操、硬笔书法、作业辅导、专业种植、音乐鉴赏、剪纸、彩塑等活动课程，促进学生德智体美劳全面发展，通过每次的课后服务，都让学生学有所获，助其健康成长；</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4、我校参加今年上学期期末毕业班教学质量检测，取得全区教学质量综合评分第一名的好成绩。各教研组坚持每两周进行教研活动，本学期教研活动开展有序有效。共开展大教研活动16次，语数英综合各4次。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auto"/>
                <w:sz w:val="20"/>
              </w:rPr>
            </w:pPr>
            <w:r>
              <w:rPr>
                <w:rFonts w:hint="eastAsia" w:ascii="Arial"/>
                <w:color w:val="auto"/>
                <w:sz w:val="20"/>
              </w:rPr>
              <w:t>开展大教研活动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auto"/>
                <w:sz w:val="20"/>
                <w:lang w:val="en-US" w:eastAsia="zh-CN"/>
              </w:rPr>
            </w:pPr>
            <w:r>
              <w:rPr>
                <w:rFonts w:hint="eastAsia" w:ascii="Arial"/>
                <w:color w:val="auto"/>
                <w:sz w:val="20"/>
              </w:rPr>
              <w:t xml:space="preserve">≧ </w:t>
            </w:r>
            <w:r>
              <w:rPr>
                <w:rFonts w:hint="eastAsia" w:ascii="Arial"/>
                <w:color w:val="auto"/>
                <w:sz w:val="20"/>
                <w:lang w:val="en-US" w:eastAsia="zh-CN"/>
              </w:rPr>
              <w:t>15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auto"/>
                <w:sz w:val="20"/>
                <w:lang w:val="en-US" w:eastAsia="zh-CN"/>
              </w:rPr>
            </w:pPr>
            <w:r>
              <w:rPr>
                <w:rFonts w:hint="eastAsia" w:ascii="Arial"/>
                <w:color w:val="auto"/>
                <w:sz w:val="20"/>
                <w:lang w:val="en-US" w:eastAsia="zh-CN"/>
              </w:rPr>
              <w:t>16</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auto"/>
                <w:sz w:val="20"/>
                <w:lang w:val="en-US" w:eastAsia="zh-CN"/>
              </w:rPr>
            </w:pPr>
            <w:r>
              <w:rPr>
                <w:rFonts w:hint="eastAsia" w:ascii="Arial"/>
                <w:color w:val="auto"/>
                <w:sz w:val="20"/>
                <w:lang w:val="en-US" w:eastAsia="zh-CN"/>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auto"/>
                <w:sz w:val="20"/>
                <w:lang w:val="en-US" w:eastAsia="zh-CN"/>
              </w:rPr>
            </w:pPr>
            <w:r>
              <w:rPr>
                <w:rFonts w:hint="eastAsia" w:ascii="Arial"/>
                <w:color w:val="auto"/>
                <w:sz w:val="20"/>
                <w:lang w:val="en-US" w:eastAsia="zh-CN"/>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auto"/>
                <w:sz w:val="20"/>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参加</w:t>
            </w:r>
            <w:r>
              <w:rPr>
                <w:rFonts w:hint="eastAsia" w:ascii="Arial"/>
                <w:color w:val="000000" w:themeColor="text1"/>
                <w:sz w:val="21"/>
                <w14:textFill>
                  <w14:solidFill>
                    <w14:schemeClr w14:val="tx1"/>
                  </w14:solidFill>
                </w14:textFill>
              </w:rPr>
              <w:t>中小学教师在线备课大赛</w:t>
            </w:r>
            <w:r>
              <w:rPr>
                <w:rFonts w:hint="eastAsia" w:ascii="Arial"/>
                <w:color w:val="000000" w:themeColor="text1"/>
                <w:sz w:val="21"/>
                <w:lang w:val="en-US" w:eastAsia="zh-CN"/>
                <w14:textFill>
                  <w14:solidFill>
                    <w14:schemeClr w14:val="tx1"/>
                  </w14:solidFill>
                </w14:textFill>
              </w:rPr>
              <w:t>人数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25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参加楼区组织的作业设计优秀案例</w:t>
            </w:r>
            <w:r>
              <w:rPr>
                <w:rFonts w:hint="eastAsia" w:ascii="Arial"/>
                <w:color w:val="000000" w:themeColor="text1"/>
                <w:sz w:val="20"/>
                <w:lang w:val="en-US" w:eastAsia="zh-CN"/>
                <w14:textFill>
                  <w14:solidFill>
                    <w14:schemeClr w14:val="tx1"/>
                  </w14:solidFill>
                </w14:textFill>
              </w:rPr>
              <w:t>人数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民转公招新生</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200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265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开展课服活动</w:t>
            </w:r>
            <w:r>
              <w:rPr>
                <w:rFonts w:hint="eastAsia" w:ascii="Arial"/>
                <w:color w:val="000000" w:themeColor="text1"/>
                <w:sz w:val="20"/>
                <w:lang w:val="en-US" w:eastAsia="zh-CN"/>
                <w14:textFill>
                  <w14:solidFill>
                    <w14:schemeClr w14:val="tx1"/>
                  </w14:solidFill>
                </w14:textFill>
              </w:rPr>
              <w:t>参与率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eastAsia="zh-CN"/>
                <w14:textFill>
                  <w14:solidFill>
                    <w14:schemeClr w14:val="tx1"/>
                  </w14:solidFill>
                </w14:textFill>
              </w:rPr>
              <w:t>“</w:t>
            </w:r>
            <w:r>
              <w:rPr>
                <w:rFonts w:hint="eastAsia" w:ascii="Arial"/>
                <w:color w:val="000000" w:themeColor="text1"/>
                <w:sz w:val="19"/>
                <w:lang w:val="en-US" w:eastAsia="zh-CN"/>
                <w14:textFill>
                  <w14:solidFill>
                    <w14:schemeClr w14:val="tx1"/>
                  </w14:solidFill>
                </w14:textFill>
              </w:rPr>
              <w:t>平安校园</w:t>
            </w:r>
            <w:r>
              <w:rPr>
                <w:rFonts w:hint="eastAsia" w:ascii="Arial"/>
                <w:color w:val="000000" w:themeColor="text1"/>
                <w:sz w:val="19"/>
                <w:lang w:eastAsia="zh-CN"/>
                <w14:textFill>
                  <w14:solidFill>
                    <w14:schemeClr w14:val="tx1"/>
                  </w14:solidFill>
                </w14:textFill>
              </w:rPr>
              <w:t>”</w:t>
            </w:r>
            <w:r>
              <w:rPr>
                <w:rFonts w:hint="eastAsia" w:ascii="Arial"/>
                <w:color w:val="000000" w:themeColor="text1"/>
                <w:sz w:val="19"/>
                <w:lang w:val="en-US" w:eastAsia="zh-CN"/>
                <w14:textFill>
                  <w14:solidFill>
                    <w14:schemeClr w14:val="tx1"/>
                  </w14:solidFill>
                </w14:textFill>
              </w:rPr>
              <w:t>知识宣传覆盖率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民转公后工作部署</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及时</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及时完成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民转公后启动资金拨付</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及时</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及时</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学校建设启动资金</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预算内</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50万元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提升学校教育教学质量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有所提升</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稳定教师队伍</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有效稳定</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有效稳定</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弘扬中华民族优秀传统，树立传承节日文化的责任心，增强学生民族自豪感和爱国情</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有所提高</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有所提高</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不适用</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教育事业可持续发展</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持续发展</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持续发展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学生满意度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家长满意度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trPr>
        <w:tc>
          <w:tcPr>
            <w:tcW w:w="1084" w:type="dxa"/>
            <w:vMerge w:val="continue"/>
            <w:tcBorders>
              <w:top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社区满意度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2022年度岳阳市岳阳楼区千亩湖小学单位整体支出绩效自评报告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2022年度岳阳市岳阳楼区千亩湖小学单位整体支出绩效自评报告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w:t>
      </w: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（一）职能职责</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⑴宣传贯彻执行党和国家的教育方针、政策、法律法规等，坚持依法治教、依法治学，贯彻执行岳阳楼区教育局的行政规章制度。</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⑵维护学校的教学秩序，为学生创造良好的学习环境。</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⑶积极稳妥地推进教育改革，按教育规律办事，不断提高教育质量。</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⑷根据学校规模，设置学校管理机构，建立健全各项规章制度和岗位责任制。</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⑸坚持教书育人，服务育人，环境育人方针，加强对学生的思想品德教育，使学生的德智体全面发展。</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⑹抓好教师队伍建设，使每个教师都热心于教育事业；</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⑺做好安全防范，保证学生的人身安全。</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　　（二）机构设置</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本单位内设机构包括：行政处、教导处、德育处、后勤处。我校共有教职工102人，其中：在职编制4人；离退休0人。</w:t>
      </w:r>
    </w:p>
    <w:p>
      <w:pPr>
        <w:keepNext w:val="0"/>
        <w:keepLines w:val="0"/>
        <w:pageBreakBefore w:val="0"/>
        <w:widowControl w:val="0"/>
        <w:numPr>
          <w:ilvl w:val="0"/>
          <w:numId w:val="3"/>
        </w:numPr>
        <w:kinsoku/>
        <w:wordWrap/>
        <w:overflowPunct/>
        <w:topLinePunct w:val="0"/>
        <w:autoSpaceDE/>
        <w:autoSpaceDN/>
        <w:bidi w:val="0"/>
        <w:adjustRightInd/>
        <w:snapToGrid/>
        <w:ind w:leftChars="200" w:firstLine="64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年度工作内容</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1、党支部通过每月“巴陵先锋活动日”，充分发挥党支部的战斗堡垒作用。今年，我们按照要求召开年度组织生活会和“四亮”组织生活会，开展“四亮”活动以来，全体党员教师佩戴党徽上课，树立党员意识，增强党员荣誉感。在“民转公”推进的特殊时期，方军书记授出党课《一起向未来》，统一全体教师思想，提高了党员教师政治站位，为促成共识提供了有力保障。</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2、从安全工作部署到校园安全排查，从安全主题班会到学生各项安全演练，我们每时每刻都在强调；</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3、全校分年级分班级开展课服活动，并严格落实“三段式”模式开展。除常规课外，同学们可自由选择，包括各种球类、啦啦操、硬笔书法、作业辅导、专业种植、音乐鉴赏、剪纸、彩塑等活动课程，促进学生德智体美劳全面发展，通过每次的课后服务，都让学生学有所获，助其健康成长；</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4、我校参加今年上学期期末毕业班教学质量检测，取得全区教学质量综合评分第一名的好成绩。各教研组坚持每两周进行教研活动，本学期教研活动开展有序有效。共开展大教研活动16次，语数英综合各4次。</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spacing w:line="560" w:lineRule="exact"/>
        <w:ind w:firstLine="640" w:firstLineChars="200"/>
        <w:rPr>
          <w:rFonts w:hint="eastAsia" w:ascii="仿宋" w:hAnsi="仿宋" w:eastAsia="仿宋" w:cs="仿宋"/>
          <w:bCs/>
          <w:sz w:val="32"/>
          <w:szCs w:val="32"/>
          <w:lang w:eastAsia="zh-CN"/>
        </w:rPr>
      </w:pPr>
      <w:r>
        <w:rPr>
          <w:rFonts w:hint="eastAsia" w:ascii="仿宋" w:hAnsi="仿宋" w:eastAsia="仿宋" w:cs="仿宋"/>
          <w:bCs/>
          <w:sz w:val="32"/>
          <w:szCs w:val="32"/>
        </w:rPr>
        <w:t>基本支出202</w:t>
      </w:r>
      <w:r>
        <w:rPr>
          <w:rFonts w:hint="eastAsia" w:ascii="仿宋" w:hAnsi="仿宋" w:eastAsia="仿宋" w:cs="仿宋"/>
          <w:bCs/>
          <w:sz w:val="32"/>
          <w:szCs w:val="32"/>
          <w:lang w:val="en-US" w:eastAsia="zh-CN"/>
        </w:rPr>
        <w:t>2</w:t>
      </w:r>
      <w:r>
        <w:rPr>
          <w:rFonts w:hint="eastAsia" w:ascii="仿宋" w:hAnsi="仿宋" w:eastAsia="仿宋" w:cs="仿宋"/>
          <w:bCs/>
          <w:sz w:val="32"/>
          <w:szCs w:val="32"/>
        </w:rPr>
        <w:t>年度总支出</w:t>
      </w:r>
      <w:r>
        <w:rPr>
          <w:rFonts w:hint="eastAsia" w:ascii="仿宋" w:hAnsi="仿宋" w:eastAsia="仿宋" w:cs="仿宋"/>
          <w:bCs/>
          <w:sz w:val="32"/>
          <w:szCs w:val="32"/>
          <w:lang w:val="en-US" w:eastAsia="zh-CN"/>
        </w:rPr>
        <w:t>632.05</w:t>
      </w:r>
      <w:r>
        <w:rPr>
          <w:rFonts w:hint="eastAsia" w:ascii="仿宋" w:hAnsi="仿宋" w:eastAsia="仿宋" w:cs="仿宋"/>
          <w:bCs/>
          <w:sz w:val="32"/>
          <w:szCs w:val="32"/>
        </w:rPr>
        <w:t>万元，其中</w:t>
      </w:r>
      <w:r>
        <w:rPr>
          <w:rFonts w:hint="eastAsia" w:ascii="仿宋" w:hAnsi="仿宋" w:eastAsia="仿宋" w:cs="仿宋"/>
          <w:bCs/>
          <w:sz w:val="32"/>
          <w:szCs w:val="32"/>
          <w:lang w:eastAsia="zh-CN"/>
        </w:rPr>
        <w:t>：</w:t>
      </w:r>
    </w:p>
    <w:p>
      <w:pPr>
        <w:spacing w:line="560" w:lineRule="exact"/>
        <w:ind w:firstLine="640" w:firstLineChars="200"/>
        <w:rPr>
          <w:rFonts w:hint="eastAsia" w:ascii="仿宋" w:hAnsi="仿宋" w:eastAsia="仿宋" w:cs="仿宋"/>
          <w:bCs/>
          <w:sz w:val="32"/>
          <w:szCs w:val="32"/>
          <w:lang w:val="en-US" w:eastAsia="zh-CN"/>
        </w:rPr>
      </w:pPr>
      <w:r>
        <w:rPr>
          <w:rFonts w:hint="eastAsia" w:ascii="仿宋" w:hAnsi="仿宋" w:eastAsia="仿宋" w:cs="仿宋"/>
          <w:bCs/>
          <w:sz w:val="32"/>
          <w:szCs w:val="32"/>
        </w:rPr>
        <w:t>人员经费</w:t>
      </w:r>
      <w:r>
        <w:rPr>
          <w:rFonts w:hint="eastAsia" w:ascii="仿宋" w:hAnsi="仿宋" w:eastAsia="仿宋" w:cs="仿宋"/>
          <w:bCs/>
          <w:sz w:val="32"/>
          <w:szCs w:val="32"/>
          <w:lang w:val="en-US" w:eastAsia="zh-CN"/>
        </w:rPr>
        <w:t>420.97万元：包括</w:t>
      </w:r>
      <w:r>
        <w:rPr>
          <w:rFonts w:hint="eastAsia" w:ascii="仿宋" w:hAnsi="仿宋" w:eastAsia="仿宋" w:cs="仿宋"/>
          <w:bCs/>
          <w:sz w:val="32"/>
          <w:szCs w:val="32"/>
        </w:rPr>
        <w:t>基本工资</w:t>
      </w:r>
      <w:r>
        <w:rPr>
          <w:rFonts w:hint="eastAsia" w:ascii="仿宋" w:hAnsi="仿宋" w:eastAsia="仿宋" w:cs="仿宋"/>
          <w:bCs/>
          <w:sz w:val="32"/>
          <w:szCs w:val="32"/>
          <w:lang w:val="en-US" w:eastAsia="zh-CN"/>
        </w:rPr>
        <w:t>85.84</w:t>
      </w:r>
      <w:r>
        <w:rPr>
          <w:rFonts w:hint="eastAsia" w:ascii="仿宋" w:hAnsi="仿宋" w:eastAsia="仿宋" w:cs="仿宋"/>
          <w:bCs/>
          <w:sz w:val="32"/>
          <w:szCs w:val="32"/>
          <w:highlight w:val="none"/>
        </w:rPr>
        <w:t>万</w:t>
      </w:r>
      <w:r>
        <w:rPr>
          <w:rFonts w:hint="eastAsia" w:ascii="仿宋" w:hAnsi="仿宋" w:eastAsia="仿宋" w:cs="仿宋"/>
          <w:bCs/>
          <w:sz w:val="32"/>
          <w:szCs w:val="32"/>
        </w:rPr>
        <w:t>元；津贴补贴</w:t>
      </w:r>
      <w:r>
        <w:rPr>
          <w:rFonts w:hint="eastAsia" w:ascii="仿宋" w:hAnsi="仿宋" w:eastAsia="仿宋" w:cs="仿宋"/>
          <w:bCs/>
          <w:sz w:val="32"/>
          <w:szCs w:val="32"/>
          <w:lang w:val="en-US" w:eastAsia="zh-CN"/>
        </w:rPr>
        <w:t>9.25万元；奖金0.3万元</w:t>
      </w:r>
      <w:r>
        <w:rPr>
          <w:rFonts w:hint="eastAsia" w:ascii="仿宋" w:hAnsi="仿宋" w:eastAsia="仿宋" w:cs="仿宋"/>
          <w:bCs/>
          <w:sz w:val="32"/>
          <w:szCs w:val="32"/>
        </w:rPr>
        <w:t>；</w:t>
      </w:r>
      <w:r>
        <w:rPr>
          <w:rFonts w:hint="eastAsia" w:ascii="仿宋" w:hAnsi="仿宋" w:eastAsia="仿宋" w:cs="仿宋"/>
          <w:bCs/>
          <w:sz w:val="32"/>
          <w:szCs w:val="32"/>
          <w:lang w:val="en-US" w:eastAsia="zh-CN"/>
        </w:rPr>
        <w:t>绩效工资137.19万元；</w:t>
      </w:r>
      <w:r>
        <w:rPr>
          <w:rFonts w:hint="eastAsia" w:ascii="仿宋" w:hAnsi="仿宋" w:eastAsia="仿宋" w:cs="仿宋"/>
          <w:bCs/>
          <w:sz w:val="32"/>
          <w:szCs w:val="32"/>
        </w:rPr>
        <w:t>机关事业单位基本养老保险缴费</w:t>
      </w:r>
      <w:r>
        <w:rPr>
          <w:rFonts w:hint="eastAsia" w:ascii="仿宋" w:hAnsi="仿宋" w:eastAsia="仿宋" w:cs="仿宋"/>
          <w:bCs/>
          <w:sz w:val="32"/>
          <w:szCs w:val="32"/>
          <w:lang w:val="en-US" w:eastAsia="zh-CN"/>
        </w:rPr>
        <w:t>48.07万元；职工基本医疗保险缴费17.15万元；其他社会保障缴费4.16万元；住房公积金41.19万元；其他工资福利支出65.46</w:t>
      </w:r>
      <w:r>
        <w:rPr>
          <w:rFonts w:hint="eastAsia" w:ascii="仿宋" w:hAnsi="仿宋" w:eastAsia="仿宋" w:cs="仿宋"/>
          <w:bCs/>
          <w:sz w:val="32"/>
          <w:szCs w:val="32"/>
        </w:rPr>
        <w:t>万元</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 xml:space="preserve">医疗费补助6.48万元；奖励金5.88万元。 </w:t>
      </w:r>
    </w:p>
    <w:p>
      <w:pPr>
        <w:spacing w:line="560" w:lineRule="exact"/>
        <w:ind w:firstLine="640" w:firstLineChars="200"/>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b w:val="0"/>
          <w:bCs/>
          <w:sz w:val="32"/>
          <w:szCs w:val="32"/>
        </w:rPr>
        <w:t>公用经费</w:t>
      </w:r>
      <w:r>
        <w:rPr>
          <w:rFonts w:hint="eastAsia" w:ascii="仿宋" w:hAnsi="仿宋" w:eastAsia="仿宋" w:cs="仿宋"/>
          <w:b w:val="0"/>
          <w:bCs/>
          <w:sz w:val="32"/>
          <w:szCs w:val="32"/>
          <w:lang w:val="en-US" w:eastAsia="zh-CN"/>
        </w:rPr>
        <w:t>211.08</w:t>
      </w:r>
      <w:r>
        <w:rPr>
          <w:rFonts w:hint="eastAsia" w:ascii="仿宋" w:hAnsi="仿宋" w:eastAsia="仿宋" w:cs="仿宋"/>
          <w:b w:val="0"/>
          <w:bCs/>
          <w:sz w:val="32"/>
          <w:szCs w:val="32"/>
        </w:rPr>
        <w:t>万元</w:t>
      </w:r>
      <w:r>
        <w:rPr>
          <w:rFonts w:hint="eastAsia" w:ascii="仿宋" w:hAnsi="仿宋" w:eastAsia="仿宋" w:cs="仿宋"/>
          <w:b w:val="0"/>
          <w:bCs/>
          <w:sz w:val="32"/>
          <w:szCs w:val="32"/>
          <w:lang w:eastAsia="zh-CN"/>
        </w:rPr>
        <w:t>：</w:t>
      </w:r>
      <w:r>
        <w:rPr>
          <w:rFonts w:hint="eastAsia" w:ascii="仿宋" w:hAnsi="仿宋" w:eastAsia="仿宋" w:cs="仿宋"/>
          <w:bCs/>
          <w:sz w:val="32"/>
          <w:szCs w:val="32"/>
          <w:lang w:val="en-US" w:eastAsia="zh-CN"/>
        </w:rPr>
        <w:t>包括</w:t>
      </w:r>
      <w:r>
        <w:rPr>
          <w:rFonts w:hint="eastAsia" w:ascii="仿宋" w:hAnsi="仿宋" w:eastAsia="仿宋" w:cs="仿宋"/>
          <w:bCs/>
          <w:sz w:val="32"/>
          <w:szCs w:val="32"/>
        </w:rPr>
        <w:t>办公费</w:t>
      </w:r>
      <w:r>
        <w:rPr>
          <w:rFonts w:hint="eastAsia" w:ascii="仿宋" w:hAnsi="仿宋" w:eastAsia="仿宋" w:cs="仿宋"/>
          <w:bCs/>
          <w:sz w:val="32"/>
          <w:szCs w:val="32"/>
          <w:lang w:val="en-US" w:eastAsia="zh-CN"/>
        </w:rPr>
        <w:t>10.14</w:t>
      </w:r>
      <w:r>
        <w:rPr>
          <w:rFonts w:hint="eastAsia" w:ascii="仿宋" w:hAnsi="仿宋" w:eastAsia="仿宋" w:cs="仿宋"/>
          <w:bCs/>
          <w:sz w:val="32"/>
          <w:szCs w:val="32"/>
        </w:rPr>
        <w:t>万元；印刷费</w:t>
      </w:r>
      <w:r>
        <w:rPr>
          <w:rFonts w:hint="eastAsia" w:ascii="仿宋" w:hAnsi="仿宋" w:eastAsia="仿宋" w:cs="仿宋"/>
          <w:bCs/>
          <w:sz w:val="32"/>
          <w:szCs w:val="32"/>
          <w:lang w:val="en-US" w:eastAsia="zh-CN"/>
        </w:rPr>
        <w:t>0.81</w:t>
      </w:r>
      <w:r>
        <w:rPr>
          <w:rFonts w:hint="eastAsia" w:ascii="仿宋" w:hAnsi="仿宋" w:eastAsia="仿宋" w:cs="仿宋"/>
          <w:bCs/>
          <w:sz w:val="32"/>
          <w:szCs w:val="32"/>
        </w:rPr>
        <w:t>万元；水费</w:t>
      </w:r>
      <w:r>
        <w:rPr>
          <w:rFonts w:hint="eastAsia" w:ascii="仿宋" w:hAnsi="仿宋" w:eastAsia="仿宋" w:cs="仿宋"/>
          <w:bCs/>
          <w:sz w:val="32"/>
          <w:szCs w:val="32"/>
          <w:lang w:val="en-US" w:eastAsia="zh-CN"/>
        </w:rPr>
        <w:t>2.68</w:t>
      </w:r>
      <w:r>
        <w:rPr>
          <w:rFonts w:hint="eastAsia" w:ascii="仿宋" w:hAnsi="仿宋" w:eastAsia="仿宋" w:cs="仿宋"/>
          <w:bCs/>
          <w:sz w:val="32"/>
          <w:szCs w:val="32"/>
        </w:rPr>
        <w:t>万元；电费</w:t>
      </w:r>
      <w:r>
        <w:rPr>
          <w:rFonts w:hint="eastAsia" w:ascii="仿宋" w:hAnsi="仿宋" w:eastAsia="仿宋" w:cs="仿宋"/>
          <w:bCs/>
          <w:sz w:val="32"/>
          <w:szCs w:val="32"/>
          <w:lang w:val="en-US" w:eastAsia="zh-CN"/>
        </w:rPr>
        <w:t>5.00</w:t>
      </w:r>
      <w:r>
        <w:rPr>
          <w:rFonts w:hint="eastAsia" w:ascii="仿宋" w:hAnsi="仿宋" w:eastAsia="仿宋" w:cs="仿宋"/>
          <w:bCs/>
          <w:sz w:val="32"/>
          <w:szCs w:val="32"/>
        </w:rPr>
        <w:t>万元；</w:t>
      </w:r>
      <w:r>
        <w:rPr>
          <w:rFonts w:hint="eastAsia" w:ascii="仿宋" w:hAnsi="仿宋" w:eastAsia="仿宋" w:cs="仿宋"/>
          <w:bCs/>
          <w:sz w:val="32"/>
          <w:szCs w:val="32"/>
          <w:lang w:val="en-US" w:eastAsia="zh-CN"/>
        </w:rPr>
        <w:t>差旅费0.20万元；</w:t>
      </w:r>
      <w:r>
        <w:rPr>
          <w:rFonts w:hint="eastAsia" w:ascii="仿宋" w:hAnsi="仿宋" w:eastAsia="仿宋" w:cs="仿宋"/>
          <w:bCs/>
          <w:sz w:val="32"/>
          <w:szCs w:val="32"/>
        </w:rPr>
        <w:t>维修</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护）</w:t>
      </w:r>
      <w:r>
        <w:rPr>
          <w:rFonts w:hint="eastAsia" w:ascii="仿宋" w:hAnsi="仿宋" w:eastAsia="仿宋" w:cs="仿宋"/>
          <w:bCs/>
          <w:sz w:val="32"/>
          <w:szCs w:val="32"/>
        </w:rPr>
        <w:t>费</w:t>
      </w:r>
      <w:r>
        <w:rPr>
          <w:rFonts w:hint="eastAsia" w:ascii="仿宋" w:hAnsi="仿宋" w:eastAsia="仿宋" w:cs="仿宋"/>
          <w:bCs/>
          <w:sz w:val="32"/>
          <w:szCs w:val="32"/>
          <w:lang w:val="en-US" w:eastAsia="zh-CN"/>
        </w:rPr>
        <w:t>53.16</w:t>
      </w:r>
      <w:r>
        <w:rPr>
          <w:rFonts w:hint="eastAsia" w:ascii="仿宋" w:hAnsi="仿宋" w:eastAsia="仿宋" w:cs="仿宋"/>
          <w:bCs/>
          <w:sz w:val="32"/>
          <w:szCs w:val="32"/>
        </w:rPr>
        <w:t>万元；</w:t>
      </w:r>
      <w:r>
        <w:rPr>
          <w:rFonts w:hint="eastAsia" w:ascii="仿宋" w:hAnsi="仿宋" w:eastAsia="仿宋" w:cs="仿宋"/>
          <w:bCs/>
          <w:sz w:val="32"/>
          <w:szCs w:val="32"/>
          <w:lang w:val="en-US" w:eastAsia="zh-CN"/>
        </w:rPr>
        <w:t>租赁费4.63万元；会议费3.46万元；</w:t>
      </w:r>
      <w:r>
        <w:rPr>
          <w:rFonts w:hint="eastAsia" w:ascii="仿宋" w:hAnsi="仿宋" w:eastAsia="仿宋" w:cs="仿宋"/>
          <w:bCs/>
          <w:sz w:val="32"/>
          <w:szCs w:val="32"/>
        </w:rPr>
        <w:t>培训费</w:t>
      </w:r>
      <w:r>
        <w:rPr>
          <w:rFonts w:hint="eastAsia" w:ascii="仿宋" w:hAnsi="仿宋" w:eastAsia="仿宋" w:cs="仿宋"/>
          <w:bCs/>
          <w:sz w:val="32"/>
          <w:szCs w:val="32"/>
          <w:lang w:val="en-US" w:eastAsia="zh-CN"/>
        </w:rPr>
        <w:t>0.99</w:t>
      </w:r>
      <w:r>
        <w:rPr>
          <w:rFonts w:hint="eastAsia" w:ascii="仿宋" w:hAnsi="仿宋" w:eastAsia="仿宋" w:cs="仿宋"/>
          <w:bCs/>
          <w:sz w:val="32"/>
          <w:szCs w:val="32"/>
        </w:rPr>
        <w:t>万元；专用材料费</w:t>
      </w:r>
      <w:r>
        <w:rPr>
          <w:rFonts w:hint="eastAsia" w:ascii="仿宋" w:hAnsi="仿宋" w:eastAsia="仿宋" w:cs="仿宋"/>
          <w:bCs/>
          <w:sz w:val="32"/>
          <w:szCs w:val="32"/>
          <w:lang w:val="en-US" w:eastAsia="zh-CN"/>
        </w:rPr>
        <w:t>0.40</w:t>
      </w:r>
      <w:r>
        <w:rPr>
          <w:rFonts w:hint="eastAsia" w:ascii="仿宋" w:hAnsi="仿宋" w:eastAsia="仿宋" w:cs="仿宋"/>
          <w:bCs/>
          <w:sz w:val="32"/>
          <w:szCs w:val="32"/>
        </w:rPr>
        <w:t>万元；劳务费</w:t>
      </w:r>
      <w:r>
        <w:rPr>
          <w:rFonts w:hint="eastAsia" w:ascii="仿宋" w:hAnsi="仿宋" w:eastAsia="仿宋" w:cs="仿宋"/>
          <w:bCs/>
          <w:sz w:val="32"/>
          <w:szCs w:val="32"/>
          <w:lang w:val="en-US" w:eastAsia="zh-CN"/>
        </w:rPr>
        <w:t>1.68</w:t>
      </w:r>
      <w:r>
        <w:rPr>
          <w:rFonts w:hint="eastAsia" w:ascii="仿宋" w:hAnsi="仿宋" w:eastAsia="仿宋" w:cs="仿宋"/>
          <w:bCs/>
          <w:sz w:val="32"/>
          <w:szCs w:val="32"/>
        </w:rPr>
        <w:t>万元；工会经费</w:t>
      </w:r>
      <w:r>
        <w:rPr>
          <w:rFonts w:hint="eastAsia" w:ascii="仿宋" w:hAnsi="仿宋" w:eastAsia="仿宋" w:cs="仿宋"/>
          <w:bCs/>
          <w:sz w:val="32"/>
          <w:szCs w:val="32"/>
          <w:lang w:val="en-US" w:eastAsia="zh-CN"/>
        </w:rPr>
        <w:t>26.87</w:t>
      </w:r>
      <w:r>
        <w:rPr>
          <w:rFonts w:hint="eastAsia" w:ascii="仿宋" w:hAnsi="仿宋" w:eastAsia="仿宋" w:cs="仿宋"/>
          <w:bCs/>
          <w:sz w:val="32"/>
          <w:szCs w:val="32"/>
        </w:rPr>
        <w:t>万元；其他商品和服务支出</w:t>
      </w:r>
      <w:r>
        <w:rPr>
          <w:rFonts w:hint="eastAsia" w:ascii="仿宋" w:hAnsi="仿宋" w:eastAsia="仿宋" w:cs="仿宋"/>
          <w:bCs/>
          <w:sz w:val="32"/>
          <w:szCs w:val="32"/>
          <w:lang w:val="en-US" w:eastAsia="zh-CN"/>
        </w:rPr>
        <w:t>42.63万元；办公设备购置58.43</w:t>
      </w:r>
      <w:r>
        <w:rPr>
          <w:rFonts w:hint="eastAsia" w:ascii="仿宋" w:hAnsi="仿宋" w:eastAsia="仿宋" w:cs="仿宋"/>
          <w:bCs/>
          <w:sz w:val="32"/>
          <w:szCs w:val="32"/>
        </w:rPr>
        <w:t>万元</w:t>
      </w:r>
      <w:r>
        <w:rPr>
          <w:rFonts w:hint="eastAsia" w:ascii="仿宋" w:hAnsi="仿宋" w:eastAsia="仿宋" w:cs="仿宋"/>
          <w:bCs/>
          <w:sz w:val="32"/>
          <w:szCs w:val="32"/>
          <w:lang w:val="en-US" w:eastAsia="zh-CN"/>
        </w:rPr>
        <w:t>。</w:t>
      </w:r>
    </w:p>
    <w:p>
      <w:pPr>
        <w:keepNext w:val="0"/>
        <w:keepLines w:val="0"/>
        <w:pageBreakBefore w:val="0"/>
        <w:widowControl w:val="0"/>
        <w:numPr>
          <w:ilvl w:val="0"/>
          <w:numId w:val="4"/>
        </w:numPr>
        <w:kinsoku/>
        <w:wordWrap/>
        <w:overflowPunct/>
        <w:topLinePunct w:val="0"/>
        <w:autoSpaceDE/>
        <w:autoSpaceDN/>
        <w:bidi w:val="0"/>
        <w:adjustRightInd/>
        <w:snapToGrid/>
        <w:ind w:left="0"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项目</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政府性基金预算支出0万元。</w:t>
      </w:r>
    </w:p>
    <w:p>
      <w:pPr>
        <w:keepNext w:val="0"/>
        <w:keepLines w:val="0"/>
        <w:pageBreakBefore w:val="0"/>
        <w:widowControl w:val="0"/>
        <w:numPr>
          <w:ilvl w:val="0"/>
          <w:numId w:val="5"/>
        </w:numPr>
        <w:kinsoku/>
        <w:wordWrap/>
        <w:overflowPunct/>
        <w:topLinePunct w:val="0"/>
        <w:autoSpaceDE/>
        <w:autoSpaceDN/>
        <w:bidi w:val="0"/>
        <w:adjustRightInd/>
        <w:snapToGrid/>
        <w:ind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国有资本经营预算支出0万元</w:t>
      </w:r>
      <w:r>
        <w:rPr>
          <w:rFonts w:hint="eastAsia" w:ascii="仿宋" w:hAnsi="仿宋" w:eastAsia="仿宋" w:cs="仿宋"/>
          <w:bCs/>
          <w:sz w:val="30"/>
          <w:szCs w:val="30"/>
          <w:lang w:eastAsia="zh-CN"/>
        </w:rPr>
        <w:t>。</w:t>
      </w:r>
    </w:p>
    <w:p>
      <w:pPr>
        <w:keepNext w:val="0"/>
        <w:keepLines w:val="0"/>
        <w:pageBreakBefore w:val="0"/>
        <w:widowControl w:val="0"/>
        <w:numPr>
          <w:ilvl w:val="0"/>
          <w:numId w:val="5"/>
        </w:numPr>
        <w:kinsoku/>
        <w:wordWrap/>
        <w:overflowPunct/>
        <w:topLinePunct w:val="0"/>
        <w:autoSpaceDE/>
        <w:autoSpaceDN/>
        <w:bidi w:val="0"/>
        <w:adjustRightInd/>
        <w:snapToGrid/>
        <w:ind w:left="0" w:leftChars="0" w:firstLine="602" w:firstLineChars="200"/>
        <w:jc w:val="left"/>
        <w:textAlignment w:val="auto"/>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bCs/>
          <w:color w:val="000000" w:themeColor="text1"/>
          <w:spacing w:val="0"/>
          <w:position w:val="0"/>
          <w:sz w:val="30"/>
          <w:szCs w:val="30"/>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2</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社会保险基金预算支出0万元。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本单位本年度整体支出绩效总体良好，各项目标达到了相应时期执行进度，使财政收支预算执行都得了良好的制度保障和实施效果。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为营造良好的教育生态环境、持续推进义务教育优质均衡发展，满足人民“在家门口上好学”的美好期盼，今年6月，区教育局根据市委、市政府的统一部署，在区委、区政府的坚强领导下，将原民办学校弘毅南湖小学转制为公办小学，我们成了楼区全力打造的“民转公”样本校。</w:t>
      </w:r>
    </w:p>
    <w:p>
      <w:pPr>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弘毅南湖小学“民转公”后，区教育局将我们更名为千亩湖小学，并采取了一系列措施，确保办学方向正确、办学行为规范、办学局面稳定，保障教育教学质量。9月开学以来，千亩湖小学校园各项工作井然有序，教师工作积极，工作成果获得了家长和学生的普遍认可，学校呈现出一派生机活泼、昂扬向上的良好发展局面。</w:t>
      </w:r>
    </w:p>
    <w:p>
      <w:pPr>
        <w:numPr>
          <w:ilvl w:val="0"/>
          <w:numId w:val="6"/>
        </w:numPr>
        <w:spacing w:after="240" w:line="400" w:lineRule="exact"/>
        <w:ind w:firstLine="64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pPr>
        <w:numPr>
          <w:ilvl w:val="0"/>
          <w:numId w:val="7"/>
        </w:numPr>
        <w:spacing w:after="240" w:line="400" w:lineRule="exact"/>
        <w:jc w:val="left"/>
        <w:rPr>
          <w:rFonts w:hint="eastAsia" w:ascii="仿宋" w:hAnsi="仿宋" w:eastAsia="仿宋" w:cs="仿宋"/>
          <w:b w:val="0"/>
          <w:bCs/>
          <w:color w:val="000000"/>
          <w:kern w:val="0"/>
          <w:sz w:val="30"/>
          <w:szCs w:val="30"/>
          <w:lang w:val="en-US" w:eastAsia="zh-CN"/>
        </w:rPr>
      </w:pPr>
      <w:r>
        <w:rPr>
          <w:rFonts w:hint="eastAsia" w:ascii="仿宋" w:hAnsi="仿宋" w:eastAsia="仿宋" w:cs="仿宋"/>
          <w:b w:val="0"/>
          <w:bCs/>
          <w:color w:val="000000"/>
          <w:kern w:val="0"/>
          <w:sz w:val="30"/>
          <w:szCs w:val="30"/>
          <w:lang w:val="en-US" w:eastAsia="zh-CN"/>
        </w:rPr>
        <w:t>数量指标</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本学期是我校民转公后的第一个学期，迎来了265名一年级新生，德育处组织开展了“智慧引领，幸福起航”一年级新生家长会，增进家长对学校办学理念的了解，帮助孩子顺利渡过幼小衔接期。</w:t>
      </w:r>
    </w:p>
    <w:p>
      <w:pPr>
        <w:keepNext w:val="0"/>
        <w:keepLines w:val="0"/>
        <w:pageBreakBefore w:val="0"/>
        <w:widowControl w:val="0"/>
        <w:numPr>
          <w:ilvl w:val="0"/>
          <w:numId w:val="0"/>
        </w:numPr>
        <w:kinsoku/>
        <w:wordWrap/>
        <w:overflowPunct/>
        <w:topLinePunct w:val="0"/>
        <w:autoSpaceDE/>
        <w:autoSpaceDN/>
        <w:bidi w:val="0"/>
        <w:adjustRightInd/>
        <w:snapToGrid/>
        <w:spacing w:after="240" w:line="240" w:lineRule="auto"/>
        <w:ind w:firstLine="640"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sz w:val="32"/>
          <w:szCs w:val="32"/>
        </w:rPr>
        <w:t>各教研组坚持每两周进行教研活动，本学期教研活动开展有序有效。共开展大教研活动16次，语数英综合各4次</w:t>
      </w:r>
      <w:r>
        <w:rPr>
          <w:rFonts w:hint="eastAsia" w:ascii="仿宋" w:hAnsi="仿宋" w:eastAsia="仿宋" w:cs="仿宋"/>
          <w:b w:val="0"/>
          <w:bCs w:val="0"/>
          <w:sz w:val="32"/>
          <w:szCs w:val="32"/>
          <w:lang w:val="en-US" w:eastAsia="zh-CN"/>
        </w:rPr>
        <w:t>。</w:t>
      </w:r>
      <w:r>
        <w:rPr>
          <w:rFonts w:hint="eastAsia" w:ascii="仿宋" w:hAnsi="仿宋" w:eastAsia="仿宋" w:cs="仿宋"/>
          <w:sz w:val="32"/>
          <w:szCs w:val="32"/>
        </w:rPr>
        <w:t>老师们积极参加湖南省中小学教师在线备课大赛，共有5个小组（30人）完成比赛。</w:t>
      </w:r>
      <w:r>
        <w:rPr>
          <w:rFonts w:hint="eastAsia" w:ascii="仿宋" w:hAnsi="仿宋" w:eastAsia="仿宋" w:cs="仿宋"/>
          <w:sz w:val="32"/>
          <w:szCs w:val="32"/>
          <w:lang w:val="en-US" w:eastAsia="zh-CN"/>
        </w:rPr>
        <w:t>7位老师报名参加</w:t>
      </w:r>
      <w:r>
        <w:rPr>
          <w:rFonts w:hint="eastAsia" w:ascii="仿宋" w:hAnsi="仿宋" w:eastAsia="仿宋" w:cs="仿宋"/>
          <w:sz w:val="32"/>
          <w:szCs w:val="32"/>
        </w:rPr>
        <w:t>楼区组织的作业设计优秀案例评选活动；</w:t>
      </w:r>
    </w:p>
    <w:p>
      <w:pPr>
        <w:numPr>
          <w:ilvl w:val="0"/>
          <w:numId w:val="7"/>
        </w:numPr>
        <w:spacing w:after="240" w:line="400" w:lineRule="exact"/>
        <w:ind w:left="0" w:leftChars="0" w:firstLine="0" w:firstLineChars="0"/>
        <w:jc w:val="left"/>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质量指标</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全校分年级分班级开展课服活动，并严格落实“三段式”模式开展。除常规课外，同学们可自由选择，包括各种球类、啦啦操、硬笔书法、作业辅导、专业种植、音乐鉴赏、剪纸、彩塑等活动课程，促进学生德智体美劳全面发展，通过每次课后服务，都能让学生学有所获，助其健康成长</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学生们参与率达98%。</w:t>
      </w:r>
    </w:p>
    <w:p>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rPr>
        <w:t>校园安全无小事，安全责任重如山。从安全工作部署到校园安全排查，从安全主题班会到学生各项安全演练，我们每时每刻都在强调。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平安校园</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知识宣传覆盖率100%。</w:t>
      </w:r>
    </w:p>
    <w:p>
      <w:pPr>
        <w:numPr>
          <w:ilvl w:val="0"/>
          <w:numId w:val="7"/>
        </w:numPr>
        <w:spacing w:after="240" w:line="400" w:lineRule="exact"/>
        <w:ind w:left="0" w:leftChars="0" w:firstLine="0" w:firstLineChars="0"/>
        <w:jc w:val="left"/>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时效指标</w:t>
      </w:r>
    </w:p>
    <w:p>
      <w:pPr>
        <w:numPr>
          <w:ilvl w:val="0"/>
          <w:numId w:val="0"/>
        </w:numPr>
        <w:spacing w:after="240" w:line="400" w:lineRule="exact"/>
        <w:ind w:leftChars="0" w:firstLine="640" w:firstLineChars="200"/>
        <w:jc w:val="left"/>
        <w:rPr>
          <w:rFonts w:hint="eastAsia" w:ascii="仿宋" w:hAnsi="仿宋" w:eastAsia="仿宋" w:cs="仿宋"/>
          <w:color w:val="000000" w:themeColor="text1"/>
          <w:spacing w:val="0"/>
          <w:sz w:val="32"/>
          <w:szCs w:val="32"/>
          <w:lang w:eastAsia="zh-CN"/>
          <w14:textFill>
            <w14:solidFill>
              <w14:schemeClr w14:val="tx1"/>
            </w14:solidFill>
          </w14:textFill>
        </w:rPr>
      </w:pPr>
      <w:r>
        <w:rPr>
          <w:rFonts w:hint="eastAsia" w:ascii="仿宋" w:hAnsi="仿宋" w:eastAsia="仿宋" w:cs="仿宋"/>
          <w:sz w:val="32"/>
          <w:szCs w:val="32"/>
          <w:lang w:val="en-US" w:eastAsia="zh-CN"/>
        </w:rPr>
        <w:t>小学“民转公”后财政资金拨付及时，工作部署也及时完成</w:t>
      </w:r>
      <w:r>
        <w:rPr>
          <w:rFonts w:hint="eastAsia" w:ascii="仿宋" w:hAnsi="仿宋" w:eastAsia="仿宋" w:cs="仿宋"/>
          <w:color w:val="000000" w:themeColor="text1"/>
          <w:spacing w:val="0"/>
          <w:sz w:val="32"/>
          <w:szCs w:val="32"/>
          <w:lang w:eastAsia="zh-CN"/>
          <w14:textFill>
            <w14:solidFill>
              <w14:schemeClr w14:val="tx1"/>
            </w14:solidFill>
          </w14:textFill>
        </w:rPr>
        <w:t>。</w:t>
      </w:r>
    </w:p>
    <w:p>
      <w:pPr>
        <w:numPr>
          <w:ilvl w:val="0"/>
          <w:numId w:val="7"/>
        </w:numPr>
        <w:spacing w:after="240" w:line="400" w:lineRule="exact"/>
        <w:ind w:left="0" w:leftChars="0" w:firstLine="0" w:firstLineChars="0"/>
        <w:jc w:val="left"/>
        <w:rPr>
          <w:rFonts w:hint="eastAsia" w:ascii="仿宋" w:hAnsi="仿宋" w:eastAsia="仿宋" w:cs="仿宋"/>
          <w:color w:val="000000" w:themeColor="text1"/>
          <w:spacing w:val="0"/>
          <w:sz w:val="32"/>
          <w:szCs w:val="32"/>
          <w:lang w:val="en-US" w:eastAsia="zh-CN"/>
          <w14:textFill>
            <w14:solidFill>
              <w14:schemeClr w14:val="tx1"/>
            </w14:solidFill>
          </w14:textFill>
        </w:rPr>
      </w:pPr>
      <w:r>
        <w:rPr>
          <w:rFonts w:hint="eastAsia" w:ascii="仿宋" w:hAnsi="仿宋" w:eastAsia="仿宋" w:cs="仿宋"/>
          <w:color w:val="000000" w:themeColor="text1"/>
          <w:spacing w:val="0"/>
          <w:sz w:val="32"/>
          <w:szCs w:val="32"/>
          <w:lang w:val="en-US" w:eastAsia="zh-CN"/>
          <w14:textFill>
            <w14:solidFill>
              <w14:schemeClr w14:val="tx1"/>
            </w14:solidFill>
          </w14:textFill>
        </w:rPr>
        <w:t>成本指标</w:t>
      </w:r>
    </w:p>
    <w:p>
      <w:pPr>
        <w:ind w:firstLine="640" w:firstLineChars="200"/>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sz w:val="32"/>
          <w:szCs w:val="32"/>
          <w:lang w:val="en-US" w:eastAsia="zh-CN"/>
        </w:rPr>
        <w:t>拨付50多万元作为学校的启动资金，在资金、政策的支持下，校园环境有了明显的改善。</w:t>
      </w:r>
    </w:p>
    <w:p>
      <w:pPr>
        <w:numPr>
          <w:ilvl w:val="0"/>
          <w:numId w:val="6"/>
        </w:numPr>
        <w:spacing w:after="240" w:line="400" w:lineRule="exact"/>
        <w:ind w:firstLine="64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pPr>
        <w:numPr>
          <w:ilvl w:val="0"/>
          <w:numId w:val="0"/>
        </w:numPr>
        <w:spacing w:after="240" w:line="400" w:lineRule="exact"/>
        <w:ind w:firstLine="300" w:firstLineChars="10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1、经济效益</w:t>
      </w:r>
    </w:p>
    <w:p>
      <w:pPr>
        <w:numPr>
          <w:ilvl w:val="0"/>
          <w:numId w:val="0"/>
        </w:numPr>
        <w:spacing w:after="240" w:line="400" w:lineRule="exact"/>
        <w:ind w:leftChars="0" w:firstLine="300" w:firstLineChars="100"/>
        <w:jc w:val="left"/>
        <w:rPr>
          <w:rFonts w:hint="eastAsia" w:ascii="仿宋" w:hAnsi="仿宋" w:eastAsia="仿宋" w:cs="仿宋"/>
          <w:color w:val="000000" w:themeColor="text1"/>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不适用。</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2、社会效益</w:t>
      </w:r>
    </w:p>
    <w:p>
      <w:pPr>
        <w:keepNext w:val="0"/>
        <w:keepLines w:val="0"/>
        <w:pageBreakBefore w:val="0"/>
        <w:widowControl w:val="0"/>
        <w:kinsoku/>
        <w:wordWrap/>
        <w:overflowPunct/>
        <w:topLinePunct w:val="0"/>
        <w:autoSpaceDE/>
        <w:autoSpaceDN/>
        <w:bidi w:val="0"/>
        <w:adjustRightInd/>
        <w:snapToGrid/>
        <w:ind w:firstLine="600" w:firstLineChars="200"/>
        <w:jc w:val="left"/>
        <w:textAlignment w:val="auto"/>
        <w:rPr>
          <w:rFonts w:hint="default"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通过合理使用学校资金，提升教育教学质量，改善教育教学条件，使义务教育学校健康发展，教学质量得以保证，教师队伍得到了有效稳定。传统文化经典是中华民族的文化瑰宝，德育处以课堂和活动为载体，引导学生深入领略传统文化的魅力，开展了丰富多彩的传统文化活动。如：“浓浓中秋情，悠悠中国韵”中秋节活动、“九九重阳节，百善孝为先”重阳节活动等，弘扬中华民族优秀传统，树立传承节日文化的责任心，有效的增强了学生民族自豪感和爱国情。</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3、生态效益</w:t>
      </w:r>
    </w:p>
    <w:p>
      <w:pPr>
        <w:keepNext w:val="0"/>
        <w:keepLines w:val="0"/>
        <w:pageBreakBefore w:val="0"/>
        <w:widowControl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不适用。</w:t>
      </w:r>
    </w:p>
    <w:p>
      <w:pPr>
        <w:keepNext w:val="0"/>
        <w:keepLines w:val="0"/>
        <w:pageBreakBefore w:val="0"/>
        <w:widowControl w:val="0"/>
        <w:numPr>
          <w:ilvl w:val="0"/>
          <w:numId w:val="0"/>
        </w:numPr>
        <w:kinsoku/>
        <w:wordWrap/>
        <w:overflowPunct/>
        <w:topLinePunct w:val="0"/>
        <w:autoSpaceDE/>
        <w:autoSpaceDN/>
        <w:bidi w:val="0"/>
        <w:adjustRightInd/>
        <w:snapToGrid/>
        <w:ind w:leftChars="0"/>
        <w:jc w:val="left"/>
        <w:textAlignment w:val="auto"/>
        <w:rPr>
          <w:rFonts w:hint="eastAsia" w:ascii="仿宋" w:hAnsi="仿宋" w:eastAsia="仿宋" w:cs="仿宋"/>
          <w:color w:val="000000"/>
          <w:sz w:val="30"/>
          <w:szCs w:val="30"/>
        </w:rPr>
      </w:pPr>
      <w:r>
        <w:rPr>
          <w:rFonts w:hint="eastAsia" w:ascii="仿宋" w:hAnsi="仿宋" w:eastAsia="仿宋" w:cs="仿宋"/>
          <w:color w:val="000000"/>
          <w:sz w:val="30"/>
          <w:szCs w:val="30"/>
          <w:lang w:val="en-US" w:eastAsia="zh-CN"/>
        </w:rPr>
        <w:t>4、</w:t>
      </w:r>
      <w:r>
        <w:rPr>
          <w:rFonts w:hint="eastAsia" w:ascii="仿宋" w:hAnsi="仿宋" w:eastAsia="仿宋" w:cs="仿宋"/>
          <w:color w:val="000000"/>
          <w:sz w:val="30"/>
          <w:szCs w:val="30"/>
        </w:rPr>
        <w:t>可持续影响</w:t>
      </w:r>
    </w:p>
    <w:p>
      <w:pPr>
        <w:keepNext w:val="0"/>
        <w:keepLines w:val="0"/>
        <w:pageBreakBefore w:val="0"/>
        <w:widowControl w:val="0"/>
        <w:numPr>
          <w:ilvl w:val="0"/>
          <w:numId w:val="0"/>
        </w:numPr>
        <w:kinsoku/>
        <w:wordWrap/>
        <w:overflowPunct/>
        <w:topLinePunct w:val="0"/>
        <w:autoSpaceDE/>
        <w:autoSpaceDN/>
        <w:bidi w:val="0"/>
        <w:adjustRightInd/>
        <w:snapToGrid/>
        <w:ind w:leftChars="0" w:firstLine="600" w:firstLineChars="200"/>
        <w:jc w:val="left"/>
        <w:textAlignment w:val="auto"/>
        <w:rPr>
          <w:rFonts w:hint="eastAsia" w:ascii="仿宋" w:hAnsi="仿宋" w:eastAsia="仿宋" w:cs="仿宋"/>
          <w:color w:val="000000"/>
          <w:sz w:val="30"/>
          <w:szCs w:val="30"/>
          <w:lang w:val="en-US" w:eastAsia="zh-CN"/>
        </w:rPr>
      </w:pPr>
      <w:r>
        <w:rPr>
          <w:rFonts w:hint="eastAsia" w:ascii="仿宋" w:hAnsi="仿宋" w:eastAsia="仿宋" w:cs="仿宋"/>
          <w:color w:val="000000" w:themeColor="text1"/>
          <w:sz w:val="30"/>
          <w:szCs w:val="30"/>
          <w:lang w:val="en-US" w:eastAsia="zh-CN"/>
          <w14:textFill>
            <w14:solidFill>
              <w14:schemeClr w14:val="tx1"/>
            </w14:solidFill>
          </w14:textFill>
        </w:rPr>
        <w:t>长期坚持促进教育事业发展。</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5、社会公众满意度</w:t>
      </w:r>
    </w:p>
    <w:p>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社区满意度98%，家长满意度98%，学生满意度达98%。</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学校财务人员对财务知识学习培训程度不够，导致对决算编制口径理解不足。在部门预算编制、部门决算编制操作中存在一些困难。</w:t>
      </w:r>
    </w:p>
    <w:p>
      <w:pPr>
        <w:keepNext w:val="0"/>
        <w:keepLines w:val="0"/>
        <w:pageBreakBefore w:val="0"/>
        <w:widowControl w:val="0"/>
        <w:numPr>
          <w:ilvl w:val="0"/>
          <w:numId w:val="8"/>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建议教育行政主管部门和财政部门应高度重视学校财务人员的专业技能培训，注重培训学校财务人员的实际操作能力，教育主管部门应定期组织财务培训，提升学校财务人员的财务专业技能，使学校在没有配置专职人员时，虽然没有专业资质，但在实际操作中，确实能够熟练掌握操作技能，较好的完成学校的各项财务工作。</w:t>
      </w:r>
    </w:p>
    <w:p>
      <w:pPr>
        <w:keepNext w:val="0"/>
        <w:keepLines w:val="0"/>
        <w:pageBreakBefore w:val="0"/>
        <w:widowControl w:val="0"/>
        <w:numPr>
          <w:ilvl w:val="0"/>
          <w:numId w:val="8"/>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0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高度重视绩效评价结果的应用工作，积极探索和建立一套与预算管理相结合、多渠道应用评价结果的有效机制，着力提高绩效意识和财政资金使用效益。同时将部门整体支出绩效自评报告在单位门户网站上进行公开，广泛接受社会监督。</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4"/>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98</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D45A2E8"/>
    <w:multiLevelType w:val="singleLevel"/>
    <w:tmpl w:val="BD45A2E8"/>
    <w:lvl w:ilvl="0" w:tentative="0">
      <w:start w:val="1"/>
      <w:numFmt w:val="chineseCounting"/>
      <w:suff w:val="nothing"/>
      <w:lvlText w:val="%1、"/>
      <w:lvlJc w:val="left"/>
      <w:rPr>
        <w:rFonts w:hint="eastAsia"/>
      </w:rPr>
    </w:lvl>
  </w:abstractNum>
  <w:abstractNum w:abstractNumId="1">
    <w:nsid w:val="C9FE3285"/>
    <w:multiLevelType w:val="singleLevel"/>
    <w:tmpl w:val="C9FE3285"/>
    <w:lvl w:ilvl="0" w:tentative="0">
      <w:start w:val="3"/>
      <w:numFmt w:val="chineseCounting"/>
      <w:suff w:val="nothing"/>
      <w:lvlText w:val="（%1）"/>
      <w:lvlJc w:val="left"/>
      <w:rPr>
        <w:rFonts w:hint="eastAsia"/>
      </w:rPr>
    </w:lvl>
  </w:abstractNum>
  <w:abstractNum w:abstractNumId="2">
    <w:nsid w:val="E6B8514D"/>
    <w:multiLevelType w:val="singleLevel"/>
    <w:tmpl w:val="E6B8514D"/>
    <w:lvl w:ilvl="0" w:tentative="0">
      <w:start w:val="2"/>
      <w:numFmt w:val="decimal"/>
      <w:suff w:val="nothing"/>
      <w:lvlText w:val="%1、"/>
      <w:lvlJc w:val="left"/>
    </w:lvl>
  </w:abstractNum>
  <w:abstractNum w:abstractNumId="3">
    <w:nsid w:val="FF172FCC"/>
    <w:multiLevelType w:val="singleLevel"/>
    <w:tmpl w:val="FF172FCC"/>
    <w:lvl w:ilvl="0" w:tentative="0">
      <w:start w:val="2"/>
      <w:numFmt w:val="chineseCounting"/>
      <w:lvlText w:val="(%1)"/>
      <w:lvlJc w:val="left"/>
      <w:pPr>
        <w:tabs>
          <w:tab w:val="left" w:pos="312"/>
        </w:tabs>
      </w:pPr>
      <w:rPr>
        <w:rFonts w:hint="eastAsia"/>
      </w:rPr>
    </w:lvl>
  </w:abstractNum>
  <w:abstractNum w:abstractNumId="4">
    <w:nsid w:val="2C6E2347"/>
    <w:multiLevelType w:val="singleLevel"/>
    <w:tmpl w:val="2C6E2347"/>
    <w:lvl w:ilvl="0" w:tentative="0">
      <w:start w:val="1"/>
      <w:numFmt w:val="decimal"/>
      <w:suff w:val="nothing"/>
      <w:lvlText w:val="%1、"/>
      <w:lvlJc w:val="left"/>
    </w:lvl>
  </w:abstractNum>
  <w:abstractNum w:abstractNumId="5">
    <w:nsid w:val="4D79A5B9"/>
    <w:multiLevelType w:val="singleLevel"/>
    <w:tmpl w:val="4D79A5B9"/>
    <w:lvl w:ilvl="0" w:tentative="0">
      <w:start w:val="1"/>
      <w:numFmt w:val="chineseCounting"/>
      <w:suff w:val="nothing"/>
      <w:lvlText w:val="（%1）"/>
      <w:lvlJc w:val="left"/>
      <w:rPr>
        <w:rFonts w:hint="eastAsia"/>
      </w:rPr>
    </w:lvl>
  </w:abstractNum>
  <w:abstractNum w:abstractNumId="6">
    <w:nsid w:val="6371B011"/>
    <w:multiLevelType w:val="singleLevel"/>
    <w:tmpl w:val="6371B011"/>
    <w:lvl w:ilvl="0" w:tentative="0">
      <w:start w:val="4"/>
      <w:numFmt w:val="chineseCounting"/>
      <w:suff w:val="nothing"/>
      <w:lvlText w:val="%1、"/>
      <w:lvlJc w:val="left"/>
      <w:rPr>
        <w:rFonts w:hint="eastAsia"/>
      </w:rPr>
    </w:lvl>
  </w:abstractNum>
  <w:abstractNum w:abstractNumId="7">
    <w:nsid w:val="65921D6B"/>
    <w:multiLevelType w:val="singleLevel"/>
    <w:tmpl w:val="65921D6B"/>
    <w:lvl w:ilvl="0" w:tentative="0">
      <w:start w:val="8"/>
      <w:numFmt w:val="chineseCounting"/>
      <w:suff w:val="nothing"/>
      <w:lvlText w:val="%1、"/>
      <w:lvlJc w:val="left"/>
      <w:rPr>
        <w:rFonts w:hint="eastAsia"/>
      </w:rPr>
    </w:lvl>
  </w:abstractNum>
  <w:num w:numId="1">
    <w:abstractNumId w:val="2"/>
  </w:num>
  <w:num w:numId="2">
    <w:abstractNumId w:val="0"/>
  </w:num>
  <w:num w:numId="3">
    <w:abstractNumId w:val="1"/>
  </w:num>
  <w:num w:numId="4">
    <w:abstractNumId w:val="3"/>
  </w:num>
  <w:num w:numId="5">
    <w:abstractNumId w:val="6"/>
  </w:num>
  <w:num w:numId="6">
    <w:abstractNumId w:val="5"/>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2OWIyZWE4M2EwYmZkMTZjYjAwYjI5NjRjYjY3NGI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7A5B62"/>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D27238"/>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9E25975"/>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DB3003"/>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BE449C4"/>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81B78"/>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D5798"/>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652773"/>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D07BDB"/>
    <w:rsid w:val="33EE53FA"/>
    <w:rsid w:val="33FD7485"/>
    <w:rsid w:val="34012F1B"/>
    <w:rsid w:val="34467089"/>
    <w:rsid w:val="34523AB5"/>
    <w:rsid w:val="345F5C5C"/>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6E17FEF"/>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DF4D48"/>
    <w:rsid w:val="3AE73EDB"/>
    <w:rsid w:val="3B08641D"/>
    <w:rsid w:val="3B1C7A19"/>
    <w:rsid w:val="3B2B5582"/>
    <w:rsid w:val="3B4234D4"/>
    <w:rsid w:val="3B536885"/>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35E0"/>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2F7478"/>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5D2ED2"/>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D20C9D"/>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39356A"/>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6B5A"/>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0E750C"/>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07158E"/>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750255"/>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C963A8"/>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5293</Words>
  <Characters>5619</Characters>
  <Lines>0</Lines>
  <Paragraphs>0</Paragraphs>
  <TotalTime>14</TotalTime>
  <ScaleCrop>false</ScaleCrop>
  <LinksUpToDate>false</LinksUpToDate>
  <CharactersWithSpaces>5812</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不忘初心</cp:lastModifiedBy>
  <cp:lastPrinted>2023-06-21T11:10:00Z</cp:lastPrinted>
  <dcterms:modified xsi:type="dcterms:W3CDTF">2023-10-16T11:05:50Z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50306CC149C84F98BF850919EA3E5AFB_13</vt:lpwstr>
  </property>
</Properties>
</file>