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tabs>
                <w:tab w:val="left" w:pos="1489"/>
              </w:tabs>
              <w:spacing w:before="103" w:line="219" w:lineRule="auto"/>
              <w:ind w:firstLine="1372" w:firstLineChars="700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岳阳市第三中学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83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83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0.90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0.90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50.48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89.60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208.82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11.60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23.60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36.99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9.69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8.90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4.56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19.70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385.75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         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2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029"/>
        <w:gridCol w:w="984"/>
        <w:gridCol w:w="1214"/>
        <w:gridCol w:w="1267"/>
        <w:gridCol w:w="1218"/>
        <w:gridCol w:w="681"/>
        <w:gridCol w:w="760"/>
        <w:gridCol w:w="1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tcBorders>
              <w:bottom w:val="nil"/>
            </w:tcBorders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预算单位 名称</w:t>
            </w:r>
          </w:p>
        </w:tc>
        <w:tc>
          <w:tcPr>
            <w:tcW w:w="4453" w:type="pct"/>
            <w:gridSpan w:val="8"/>
            <w:vAlign w:val="center"/>
          </w:tcPr>
          <w:p>
            <w:pPr>
              <w:tabs>
                <w:tab w:val="left" w:pos="3595"/>
              </w:tabs>
              <w:spacing w:line="194" w:lineRule="auto"/>
              <w:ind w:firstLine="3150" w:firstLineChars="1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岳阳市第三中学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47" w:type="pct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07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年初预算数</w:t>
            </w:r>
          </w:p>
        </w:tc>
        <w:tc>
          <w:tcPr>
            <w:tcW w:w="673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全年预算数</w:t>
            </w:r>
          </w:p>
        </w:tc>
        <w:tc>
          <w:tcPr>
            <w:tcW w:w="647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全年执行数</w:t>
            </w:r>
          </w:p>
        </w:tc>
        <w:tc>
          <w:tcPr>
            <w:tcW w:w="362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404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652" w:type="pct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pct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645" w:type="pct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2005.74</w:t>
            </w:r>
          </w:p>
        </w:tc>
        <w:tc>
          <w:tcPr>
            <w:tcW w:w="673" w:type="pct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2391.49</w:t>
            </w:r>
          </w:p>
        </w:tc>
        <w:tc>
          <w:tcPr>
            <w:tcW w:w="647" w:type="pct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2391.49</w:t>
            </w:r>
          </w:p>
        </w:tc>
        <w:tc>
          <w:tcPr>
            <w:tcW w:w="362" w:type="pct"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10</w:t>
            </w:r>
          </w:p>
        </w:tc>
        <w:tc>
          <w:tcPr>
            <w:tcW w:w="404" w:type="pct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100%</w:t>
            </w:r>
          </w:p>
        </w:tc>
        <w:tc>
          <w:tcPr>
            <w:tcW w:w="652" w:type="pct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按收入性质分：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zCs w:val="21"/>
              </w:rPr>
              <w:t>2089.26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zCs w:val="21"/>
              </w:rPr>
              <w:t>2391.49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20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zCs w:val="21"/>
              </w:rPr>
              <w:t>0.00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19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zCs w:val="21"/>
              </w:rPr>
              <w:t>155.67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192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zCs w:val="21"/>
              </w:rPr>
              <w:t>146.57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2388" w:type="pct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2065" w:type="pct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pct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目标1：规范教学常规；                                 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目标2：狠抓教研教改；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目标3：提高业务能力；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pct"/>
            <w:gridSpan w:val="4"/>
            <w:vAlign w:val="center"/>
          </w:tcPr>
          <w:p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目标1：我校建立了教学常规督导制度，注重教师的“备、教、批、辅、考”各个环节，形成了高三、高一月考，高二单元考的考试制度。</w:t>
            </w:r>
          </w:p>
          <w:p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目标2：全年教研活动236次，常规教研课110堂，校级示范课62堂，全校教师发表各级论文9篇，获奖论文10余篇。</w:t>
            </w:r>
          </w:p>
          <w:p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目标3：本年度教师各类培训11个，涉及国培、省培、市培、县培4个层次，参与人数112人。</w:t>
            </w:r>
          </w:p>
          <w:p>
            <w:pP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7" w:type="pct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547" w:type="pc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523" w:type="pc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45" w:type="pc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673" w:type="pc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647" w:type="pc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362" w:type="pc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04" w:type="pc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52" w:type="pct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523" w:type="pct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645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开展教研活动数量</w:t>
            </w:r>
          </w:p>
        </w:tc>
        <w:tc>
          <w:tcPr>
            <w:tcW w:w="673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≧230次</w:t>
            </w:r>
          </w:p>
        </w:tc>
        <w:tc>
          <w:tcPr>
            <w:tcW w:w="647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236次</w:t>
            </w:r>
          </w:p>
        </w:tc>
        <w:tc>
          <w:tcPr>
            <w:tcW w:w="362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常规教研课数量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≧105堂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110堂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发表各级论文</w:t>
            </w:r>
          </w:p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73" w:type="pct"/>
            <w:vAlign w:val="center"/>
          </w:tcPr>
          <w:p>
            <w:pPr>
              <w:spacing w:line="239" w:lineRule="exact"/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≧8篇</w:t>
            </w:r>
          </w:p>
        </w:tc>
        <w:tc>
          <w:tcPr>
            <w:tcW w:w="647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9篇</w:t>
            </w:r>
          </w:p>
        </w:tc>
        <w:tc>
          <w:tcPr>
            <w:tcW w:w="36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在校学生总数</w:t>
            </w:r>
          </w:p>
        </w:tc>
        <w:tc>
          <w:tcPr>
            <w:tcW w:w="673" w:type="pct"/>
            <w:vAlign w:val="center"/>
          </w:tcPr>
          <w:p>
            <w:pPr>
              <w:spacing w:line="239" w:lineRule="exact"/>
              <w:ind w:firstLine="420" w:firstLineChars="200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≧860人</w:t>
            </w:r>
          </w:p>
        </w:tc>
        <w:tc>
          <w:tcPr>
            <w:tcW w:w="647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872人</w:t>
            </w:r>
          </w:p>
        </w:tc>
        <w:tc>
          <w:tcPr>
            <w:tcW w:w="36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高一史生地化4科合格率</w:t>
            </w:r>
          </w:p>
        </w:tc>
        <w:tc>
          <w:tcPr>
            <w:tcW w:w="673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≧98%</w:t>
            </w:r>
          </w:p>
        </w:tc>
        <w:tc>
          <w:tcPr>
            <w:tcW w:w="647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高二合格考合格率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98.3%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高考本科上线人数</w:t>
            </w:r>
          </w:p>
        </w:tc>
        <w:tc>
          <w:tcPr>
            <w:tcW w:w="673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≧18人</w:t>
            </w:r>
          </w:p>
        </w:tc>
        <w:tc>
          <w:tcPr>
            <w:tcW w:w="647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362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645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教职工工资福利发放情况</w:t>
            </w:r>
          </w:p>
        </w:tc>
        <w:tc>
          <w:tcPr>
            <w:tcW w:w="673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647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36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完成上级下达各项任务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645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全年教育投入经费</w:t>
            </w:r>
          </w:p>
        </w:tc>
        <w:tc>
          <w:tcPr>
            <w:tcW w:w="673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≦2391.49万元</w:t>
            </w:r>
          </w:p>
        </w:tc>
        <w:tc>
          <w:tcPr>
            <w:tcW w:w="647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2391.49万元</w:t>
            </w:r>
          </w:p>
        </w:tc>
        <w:tc>
          <w:tcPr>
            <w:tcW w:w="36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发放助学金</w:t>
            </w:r>
          </w:p>
        </w:tc>
        <w:tc>
          <w:tcPr>
            <w:tcW w:w="673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≦2万元</w:t>
            </w:r>
          </w:p>
        </w:tc>
        <w:tc>
          <w:tcPr>
            <w:tcW w:w="647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2万元</w:t>
            </w:r>
          </w:p>
        </w:tc>
        <w:tc>
          <w:tcPr>
            <w:tcW w:w="362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ajorEastAsia"/>
                <w:color w:val="auto"/>
                <w:spacing w:val="1"/>
                <w:szCs w:val="21"/>
              </w:rPr>
              <w:t>公务接待费</w:t>
            </w:r>
          </w:p>
        </w:tc>
        <w:tc>
          <w:tcPr>
            <w:tcW w:w="673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≦1万元</w:t>
            </w:r>
          </w:p>
        </w:tc>
        <w:tc>
          <w:tcPr>
            <w:tcW w:w="647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0.27万元</w:t>
            </w:r>
          </w:p>
        </w:tc>
        <w:tc>
          <w:tcPr>
            <w:tcW w:w="362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404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652" w:type="pct"/>
            <w:vAlign w:val="center"/>
          </w:tcPr>
          <w:p>
            <w:pPr>
              <w:spacing w:line="230" w:lineRule="exact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认真贯彻落实中央“八项规定”精神和厉行节约要求，从严控制“三公”经费开支，全年实际支出比预算有所节约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523" w:type="pct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73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47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4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restart"/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强化安全意识，打造平安校园。</w:t>
            </w:r>
          </w:p>
        </w:tc>
        <w:tc>
          <w:tcPr>
            <w:tcW w:w="673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647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提升文化品位，创建书香校园。</w:t>
            </w:r>
          </w:p>
        </w:tc>
        <w:tc>
          <w:tcPr>
            <w:tcW w:w="673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647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645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积极开展“三园建设”，塑造精美校园</w:t>
            </w:r>
          </w:p>
        </w:tc>
        <w:tc>
          <w:tcPr>
            <w:tcW w:w="673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647" w:type="pct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36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4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积极应对新高考改革，加强对新高考科目的研究，提升办学质量，扩大社会影响。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7" w:type="pct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47" w:type="pct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36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82" w:type="pct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2022年度岳阳市第三中学整体支出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2022年度岳阳市第三中学整体支出绩效自评报告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单位性质为全额拨款的事业单位，隶属于岳阳市岳阳楼区教育局，市属高中学校，按照规定执行《事业单位会计制度》。经机构编制管理部门核定，我单位共有职工191人，其中：在编人员83人，离退休108人。学生872人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1、实行教育教学工作；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2、开展学校各项工作；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3、严格管理学校各项开支，控制三公经费支出；</w:t>
      </w:r>
    </w:p>
    <w:p>
      <w:pPr>
        <w:snapToGrid w:val="0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4、保障教职员工的工资福利待遇，保证学校各项工作顺利开展；5、保障全体师生安全，提高教学质量，稳定教学秩序。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（三）年度工作内容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1、学校制定了详实的党建工作计划、意识形态工作计划，按要求建章立制，班子成员“一岗双责”，纵览全局。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2、积极倡导“做朴素的教育”的办学理念，总支书记刘其军作了“提质创优”等4次专题讲座报告，在全体教职员中开展了 “师德师风警示教育”活动4次。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3、我校建立了教学常规督导制度，注重教师的“备、教、批、辅、考”各个环节，形成了高三、高一月考，高二单元考的考试制度。</w:t>
      </w:r>
    </w:p>
    <w:p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4、全年教研活动236次，常规教研课110堂，校级示范课62堂，全校教师发表各级论文9篇，获奖论文10余篇。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5、本年度教师各类培训11个，涉及国培、省培、市培、县培4个层次，参与人数112人。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6、组织教学比武。学校组织了第三届“贞信杯”教学竞赛，刘通英等12名青年教师的教学竞赛，评选出等3个一等奖、4个二等奖、5个三等奖。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对班级进行日常量化管理，对两操、班级卫生工区、午休、疫情防控、中学生五项管理等情况进行逐日检查、评分，优胜班级挂流动红旗。增添宣传画、宣传牌30多幅。政教处组织开展了“交通安全”、“心理健康教育” “绿色生态主题教育”、 “强国有我征文”、“消防安全教育”、“第46届师生运动会”、“2022年校园文化艺术节”、“清洁校园”志愿者活动、 “法治教育进校园”、“防艾滋病宣传”、“二十大知识竞赛” 等主题教育活动。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8、学校成立了由校长为组长的安全工作领导小组，许雄校长为第一责任人，责任层层分解。</w:t>
      </w:r>
    </w:p>
    <w:p>
      <w:pPr>
        <w:ind w:firstLine="56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9、完成了体育馆改造、维修工程，拆除、完成与老二医院交界处的围墙改造，拆除了被鉴定为危房的旧公厕、杂物房，新修了一栋公厕。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基本支出2022年度总支出2089.26万元，其中：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人员经费1880.43万元：包括基本工资492.79万元；津贴补贴74.97万元；奖金332.63万元；伙食补助费15.56万元； 绩效工资254.77万元；机关事业单位基本养老保险缴费122.62万元；职工基本医疗保险缴费62.54万元；其他社会保障缴费18.04万元；住房公积金121.29万元；其他工资福利支出5.81万元；离休费4.39万元；退休费292.85万元；抚恤金44.13万元；生活补助3.48万元；医疗费补助11.63万元；其他对个人和家庭的补助22.93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公用经费208.82万元：包括办公费11.60万元；印刷费7.52万元；水费14.84万元；电费15.50万元；邮电费2.40万元； 物业管理费7.58万元；差旅费6.66万元；维修（护）费15.90万元；培训费8.90万元； 公务接待费0.27万元；专用材料费3.77万元；劳务费13.56万元；工会经费23.96万元；其他交通费用0.64万元；税金及附加11.00万元；其他商品和服务支出45.03万元；办公设备购置6.64万元；专用设备购置7.28万元；其他资本性支出5.78万元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numPr>
          <w:ilvl w:val="0"/>
          <w:numId w:val="1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项目支出情况</w:t>
      </w:r>
    </w:p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本单位2022年度项目支出0万元。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2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预算执行比较到位。</w:t>
      </w:r>
    </w:p>
    <w:p>
      <w:pPr>
        <w:ind w:left="420" w:leftChars="200" w:firstLine="840" w:firstLineChars="3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预算执行率100%。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2.产出指标执行比较到位。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（1）数量指标：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在校学生总数872人，总支书记刘其军同志全年作了4次党课讲座。支部书记讲党课2次，班子成员各为党员将党课1次，严格落实了“三会一课”等制度。党建带团活动2次，开展了“师爱进万家”、 “党建带团建，走进社区送温暖”、新墙河抗战纪念馆“缅怀革命先烈，弘扬民族精神”等活动。全年教研活动236次，常规教研课110堂，校级示范课62堂，全校教师发表各级论文9篇，获奖论文10余篇。本年度教师各类培训11个，涉及国培、省培、市培、县培4个层次，参与人数112人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质量指标：2022年我校圆满地完成了学校各项工作任务和发展目标，高考本科上线21人，高一史生地化4科合格考合格率达100%，高二合格考合格率98.3%。语文教研组被评为“楼区名师工作室”。历史、英语备课组被评为楼区“优秀集体备课组”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3）时效指标：全体党员观看了二十大开幕式，认真学习领会二十大精神。积极参与“垃圾分类我先行”公益活动，6位党员走上街道社区进行宣传，积极参与防控防疫工作，1名党员坚持驻守防控点。本年度发展了1名新党员、1名入党积极分子。 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（4）成本指标：行政效能，不断提高管理水平，严格经费及资产管理，降低了行政成本。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3.效益指标执行比较到位。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（1）社会效益指标：政教处组织开展了“交通安全”、“心理健康教育” “绿色生态主题教育”、 “强国有我征文”、“消防安全教育”、“第46届师生运动会”、“2022年校园文化艺术节”、“清洁校园”志愿者活动、 “法治教育进校园”、“防艾滋病宣传”、“二十大知识竞赛” 等主题教育活动。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生态效益指标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：学校积极开展“三园建设”，塑造精美校园。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（3）可持续影响指标：积极应对新高考改革，加强对新高考科目的研究，加大对专业生、日语生的培优力度，努力提升我校高考上线人数，提升办学质量，扩大社会影响。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4.社会公众或服务对象满意度：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学生满意度目标：≧95%，实际值97%。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家长满意度目标：≧95%，实际值96%。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社会公众满意度目标：≧95%，实际值96%。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719271"/>
    <w:multiLevelType w:val="singleLevel"/>
    <w:tmpl w:val="A271927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5CA9DB"/>
    <w:multiLevelType w:val="singleLevel"/>
    <w:tmpl w:val="B45CA9DB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3423B8EE"/>
    <w:multiLevelType w:val="singleLevel"/>
    <w:tmpl w:val="3423B8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WIyZWE4M2EwYmZkMTZjYjAwYjI5NjRjYjY3NGIifQ=="/>
  </w:docVars>
  <w:rsids>
    <w:rsidRoot w:val="53FC3987"/>
    <w:rsid w:val="000A3765"/>
    <w:rsid w:val="000D4C85"/>
    <w:rsid w:val="001A2905"/>
    <w:rsid w:val="001D7282"/>
    <w:rsid w:val="001E34A4"/>
    <w:rsid w:val="002A607C"/>
    <w:rsid w:val="0039081D"/>
    <w:rsid w:val="003C359E"/>
    <w:rsid w:val="00560356"/>
    <w:rsid w:val="005D7831"/>
    <w:rsid w:val="005E6ECB"/>
    <w:rsid w:val="00744EA1"/>
    <w:rsid w:val="00915B73"/>
    <w:rsid w:val="009419CA"/>
    <w:rsid w:val="00955854"/>
    <w:rsid w:val="009B70B9"/>
    <w:rsid w:val="009C7330"/>
    <w:rsid w:val="00A00FBB"/>
    <w:rsid w:val="00A80E86"/>
    <w:rsid w:val="00BB68E3"/>
    <w:rsid w:val="00BF0721"/>
    <w:rsid w:val="00C03795"/>
    <w:rsid w:val="00C96FA9"/>
    <w:rsid w:val="00CB4726"/>
    <w:rsid w:val="00CE3756"/>
    <w:rsid w:val="00D27A74"/>
    <w:rsid w:val="00E57032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D30CD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87754C"/>
    <w:rsid w:val="03911277"/>
    <w:rsid w:val="039A540B"/>
    <w:rsid w:val="03BD010E"/>
    <w:rsid w:val="03C67B44"/>
    <w:rsid w:val="03E2685C"/>
    <w:rsid w:val="03E66326"/>
    <w:rsid w:val="03FF6E0F"/>
    <w:rsid w:val="0404259A"/>
    <w:rsid w:val="04051601"/>
    <w:rsid w:val="04150B3B"/>
    <w:rsid w:val="041A2F36"/>
    <w:rsid w:val="041C00E5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32784"/>
    <w:rsid w:val="0AC644AE"/>
    <w:rsid w:val="0ACB61B4"/>
    <w:rsid w:val="0ACD4157"/>
    <w:rsid w:val="0AE964B0"/>
    <w:rsid w:val="0B163034"/>
    <w:rsid w:val="0B1F5B6D"/>
    <w:rsid w:val="0B2F4AF7"/>
    <w:rsid w:val="0B3312B6"/>
    <w:rsid w:val="0B3C4BF7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AC58A9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9E6C9D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5F2540C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E439FA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9749A"/>
    <w:rsid w:val="250F44FD"/>
    <w:rsid w:val="2514288A"/>
    <w:rsid w:val="254723BC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210FD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44198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25F2F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B3218F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36D7D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4A45F5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8689D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983CE2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09F1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443DA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2F5BBB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26E94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500CA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8916E4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280196"/>
    <w:rsid w:val="543B788E"/>
    <w:rsid w:val="54447CBB"/>
    <w:rsid w:val="545062A7"/>
    <w:rsid w:val="545A6004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BE4C30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06439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AB4E4D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2F256B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05275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16ABA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7804E6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71F7C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列出段落1"/>
    <w:basedOn w:val="1"/>
    <w:qFormat/>
    <w:uiPriority w:val="0"/>
    <w:pPr>
      <w:spacing w:before="100" w:beforeAutospacing="1" w:after="100" w:afterAutospacing="1"/>
      <w:ind w:left="720"/>
      <w:contextualSpacing/>
    </w:p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5005</Words>
  <Characters>5532</Characters>
  <Lines>14</Lines>
  <Paragraphs>13</Paragraphs>
  <TotalTime>107</TotalTime>
  <ScaleCrop>false</ScaleCrop>
  <LinksUpToDate>false</LinksUpToDate>
  <CharactersWithSpaces>5761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不忘初心</cp:lastModifiedBy>
  <cp:lastPrinted>2023-05-26T08:11:00Z</cp:lastPrinted>
  <dcterms:modified xsi:type="dcterms:W3CDTF">2023-07-20T09:13:03Z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50306CC149C84F98BF850919EA3E5AFB_13</vt:lpwstr>
  </property>
</Properties>
</file>