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lang w:eastAsia="zh-CN"/>
        </w:rPr>
      </w:pPr>
      <w:r>
        <w:rPr>
          <w:rFonts w:hint="eastAsia"/>
          <w:sz w:val="44"/>
          <w:szCs w:val="44"/>
          <w:lang w:val="en-US" w:eastAsia="zh-CN"/>
        </w:rPr>
        <w:t>2022年</w:t>
      </w:r>
      <w:r>
        <w:rPr>
          <w:rFonts w:hint="eastAsia"/>
          <w:sz w:val="44"/>
          <w:szCs w:val="44"/>
          <w:lang w:eastAsia="zh-CN"/>
        </w:rPr>
        <w:t>转移性收入情况说明</w:t>
      </w:r>
    </w:p>
    <w:p>
      <w:pPr>
        <w:jc w:val="center"/>
        <w:rPr>
          <w:rFonts w:hint="eastAsia"/>
          <w:lang w:eastAsia="zh-CN"/>
        </w:rPr>
      </w:pPr>
    </w:p>
    <w:p>
      <w:pPr>
        <w:ind w:firstLine="640" w:firstLineChars="200"/>
        <w:rPr>
          <w:rFonts w:ascii="Droid Sans" w:hAnsi="Droid Sans" w:eastAsia="宋体" w:cs="Segoe UI"/>
          <w:color w:val="212529"/>
          <w:kern w:val="0"/>
          <w:sz w:val="32"/>
          <w:szCs w:val="32"/>
        </w:rPr>
      </w:pPr>
      <w:r>
        <w:rPr>
          <w:rFonts w:hint="eastAsia" w:ascii="Droid Sans" w:hAnsi="Droid Sans" w:eastAsia="宋体" w:cs="Segoe UI"/>
          <w:color w:val="212529"/>
          <w:kern w:val="0"/>
          <w:sz w:val="32"/>
          <w:szCs w:val="32"/>
          <w:lang w:val="en-US" w:eastAsia="zh-CN"/>
        </w:rPr>
        <w:t>2022年，预算岳阳楼区</w:t>
      </w:r>
      <w:r>
        <w:rPr>
          <w:rFonts w:ascii="Droid Sans" w:hAnsi="Droid Sans" w:eastAsia="宋体" w:cs="Segoe UI"/>
          <w:color w:val="212529"/>
          <w:kern w:val="0"/>
          <w:sz w:val="32"/>
          <w:szCs w:val="32"/>
        </w:rPr>
        <w:t>上级补助收入19</w:t>
      </w:r>
      <w:r>
        <w:rPr>
          <w:rFonts w:hint="eastAsia" w:ascii="Droid Sans" w:hAnsi="Droid Sans" w:eastAsia="宋体" w:cs="Segoe UI"/>
          <w:color w:val="212529"/>
          <w:kern w:val="0"/>
          <w:sz w:val="32"/>
          <w:szCs w:val="32"/>
          <w:lang w:val="en-US" w:eastAsia="zh-CN"/>
        </w:rPr>
        <w:t>8659</w:t>
      </w:r>
      <w:r>
        <w:rPr>
          <w:rFonts w:hint="eastAsia" w:ascii="Droid Sans" w:hAnsi="Droid Sans" w:eastAsia="宋体" w:cs="Segoe UI"/>
          <w:color w:val="212529"/>
          <w:kern w:val="0"/>
          <w:sz w:val="32"/>
          <w:szCs w:val="32"/>
          <w:lang w:eastAsia="zh-CN"/>
        </w:rPr>
        <w:t>万</w:t>
      </w:r>
      <w:r>
        <w:rPr>
          <w:rFonts w:ascii="Droid Sans" w:hAnsi="Droid Sans" w:eastAsia="宋体" w:cs="Segoe UI"/>
          <w:color w:val="212529"/>
          <w:kern w:val="0"/>
          <w:sz w:val="32"/>
          <w:szCs w:val="32"/>
        </w:rPr>
        <w:t>元（返还性收入</w:t>
      </w:r>
      <w:r>
        <w:rPr>
          <w:rFonts w:hint="eastAsia" w:ascii="Droid Sans" w:hAnsi="Droid Sans" w:eastAsia="宋体" w:cs="Segoe UI"/>
          <w:color w:val="212529"/>
          <w:kern w:val="0"/>
          <w:sz w:val="32"/>
          <w:szCs w:val="32"/>
          <w:lang w:val="en-US" w:eastAsia="zh-CN"/>
        </w:rPr>
        <w:t>24496万</w:t>
      </w:r>
      <w:r>
        <w:rPr>
          <w:rFonts w:ascii="Droid Sans" w:hAnsi="Droid Sans" w:eastAsia="宋体" w:cs="Segoe UI"/>
          <w:color w:val="212529"/>
          <w:kern w:val="0"/>
          <w:sz w:val="32"/>
          <w:szCs w:val="32"/>
        </w:rPr>
        <w:t>元、一般性转移支付收入</w:t>
      </w:r>
      <w:r>
        <w:rPr>
          <w:rFonts w:hint="eastAsia" w:ascii="Droid Sans" w:hAnsi="Droid Sans" w:eastAsia="宋体" w:cs="Segoe UI"/>
          <w:color w:val="212529"/>
          <w:kern w:val="0"/>
          <w:sz w:val="32"/>
          <w:szCs w:val="32"/>
          <w:lang w:val="en-US" w:eastAsia="zh-CN"/>
        </w:rPr>
        <w:t>174163</w:t>
      </w:r>
      <w:r>
        <w:rPr>
          <w:rFonts w:ascii="Droid Sans" w:hAnsi="Droid Sans" w:eastAsia="宋体" w:cs="Segoe UI"/>
          <w:color w:val="212529"/>
          <w:kern w:val="0"/>
          <w:sz w:val="32"/>
          <w:szCs w:val="32"/>
        </w:rPr>
        <w:t>亿元）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返还性收入24496万元。其中：增值税税收返还收入15998万元、消费税税收返还收入106万元、所得税基数返还收入2111万元、成品油价格和税费改革税收返还收入382万元、其他税收返还5899万元。</w:t>
      </w:r>
    </w:p>
    <w:p>
      <w:pPr>
        <w:ind w:firstLine="640" w:firstLineChars="200"/>
        <w:rPr>
          <w:rFonts w:hint="default" w:ascii="Droid Sans" w:hAnsi="Droid Sans" w:eastAsia="宋体" w:cs="Segoe UI"/>
          <w:color w:val="212529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一般性转移支付收入174163万元。其中：均衡性转移支付收入3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8731万元、县级基本财力保障机制将被资金15410万元、革命老区转移支付收入1252万元、重点生态功能区转移支付收入608万元、教育共同财政事权转移支付收入9850万元、文化旅游体育与传媒共同财政事权转移支付收入311万元、社会保障与就业共同财政政权转移支付收入15044万元、医疗卫生共同财政事权转移支付收入11974万元、农林水共同财政事权转移支付收入4330万元、结算补助收入613万元、企业事业单位划转补助收入2990万元、固定数额补助收入4050万元.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roid Sans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swiss"/>
    <w:pitch w:val="default"/>
    <w:sig w:usb0="E10022FF" w:usb1="C000E47F" w:usb2="00000029" w:usb3="00000000" w:csb0="200001DF" w:csb1="2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zMzg4Y2Y4YzUyYTVhYzk3MTliMzdlOTQ0NzA5MDMifQ=="/>
  </w:docVars>
  <w:rsids>
    <w:rsidRoot w:val="2BE07602"/>
    <w:rsid w:val="082F53BD"/>
    <w:rsid w:val="0D663809"/>
    <w:rsid w:val="0DC2517F"/>
    <w:rsid w:val="18710CC6"/>
    <w:rsid w:val="2BE07602"/>
    <w:rsid w:val="3D1F2482"/>
    <w:rsid w:val="49DB74D2"/>
    <w:rsid w:val="53025B5C"/>
    <w:rsid w:val="5F2B4FD3"/>
    <w:rsid w:val="63FC6C9D"/>
    <w:rsid w:val="6A067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" w:cs="黑体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52</Words>
  <Characters>72</Characters>
  <Lines>0</Lines>
  <Paragraphs>0</Paragraphs>
  <TotalTime>4</TotalTime>
  <ScaleCrop>false</ScaleCrop>
  <LinksUpToDate>false</LinksUpToDate>
  <CharactersWithSpaces>72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2021-06-17T05:09:00Z</dcterms:created>
  <dc:creator></dc:creator>
  <cp:lastModifiedBy>周明</cp:lastModifiedBy>
  <dcterms:modified xsi:type="dcterms:W3CDTF">2023-09-25T02:01:04Z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DBAF4951B63D4361A35E58EF2D574A3D_13</vt:lpwstr>
  </property>
</Properties>
</file>