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 xml:space="preserve">部门(单位)名称： </w:t>
      </w:r>
      <w:r>
        <w:rPr>
          <w:rFonts w:hint="eastAsia" w:eastAsia="仿宋_GB2312"/>
          <w:sz w:val="32"/>
          <w:szCs w:val="32"/>
          <w:u w:val="single"/>
        </w:rPr>
        <w:t>岳阳市岳阳楼区文化馆</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 xml:space="preserve"> 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6"/>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10"/>
        <w:gridCol w:w="31"/>
        <w:gridCol w:w="259"/>
        <w:gridCol w:w="1403"/>
        <w:gridCol w:w="1032"/>
        <w:gridCol w:w="489"/>
        <w:gridCol w:w="223"/>
        <w:gridCol w:w="875"/>
        <w:gridCol w:w="1198"/>
        <w:gridCol w:w="145"/>
        <w:gridCol w:w="561"/>
        <w:gridCol w:w="369"/>
        <w:gridCol w:w="302"/>
        <w:gridCol w:w="423"/>
        <w:gridCol w:w="139"/>
        <w:gridCol w:w="21"/>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4312"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张红梅</w:t>
            </w:r>
          </w:p>
        </w:tc>
        <w:tc>
          <w:tcPr>
            <w:tcW w:w="1904"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13607302855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4312"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c>
          <w:tcPr>
            <w:tcW w:w="1904"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职能职责概述</w:t>
            </w:r>
          </w:p>
        </w:tc>
        <w:tc>
          <w:tcPr>
            <w:tcW w:w="8409" w:type="dxa"/>
            <w:gridSpan w:val="16"/>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岳阳楼区文化馆是岳阳楼区人民政府设立的公益性文化事业机构，是承担政府公共文化事业、繁荣群众文化的主导性业务部门；是组织指导、开展群众文化活动，抢救保护非物质文化遗产文化、弘扬和传承民族民间文化、营造良好城市人文环境的重要载体之一；是向社会免费开放、为群众提供公共文化服务的重要场所之一；为构建和谐社会和公共文化服务体系建设起到基础性地位和重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25"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409" w:type="dxa"/>
            <w:gridSpan w:val="16"/>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完成全年度公益培训20场。</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开展数字文化服务，公共文化场馆实行全年免费开放， </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完成传统文化进校园，进景区、进乡村、进机关、进工地。</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4、完成送文化下乡20场次、组织开展大型群众文化活动4场次。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5"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年度部门（单位）总体运行情况及取得的成绩</w:t>
            </w:r>
          </w:p>
        </w:tc>
        <w:tc>
          <w:tcPr>
            <w:tcW w:w="8409" w:type="dxa"/>
            <w:gridSpan w:val="16"/>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一、群文活动出成效；</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1.圆满完成“欢乐潇湘—百团百角唱百年”岳阳楼区专场文艺汇演活动，打造配乐诗朗诵《信念永恒》、歌曲《百年红色》赴市参赛，均获优秀节目奖。</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2.圆满完成我区 “我心向党·百年辉煌”歌咏比赛活动4场。服务人次5000余人，选送教育局团队赴市参赛活动一等奖。组织开展“第七届湖南省艺术节岳阳楼区美术书法摄影精品邀请展”一场，服务人次1000余人。</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3.圆满完成年度文化惠民工程“送戏下乡”20场，该活动参与人数达1200余人，服务人次15000余人，并于2021年初纳入我区市级重点民生实事项目。</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岳阳楼区“七送一展”志愿服务活动依托传统节日·春节·元宵已续打造六年，每年开展15场次左右，历时一个半月完成，已成为老百姓家喻户晓的节日品牌活动。2021年12月下旬至2022年元月、将有13场形式各异的文艺活动在全区范围内开展。</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二、文艺创作放异彩</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是文化馆文艺创作收获之年，我馆组织专业人员创作10场次，文艺作品30余件，在第七届湖南省艺术节专业艺术板块中，我馆选送的美术作品《观塔之十》获齐白石艺术奖。摄影作品《美丽乡村我的家》（赵敏）获优秀作品奖。油画《风雪夜归人》、国画《林山春望》获提名奖，另有5件美术摄影作品入选。在群众文艺板块中，小戏《告别》获最佳文艺创作奖，与民院联合打造舞蹈《天佑》（声声不息）获优秀作品奖</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三、公益课堂“育”文化</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依托市民艺术大学；市民艺术大学已成功开办三期，共设5个艺术门类13个班每学期学员常规保有量500多人，坚持周一至周五连续授课，场馆周转率达百分之百。每期为学员举办演出和线上线下作品展览。2021年，文化馆革新办学理念，在基础训练上辅以创作提高，美术班的写生、雅集活动、声乐舞蹈班的演出大大提升了学员的艺术创造能力和审美能力，市民“共建文化楼区、共享美好生活”的参与感、获得感、幸福感与日俱增。</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依托年度公益培训；每年的金秋季节是我馆“坚定文化自信·提升文化内涵”公益培训季，文化馆组织大专院校教师、市内知名艺术家成立文化志愿服务小分队，进机关、社区/村、学校等地，每年为普通市民、社会公职人员、大专院校及中小学生授课达800课时，服务人次10000余人。让公益培训不仅是一项社会服务，更成为一种时尚。</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四、创建基层服务点“种”文化</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从2017年到现在，4年间，我们在湖南理工、湖南民院、九华山小学、东方红小学、洞庭街道、茶博城创建了“洞庭渔歌”“楚鼓舞”两个非遗保护项目传承基地，培植传承队伍12支。 为了让边远乡村的老百姓享受公共文化服务，2021年，我馆在麻布村建立了“魅力屋场”广场舞培训基地、“美丽乡村”美术摄影写生基地，在马安小学为留守儿童开设了“陶艺课堂”，半年时间，开展广场舞培训2场，美术写生辅导4场，艺术送教1场，实现从“育文化”到“种文化”华丽蜕变，让“文化种子”在基层生根发芽、遍地开花。</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五、非遗保护成亮点</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复排历年来“洞庭渔歌”经典保留作品，为推介“洞庭渔歌”这一国家级项目新名片，大力送开展进景区、进校园、进机关、进乡村活动。今年9月份，“渔歌唱响岳阳楼”活动获得国家文旅部领导的高度评价。</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2.传统手工技艺“岳州笔”囊括进区级保非遗护项目名录。</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六、评估定级刷新历史</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第五次全国文化馆评估定级工作中，岳阳楼区文化馆经过自主申报，区级自评、市级初评、省级复评、国家文旅部线上评估四道检验于2021年11月正式在国家文化和旅游部进行公示，岳阳楼区文化馆由原来的部颁三级馆跨级认定为国家部颁一级馆。</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七、专业人才创佳绩</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文化馆专业技术人员张雯、柳一川、李海英入选2021年岳阳市首批高层次人才，邹进文荣获湖南省“三湘群文之星”</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八、数字文化开新篇</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在局党组的大力支持下，2021年9月，文化馆创新服务方式建成数字文化总馆，设置王家河、麻布村等9家分馆，通过互联网技术，将公益课堂音乐、舞蹈、美术、书法等各类培训有效利用，实现了乡/街、社区/村全覆盖，服务由单一阵地向“阵地+流动+数字化”服务转变，打通了文化惠民“最后一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6716" w:type="dxa"/>
            <w:gridSpan w:val="13"/>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上年结转</w:t>
            </w: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1198"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99"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98" w:type="dxa"/>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98" w:type="dxa"/>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363.28</w:t>
            </w:r>
          </w:p>
        </w:tc>
        <w:tc>
          <w:tcPr>
            <w:tcW w:w="1032" w:type="dxa"/>
            <w:tcBorders>
              <w:lef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1.41</w:t>
            </w:r>
          </w:p>
        </w:tc>
        <w:tc>
          <w:tcPr>
            <w:tcW w:w="1587" w:type="dxa"/>
            <w:gridSpan w:val="3"/>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269.55</w:t>
            </w:r>
          </w:p>
        </w:tc>
        <w:tc>
          <w:tcPr>
            <w:tcW w:w="1198" w:type="dxa"/>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98" w:type="dxa"/>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98" w:type="dxa"/>
            <w:noWrap/>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3" w:hRule="atLeast"/>
          <w:jc w:val="center"/>
        </w:trPr>
        <w:tc>
          <w:tcPr>
            <w:tcW w:w="1700" w:type="dxa"/>
            <w:gridSpan w:val="3"/>
            <w:vMerge w:val="restart"/>
            <w:noWrap/>
            <w:vAlign w:val="center"/>
          </w:tcPr>
          <w:p>
            <w:pPr>
              <w:snapToGrid w:val="0"/>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4892" w:type="dxa"/>
            <w:gridSpan w:val="8"/>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824" w:type="dxa"/>
            <w:gridSpan w:val="5"/>
            <w:tcBorders>
              <w:left w:val="single" w:color="auto" w:sz="4" w:space="0"/>
              <w:bottom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1" w:hRule="atLeast"/>
          <w:jc w:val="center"/>
        </w:trPr>
        <w:tc>
          <w:tcPr>
            <w:tcW w:w="1700" w:type="dxa"/>
            <w:gridSpan w:val="3"/>
            <w:vMerge w:val="continue"/>
            <w:noWrap/>
            <w:vAlign w:val="center"/>
          </w:tcPr>
          <w:p>
            <w:pPr>
              <w:spacing w:line="320" w:lineRule="exact"/>
              <w:jc w:val="center"/>
              <w:rPr>
                <w:rFonts w:hint="eastAsia"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p>
        </w:tc>
        <w:tc>
          <w:tcPr>
            <w:tcW w:w="2930" w:type="dxa"/>
            <w:gridSpan w:val="5"/>
            <w:tcBorders>
              <w:top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2"/>
            <w:vMerge w:val="restart"/>
            <w:tcBorders>
              <w:top w:val="single" w:color="auto" w:sz="4" w:space="0"/>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p>
        </w:tc>
        <w:tc>
          <w:tcPr>
            <w:tcW w:w="885" w:type="dxa"/>
            <w:gridSpan w:val="4"/>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当年结余</w:t>
            </w:r>
          </w:p>
        </w:tc>
        <w:tc>
          <w:tcPr>
            <w:tcW w:w="939"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hint="eastAsia"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vMerge w:val="continue"/>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2"/>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vMerge w:val="continue"/>
            <w:tcBorders>
              <w:left w:val="single" w:color="auto" w:sz="4" w:space="0"/>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9" w:type="dxa"/>
            <w:vMerge w:val="continue"/>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9"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noWrap/>
            <w:vAlign w:val="center"/>
          </w:tcPr>
          <w:p>
            <w:pPr>
              <w:autoSpaceDN w:val="0"/>
              <w:spacing w:line="320" w:lineRule="exact"/>
              <w:jc w:val="both"/>
              <w:textAlignment w:val="center"/>
              <w:rPr>
                <w:rFonts w:hint="eastAsia"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363.28</w:t>
            </w: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214.42</w:t>
            </w: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180.73</w:t>
            </w: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33.69</w:t>
            </w:r>
          </w:p>
        </w:tc>
        <w:tc>
          <w:tcPr>
            <w:tcW w:w="93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148.86</w:t>
            </w:r>
          </w:p>
        </w:tc>
        <w:tc>
          <w:tcPr>
            <w:tcW w:w="885" w:type="dxa"/>
            <w:gridSpan w:val="4"/>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noWrap/>
            <w:vAlign w:val="center"/>
          </w:tcPr>
          <w:p>
            <w:pPr>
              <w:autoSpaceDN w:val="0"/>
              <w:spacing w:line="320" w:lineRule="exact"/>
              <w:jc w:val="both"/>
              <w:textAlignment w:val="center"/>
              <w:rPr>
                <w:rFonts w:hint="eastAsia"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6716" w:type="dxa"/>
            <w:gridSpan w:val="13"/>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hint="eastAsia"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0.72</w:t>
            </w: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0.72</w:t>
            </w: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87" w:type="dxa"/>
            <w:gridSpan w:val="3"/>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43"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5756"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60" w:type="dxa"/>
            <w:gridSpan w:val="2"/>
            <w:vMerge w:val="restart"/>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hint="eastAsia"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19" w:type="dxa"/>
            <w:gridSpan w:val="4"/>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137" w:type="dxa"/>
            <w:gridSpan w:val="7"/>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60" w:type="dxa"/>
            <w:gridSpan w:val="2"/>
            <w:vMerge w:val="continue"/>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19" w:type="dxa"/>
            <w:gridSpan w:val="4"/>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137"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19" w:type="dxa"/>
            <w:gridSpan w:val="4"/>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137"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2619" w:type="dxa"/>
            <w:gridSpan w:val="4"/>
            <w:tcBorders>
              <w:lef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3137"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19" w:type="dxa"/>
            <w:gridSpan w:val="4"/>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137"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19" w:type="dxa"/>
            <w:gridSpan w:val="4"/>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137" w:type="dxa"/>
            <w:gridSpan w:val="7"/>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4281"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4097" w:type="dxa"/>
            <w:gridSpan w:val="9"/>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5"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4281" w:type="dxa"/>
            <w:gridSpan w:val="6"/>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1.</w:t>
            </w:r>
            <w:r>
              <w:rPr>
                <w:rFonts w:hint="eastAsia" w:ascii="仿宋" w:hAnsi="仿宋" w:eastAsia="仿宋" w:cs="仿宋"/>
                <w:sz w:val="28"/>
                <w:szCs w:val="28"/>
                <w:lang w:val="en-US" w:eastAsia="zh-CN"/>
              </w:rPr>
              <w:t>完成全年度公益培训20场。</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2.开展数字文化服务，公共文化场馆实行全年免费开放， </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3.完成传统文化进校园，进景区、进乡村、进机关、进工地。</w:t>
            </w:r>
          </w:p>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lang w:val="en-US" w:eastAsia="zh-CN"/>
              </w:rPr>
              <w:t>4、完成送文化下乡20场次、组织开展大型群众文化活动4场次。</w:t>
            </w:r>
          </w:p>
        </w:tc>
        <w:tc>
          <w:tcPr>
            <w:tcW w:w="4097" w:type="dxa"/>
            <w:gridSpan w:val="9"/>
            <w:noWrap/>
            <w:vAlign w:val="center"/>
          </w:tcPr>
          <w:p>
            <w:pPr>
              <w:autoSpaceDN w:val="0"/>
              <w:spacing w:line="320" w:lineRule="exact"/>
              <w:ind w:left="360" w:leftChars="0"/>
              <w:textAlignment w:val="center"/>
              <w:rPr>
                <w:rFonts w:hint="eastAsia" w:ascii="仿宋" w:hAnsi="仿宋" w:eastAsia="仿宋" w:cs="仿宋"/>
                <w:color w:val="000000"/>
                <w:sz w:val="28"/>
                <w:szCs w:val="28"/>
              </w:rPr>
            </w:pPr>
            <w:r>
              <w:rPr>
                <w:rFonts w:hint="eastAsia" w:ascii="仿宋" w:hAnsi="仿宋" w:eastAsia="仿宋" w:cs="仿宋"/>
                <w:kern w:val="0"/>
                <w:sz w:val="28"/>
                <w:szCs w:val="28"/>
              </w:rPr>
              <w:t>圆满完成各项工作任务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3183"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评价内容</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绩效目标</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产出目标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（部门工作实绩，包含上级部门和区委区政府布置的重点工作、实事任务等，根据部门实际进行调整细化）</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质量指标</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指标1：优化公共文化服务效能，提升公共文化服务品质。</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指标2：打造文化活动品牌</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数量指标</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1.公益培训520课时，3000人次。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2.馆舍每天免费对外开放8小时。</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完成送文化下乡20场次</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时效指标</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年1月-12月</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成本指标</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指标：节约行政成本和运行费用</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效益目标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（预期实现的效益）</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社会效益</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指标1：提升老百姓精神文化生活</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指标2：提高民众艺术审美能力</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经济效益</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生态效益</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指标1：优化场馆环境，提升场馆艺术氛围。</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noWrap/>
            <w:vAlign w:val="center"/>
          </w:tcPr>
          <w:p>
            <w:pPr>
              <w:spacing w:line="320" w:lineRule="exact"/>
              <w:rPr>
                <w:rFonts w:hint="eastAsia" w:ascii="仿宋" w:hAnsi="仿宋" w:eastAsia="仿宋" w:cs="仿宋"/>
                <w:sz w:val="28"/>
                <w:szCs w:val="28"/>
              </w:rPr>
            </w:pPr>
          </w:p>
        </w:tc>
        <w:tc>
          <w:tcPr>
            <w:tcW w:w="1662" w:type="dxa"/>
            <w:gridSpan w:val="2"/>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社会公众或服务对象满意度</w:t>
            </w:r>
          </w:p>
        </w:tc>
        <w:tc>
          <w:tcPr>
            <w:tcW w:w="3673" w:type="dxa"/>
            <w:gridSpan w:val="7"/>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指标：社会公众满意度达9</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p>
        </w:tc>
        <w:tc>
          <w:tcPr>
            <w:tcW w:w="152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98</w:t>
            </w:r>
            <w:r>
              <w:rPr>
                <w:rFonts w:hint="eastAsia" w:ascii="仿宋" w:hAnsi="仿宋" w:eastAsia="仿宋" w:cs="仿宋"/>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716" w:type="dxa"/>
            <w:gridSpan w:val="13"/>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评价等次</w:t>
            </w:r>
          </w:p>
        </w:tc>
        <w:tc>
          <w:tcPr>
            <w:tcW w:w="6716" w:type="dxa"/>
            <w:gridSpan w:val="13"/>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19" w:type="dxa"/>
            <w:gridSpan w:val="17"/>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3437"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2779"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刘英</w:t>
            </w:r>
          </w:p>
        </w:tc>
        <w:tc>
          <w:tcPr>
            <w:tcW w:w="3437"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副局长</w:t>
            </w:r>
          </w:p>
        </w:tc>
        <w:tc>
          <w:tcPr>
            <w:tcW w:w="2779"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岳阳楼区文化旅游广电体育局</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邹进文</w:t>
            </w:r>
          </w:p>
        </w:tc>
        <w:tc>
          <w:tcPr>
            <w:tcW w:w="3437"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馆长</w:t>
            </w:r>
          </w:p>
        </w:tc>
        <w:tc>
          <w:tcPr>
            <w:tcW w:w="2779"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10" w:type="dxa"/>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许天柔</w:t>
            </w:r>
          </w:p>
        </w:tc>
        <w:tc>
          <w:tcPr>
            <w:tcW w:w="3437"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副馆长</w:t>
            </w:r>
          </w:p>
        </w:tc>
        <w:tc>
          <w:tcPr>
            <w:tcW w:w="2779"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10" w:type="dxa"/>
            <w:noWrap/>
            <w:vAlign w:val="center"/>
          </w:tcPr>
          <w:p>
            <w:pPr>
              <w:autoSpaceDN w:val="0"/>
              <w:spacing w:line="320" w:lineRule="exact"/>
              <w:ind w:firstLine="280" w:firstLineChars="100"/>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张红梅</w:t>
            </w:r>
          </w:p>
        </w:tc>
        <w:tc>
          <w:tcPr>
            <w:tcW w:w="3437"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79"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6"/>
            <w:noWrap/>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67" w:hRule="atLeast"/>
          <w:jc w:val="center"/>
        </w:trPr>
        <w:tc>
          <w:tcPr>
            <w:tcW w:w="9819" w:type="dxa"/>
            <w:gridSpan w:val="17"/>
            <w:noWrap/>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92" w:hRule="atLeast"/>
          <w:jc w:val="center"/>
        </w:trPr>
        <w:tc>
          <w:tcPr>
            <w:tcW w:w="9819" w:type="dxa"/>
            <w:gridSpan w:val="17"/>
            <w:noWrap/>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95" w:hRule="atLeast"/>
          <w:jc w:val="center"/>
        </w:trPr>
        <w:tc>
          <w:tcPr>
            <w:tcW w:w="9819" w:type="dxa"/>
            <w:gridSpan w:val="17"/>
            <w:noWrap/>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张红梅                   联系电话：8759880</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9" w:hRule="atLeast"/>
          <w:jc w:val="center"/>
        </w:trPr>
        <w:tc>
          <w:tcPr>
            <w:tcW w:w="9558" w:type="dxa"/>
            <w:noWrap/>
          </w:tcPr>
          <w:p>
            <w:pPr>
              <w:jc w:val="center"/>
              <w:rPr>
                <w:rFonts w:hint="eastAsia" w:ascii="仿宋" w:hAnsi="仿宋" w:eastAsia="仿宋" w:cs="仿宋"/>
                <w:b/>
                <w:sz w:val="28"/>
                <w:szCs w:val="28"/>
              </w:rPr>
            </w:pPr>
            <w:r>
              <w:rPr>
                <w:rFonts w:hint="eastAsia" w:ascii="仿宋" w:hAnsi="仿宋" w:eastAsia="仿宋" w:cs="仿宋"/>
                <w:b/>
                <w:bCs w:val="0"/>
                <w:sz w:val="28"/>
                <w:szCs w:val="28"/>
              </w:rPr>
              <w:t>五、绩效</w:t>
            </w:r>
            <w:r>
              <w:rPr>
                <w:rFonts w:hint="eastAsia" w:ascii="仿宋" w:hAnsi="仿宋" w:eastAsia="仿宋" w:cs="仿宋"/>
                <w:b/>
                <w:sz w:val="28"/>
                <w:szCs w:val="28"/>
              </w:rPr>
              <w:t>评价报告综述（文字部分）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1687" w:firstLineChars="600"/>
              <w:jc w:val="both"/>
              <w:textAlignment w:val="auto"/>
              <w:rPr>
                <w:rFonts w:hint="eastAsia" w:ascii="仿宋" w:hAnsi="仿宋" w:eastAsia="仿宋" w:cs="仿宋"/>
                <w:sz w:val="28"/>
                <w:szCs w:val="28"/>
              </w:rPr>
            </w:pPr>
            <w:r>
              <w:rPr>
                <w:rFonts w:hint="eastAsia" w:ascii="仿宋" w:hAnsi="仿宋" w:eastAsia="仿宋" w:cs="仿宋"/>
                <w:b/>
                <w:bCs/>
                <w:sz w:val="28"/>
                <w:szCs w:val="28"/>
              </w:rPr>
              <w:t>岳阳楼区文化</w:t>
            </w:r>
            <w:r>
              <w:rPr>
                <w:rFonts w:hint="eastAsia" w:ascii="仿宋" w:hAnsi="仿宋" w:eastAsia="仿宋" w:cs="仿宋"/>
                <w:b/>
                <w:bCs/>
                <w:sz w:val="28"/>
                <w:szCs w:val="28"/>
                <w:lang w:eastAsia="zh-CN"/>
              </w:rPr>
              <w:t>馆</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年整体支出绩效自评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一、单位概况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16名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14名，退休10名，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（二）单位整体收入、支出基本情况。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年我</w:t>
            </w:r>
            <w:r>
              <w:rPr>
                <w:rFonts w:hint="eastAsia" w:ascii="仿宋" w:hAnsi="仿宋" w:eastAsia="仿宋" w:cs="仿宋"/>
                <w:sz w:val="28"/>
                <w:szCs w:val="28"/>
                <w:lang w:eastAsia="zh-CN"/>
              </w:rPr>
              <w:t>馆</w:t>
            </w:r>
            <w:r>
              <w:rPr>
                <w:rFonts w:hint="eastAsia" w:ascii="仿宋" w:hAnsi="仿宋" w:eastAsia="仿宋" w:cs="仿宋"/>
                <w:sz w:val="28"/>
                <w:szCs w:val="28"/>
              </w:rPr>
              <w:t>整体收入</w:t>
            </w:r>
            <w:r>
              <w:rPr>
                <w:rFonts w:hint="eastAsia" w:ascii="仿宋" w:hAnsi="仿宋" w:eastAsia="仿宋" w:cs="仿宋"/>
                <w:sz w:val="28"/>
                <w:szCs w:val="28"/>
                <w:lang w:val="en-US" w:eastAsia="zh-CN"/>
              </w:rPr>
              <w:t>363.29</w:t>
            </w:r>
            <w:r>
              <w:rPr>
                <w:rFonts w:hint="eastAsia" w:ascii="仿宋" w:hAnsi="仿宋" w:eastAsia="仿宋" w:cs="仿宋"/>
                <w:sz w:val="28"/>
                <w:szCs w:val="28"/>
              </w:rPr>
              <w:t>万元，包括上年结转</w:t>
            </w:r>
            <w:r>
              <w:rPr>
                <w:rFonts w:hint="eastAsia" w:ascii="仿宋" w:hAnsi="仿宋" w:eastAsia="仿宋" w:cs="仿宋"/>
                <w:sz w:val="28"/>
                <w:szCs w:val="28"/>
                <w:lang w:val="en-US" w:eastAsia="zh-CN"/>
              </w:rPr>
              <w:t>1.41</w:t>
            </w:r>
            <w:r>
              <w:rPr>
                <w:rFonts w:hint="eastAsia" w:ascii="仿宋" w:hAnsi="仿宋" w:eastAsia="仿宋" w:cs="仿宋"/>
                <w:sz w:val="28"/>
                <w:szCs w:val="28"/>
              </w:rPr>
              <w:t>万元，公共财政拨款</w:t>
            </w:r>
            <w:r>
              <w:rPr>
                <w:rFonts w:hint="eastAsia" w:ascii="仿宋" w:hAnsi="仿宋" w:eastAsia="仿宋" w:cs="仿宋"/>
                <w:sz w:val="28"/>
                <w:szCs w:val="28"/>
                <w:lang w:val="en-US" w:eastAsia="zh-CN"/>
              </w:rPr>
              <w:t>269.55</w:t>
            </w:r>
            <w:r>
              <w:rPr>
                <w:rFonts w:hint="eastAsia" w:ascii="仿宋" w:hAnsi="仿宋" w:eastAsia="仿宋" w:cs="仿宋"/>
                <w:sz w:val="28"/>
                <w:szCs w:val="28"/>
              </w:rPr>
              <w:t>万元和其他收入</w:t>
            </w:r>
            <w:r>
              <w:rPr>
                <w:rFonts w:hint="eastAsia" w:ascii="仿宋" w:hAnsi="仿宋" w:eastAsia="仿宋" w:cs="仿宋"/>
                <w:sz w:val="28"/>
                <w:szCs w:val="28"/>
                <w:lang w:val="en-US" w:eastAsia="zh-CN"/>
              </w:rPr>
              <w:t>92.32</w:t>
            </w:r>
            <w:r>
              <w:rPr>
                <w:rFonts w:hint="eastAsia" w:ascii="仿宋" w:hAnsi="仿宋" w:eastAsia="仿宋" w:cs="仿宋"/>
                <w:sz w:val="28"/>
                <w:szCs w:val="28"/>
              </w:rPr>
              <w:t>万元。整体支出</w:t>
            </w:r>
            <w:r>
              <w:rPr>
                <w:rFonts w:hint="eastAsia" w:ascii="仿宋" w:hAnsi="仿宋" w:eastAsia="仿宋" w:cs="仿宋"/>
                <w:sz w:val="28"/>
                <w:szCs w:val="28"/>
                <w:lang w:val="en-US" w:eastAsia="zh-CN"/>
              </w:rPr>
              <w:t>363.29</w:t>
            </w:r>
            <w:r>
              <w:rPr>
                <w:rFonts w:hint="eastAsia" w:ascii="仿宋" w:hAnsi="仿宋" w:eastAsia="仿宋" w:cs="仿宋"/>
                <w:sz w:val="28"/>
                <w:szCs w:val="28"/>
              </w:rPr>
              <w:t>万元，包括人员经费和公用经费支出</w:t>
            </w:r>
            <w:r>
              <w:rPr>
                <w:rFonts w:hint="eastAsia" w:ascii="仿宋" w:hAnsi="仿宋" w:eastAsia="仿宋" w:cs="仿宋"/>
                <w:sz w:val="28"/>
                <w:szCs w:val="28"/>
                <w:lang w:val="en-US" w:eastAsia="zh-CN"/>
              </w:rPr>
              <w:t>214.43</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148.86</w:t>
            </w:r>
            <w:r>
              <w:rPr>
                <w:rFonts w:hint="eastAsia" w:ascii="仿宋" w:hAnsi="仿宋" w:eastAsia="仿宋" w:cs="仿宋"/>
                <w:sz w:val="28"/>
                <w:szCs w:val="28"/>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36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基本支出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年整体支出</w:t>
            </w:r>
            <w:r>
              <w:rPr>
                <w:rFonts w:hint="eastAsia" w:ascii="仿宋" w:hAnsi="仿宋" w:eastAsia="仿宋" w:cs="仿宋"/>
                <w:sz w:val="28"/>
                <w:szCs w:val="28"/>
                <w:lang w:val="en-US" w:eastAsia="zh-CN"/>
              </w:rPr>
              <w:t>363.29</w:t>
            </w:r>
            <w:r>
              <w:rPr>
                <w:rFonts w:hint="eastAsia" w:ascii="仿宋" w:hAnsi="仿宋" w:eastAsia="仿宋" w:cs="仿宋"/>
                <w:sz w:val="28"/>
                <w:szCs w:val="28"/>
              </w:rPr>
              <w:t>万元，其中</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人员经费</w:t>
            </w:r>
            <w:r>
              <w:rPr>
                <w:rFonts w:hint="eastAsia" w:ascii="宋体" w:hAnsi="宋体" w:eastAsia="宋体" w:cs="宋体"/>
                <w:i w:val="0"/>
                <w:iCs w:val="0"/>
                <w:color w:val="000000"/>
                <w:kern w:val="0"/>
                <w:sz w:val="28"/>
                <w:szCs w:val="28"/>
                <w:u w:val="none"/>
                <w:lang w:val="en-US" w:eastAsia="zh-CN" w:bidi="ar"/>
              </w:rPr>
              <w:t>179.46</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14</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10</w:t>
            </w:r>
            <w:r>
              <w:rPr>
                <w:rFonts w:hint="eastAsia" w:ascii="仿宋" w:hAnsi="仿宋" w:eastAsia="仿宋" w:cs="仿宋"/>
                <w:sz w:val="28"/>
                <w:szCs w:val="28"/>
              </w:rPr>
              <w:t>人</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公用支出</w:t>
            </w:r>
            <w:r>
              <w:rPr>
                <w:rFonts w:hint="eastAsia" w:ascii="仿宋" w:hAnsi="仿宋" w:eastAsia="仿宋" w:cs="仿宋"/>
                <w:sz w:val="28"/>
                <w:szCs w:val="28"/>
                <w:lang w:val="en-US" w:eastAsia="zh-CN"/>
              </w:rPr>
              <w:t>33.69</w:t>
            </w:r>
            <w:r>
              <w:rPr>
                <w:rFonts w:hint="eastAsia" w:ascii="仿宋" w:hAnsi="仿宋" w:eastAsia="仿宋" w:cs="仿宋"/>
                <w:sz w:val="28"/>
                <w:szCs w:val="28"/>
              </w:rPr>
              <w:t>万元。本年度工资福利支出严格按照要求进行工资统发或规定的标准发放,不存在多发福利现象</w:t>
            </w:r>
            <w:r>
              <w:rPr>
                <w:rFonts w:hint="eastAsia" w:ascii="仿宋" w:hAnsi="仿宋" w:eastAsia="仿宋" w:cs="仿宋"/>
                <w:sz w:val="28"/>
                <w:szCs w:val="28"/>
                <w:lang w:eastAsia="zh-CN"/>
              </w:rPr>
              <w:t>。</w:t>
            </w:r>
            <w:r>
              <w:rPr>
                <w:rFonts w:hint="eastAsia" w:ascii="仿宋" w:hAnsi="仿宋" w:eastAsia="仿宋" w:cs="仿宋"/>
                <w:sz w:val="28"/>
                <w:szCs w:val="28"/>
              </w:rPr>
              <w:t>三公经费</w:t>
            </w:r>
            <w:r>
              <w:rPr>
                <w:rFonts w:hint="eastAsia" w:ascii="仿宋" w:hAnsi="仿宋" w:eastAsia="仿宋" w:cs="仿宋"/>
                <w:sz w:val="28"/>
                <w:szCs w:val="28"/>
                <w:lang w:val="en-US" w:eastAsia="zh-CN"/>
              </w:rPr>
              <w:t>0.72</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三公经费总支出控制较好超未预算。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资金支出</w:t>
            </w:r>
            <w:r>
              <w:rPr>
                <w:rFonts w:hint="eastAsia" w:ascii="仿宋" w:hAnsi="仿宋" w:eastAsia="仿宋" w:cs="仿宋"/>
                <w:sz w:val="28"/>
                <w:szCs w:val="28"/>
                <w:lang w:val="en-US" w:eastAsia="zh-CN"/>
              </w:rPr>
              <w:t>148.86</w:t>
            </w:r>
            <w:r>
              <w:rPr>
                <w:rFonts w:hint="eastAsia" w:ascii="仿宋" w:hAnsi="仿宋" w:eastAsia="仿宋" w:cs="仿宋"/>
                <w:sz w:val="28"/>
                <w:szCs w:val="28"/>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）文化馆免费开放支出</w:t>
            </w:r>
            <w:r>
              <w:rPr>
                <w:rFonts w:hint="eastAsia" w:ascii="仿宋" w:hAnsi="仿宋" w:eastAsia="仿宋" w:cs="仿宋"/>
                <w:sz w:val="28"/>
                <w:szCs w:val="28"/>
                <w:lang w:val="en-US" w:eastAsia="zh-CN"/>
              </w:rPr>
              <w:t>21.54万元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流动舞台运行支出3.03万元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文化活动支出44.41万元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数字文化馆服务支出35.58万元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公共文化服务建设支出44.3万元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专项</w:t>
            </w:r>
            <w:r>
              <w:rPr>
                <w:rFonts w:hint="eastAsia" w:ascii="仿宋" w:hAnsi="仿宋" w:eastAsia="仿宋" w:cs="仿宋"/>
                <w:sz w:val="28"/>
                <w:szCs w:val="28"/>
              </w:rPr>
              <w:t>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w:t>
            </w:r>
            <w:r>
              <w:rPr>
                <w:rFonts w:hint="eastAsia" w:ascii="仿宋" w:hAnsi="仿宋" w:eastAsia="仿宋" w:cs="仿宋"/>
                <w:sz w:val="28"/>
                <w:szCs w:val="28"/>
                <w:lang w:eastAsia="zh-CN"/>
              </w:rPr>
              <w:t>馆</w:t>
            </w:r>
            <w:r>
              <w:rPr>
                <w:rFonts w:hint="eastAsia" w:ascii="仿宋" w:hAnsi="仿宋" w:eastAsia="仿宋" w:cs="仿宋"/>
                <w:sz w:val="28"/>
                <w:szCs w:val="28"/>
              </w:rPr>
              <w:t>制定以下管理制度：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专项资金实行“专人管理、专账核算、专项使用”。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w:t>
            </w:r>
            <w:r>
              <w:rPr>
                <w:rFonts w:hint="eastAsia" w:ascii="仿宋" w:hAnsi="仿宋" w:eastAsia="仿宋" w:cs="仿宋"/>
                <w:sz w:val="28"/>
                <w:szCs w:val="28"/>
                <w:lang w:val="en-US" w:eastAsia="zh-CN"/>
              </w:rPr>
              <w:t>项目</w:t>
            </w:r>
            <w:r>
              <w:rPr>
                <w:rFonts w:hint="eastAsia" w:ascii="仿宋" w:hAnsi="仿宋" w:eastAsia="仿宋" w:cs="仿宋"/>
                <w:sz w:val="28"/>
                <w:szCs w:val="28"/>
              </w:rPr>
              <w:t>资金要定期或不定期进行督查，确保项目资金专款专用。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2021年本单位无专项支出。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三、单位专项组织实施情况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专项严格按照招投标、政府采购原则来实施。</w:t>
            </w:r>
          </w:p>
          <w:p>
            <w:pPr>
              <w:keepNext w:val="0"/>
              <w:keepLines w:val="0"/>
              <w:pageBreakBefore w:val="0"/>
              <w:numPr>
                <w:ilvl w:val="0"/>
                <w:numId w:val="1"/>
              </w:numPr>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单位整体支出绩效情况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 xml:space="preserve">  （一）、</w:t>
            </w:r>
            <w:r>
              <w:rPr>
                <w:rFonts w:hint="eastAsia" w:ascii="仿宋" w:hAnsi="仿宋" w:eastAsia="仿宋" w:cs="仿宋"/>
                <w:b w:val="0"/>
                <w:bCs/>
                <w:sz w:val="28"/>
                <w:szCs w:val="28"/>
              </w:rPr>
              <w:t>群文活动出成效；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1.圆满完成“欢乐潇湘—百团百角唱百年”岳阳楼区专场文艺汇演活动，打造配乐诗朗诵《信念永恒》、歌曲《百年红色》赴市参赛，均获优秀节目奖。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2.圆满完成我区 “我心向党·百年辉煌”歌咏比赛活动4场。服务人次5000余人，选送教育局团队赴市参赛活动一等奖。组织开展“第七届湖南省艺术节岳阳楼区美术书法摄影精品邀请展”一场，服务人次1000余人。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3.圆满完成年度文化惠民工程“送戏下乡”20场，该活动参与人数达1200余人，服务人次15000余人，并于2021年初纳入我区市级重点民生实事项目。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岳阳楼区“七送一展”志愿服务活动依托传统节日·春节·元宵已续打造六年，每年开展15场次左右，历时一个半月完成，已成为老百姓家喻户晓的节日品牌活动。2021年12月下旬至2022年元月、将有13场形式各异的文艺活动在全区范围内开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（二）</w:t>
            </w:r>
            <w:r>
              <w:rPr>
                <w:rFonts w:hint="eastAsia" w:ascii="仿宋" w:hAnsi="仿宋" w:eastAsia="仿宋" w:cs="仿宋"/>
                <w:sz w:val="28"/>
                <w:szCs w:val="28"/>
                <w:lang w:val="en-US" w:eastAsia="zh-CN"/>
              </w:rPr>
              <w:t>、文艺创作放异彩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是文化馆文艺创作收获之年，我馆组织专业人员创作10场次，文艺作品30余件，在第七届湖南省艺术节专业艺术板块中，我馆选送的美术作品《观塔之十》获齐白石艺术奖。摄影作品《美丽乡村我的家》（赵敏）获优秀作品奖。油画《风雪夜归人》、国画《林山春望》获提名奖，另有5件美术摄影作品入选。在群众文艺板块中，小戏《告别》获最佳文艺创作奖，与民院联合打造舞蹈《天佑》（声声不息）获优秀作品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（三）</w:t>
            </w:r>
            <w:r>
              <w:rPr>
                <w:rFonts w:hint="eastAsia" w:ascii="仿宋" w:hAnsi="仿宋" w:eastAsia="仿宋" w:cs="仿宋"/>
                <w:sz w:val="28"/>
                <w:szCs w:val="28"/>
                <w:lang w:val="en-US" w:eastAsia="zh-CN"/>
              </w:rPr>
              <w:t>公益课堂“育”文化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依托市民艺术大学；市民艺术大学已成功开办三期，共设5个艺术门类13个班每学期学员常规保有量500多人，坚持周一至周五连续授课，场馆周转率达百分之百。每期为学员举办演出和线上线下作品展览。2021年，文化馆革新办学理念，在基础训练上辅以创作提高，美术班的写生、雅集活动、声乐舞蹈班的演出大大提升了学员的艺术创造能力和审美能力，市民“共建文化楼区、共享美好生活”的参与感、获得感、幸福感与日俱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依托年度公益培训；每年的金秋季节是我馆“坚定文化自信·提升文化内涵”公益培训季，文化馆组织大专院校教师、市内知名艺术家成立文化志愿服务小分队，进机关、社区/村、学校等地，每年为普通市民、社会公职人员、大专院校及中小学生授课达800课时，服务人次10000余人。让公益培训不仅是一项社会服务，更成为一种时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（四）</w:t>
            </w:r>
            <w:r>
              <w:rPr>
                <w:rFonts w:hint="eastAsia" w:ascii="仿宋" w:hAnsi="仿宋" w:eastAsia="仿宋" w:cs="仿宋"/>
                <w:sz w:val="28"/>
                <w:szCs w:val="28"/>
                <w:lang w:val="en-US" w:eastAsia="zh-CN"/>
              </w:rPr>
              <w:t>创建基层服务点“种”文化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从2017年到现在，4年间，我们在湖南理工、湖南民院、九华山小学、东方红小学、洞庭街道、茶博城创建了“洞庭渔歌”“楚鼓舞”两个非遗保护项目传承基地，培植传承队伍12支。 为了让边远乡村的老百姓享受公共文化服务，2021年，我馆在麻布村建立了“魅力屋场”广场舞培训基地、“美丽乡村”美术摄影写生基地，在马安小学为留守儿童开设了“陶艺课堂”，半年时间，开展广场舞培训2场，美术写生辅导4场，艺术送教1场，实现从“育文化”到“种文化”华丽蜕变，让“文化种子”在基层生根发芽、遍地开花。</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（五）非遗保护成亮点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复排历年来“洞庭渔歌”经典保留作品，为推介“洞庭渔歌”这一国家级项目新名片，大力送开展进景区、进校园、进机关、进乡村活动。今年9月份，“渔歌唱响岳阳楼”活动获得国家文旅部领导的高度评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2.传统手工技艺“岳州笔”囊括进区级保非遗护项目名录。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（六）、评估定级刷新历史</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第五次全国文化馆评估定级工作中，岳阳楼区文化馆经过自主申报，区级自评、市级初评、省级复评、国家文旅部线上评估四道检验于2021年11月正式在国家文化和旅游部进行公示，岳阳楼区文化馆由原来的部颁三级馆跨级认定为国家部颁一级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七、专业人才创佳绩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文化馆专业技术人员张雯、柳一川、李海英入选2021年岳阳市首批高层次人才，邹进文荣获湖南省“三湘群文之星”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八、数字文化开新篇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局党组的大力支持下，2021年9月，文化馆创新服务方式建成数字文化总馆，设置王家河、麻布村等9家分馆，通过互联网技术，将公益课堂音乐、舞蹈、美术、书法等各类培训有效利用，实现了乡/街、社区/村全覆盖，服务由单一阵地向“阵地+流动+数字化”服务转变，打通了文化惠民“最后一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五、绩效评价和结论</w:t>
            </w:r>
          </w:p>
          <w:p>
            <w:pPr>
              <w:pStyle w:val="10"/>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区文化馆20</w:t>
            </w:r>
            <w:r>
              <w:rPr>
                <w:rFonts w:hint="eastAsia" w:ascii="仿宋" w:hAnsi="仿宋" w:eastAsia="仿宋" w:cs="仿宋"/>
                <w:sz w:val="28"/>
                <w:szCs w:val="28"/>
                <w:lang w:val="en-US" w:eastAsia="zh-CN"/>
              </w:rPr>
              <w:t>21</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我区文化体育旅游建设步伐，推动文化事业各方面工作更好更快的发展，努力实现我区文化大发展大繁荣的战略目标。</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财政预算文化活动专项资金经费太少，影响到文化活动开展的质量。</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坚持厉行节约，促进收支平衡。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　　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为确保我区文化</w:t>
            </w:r>
            <w:r>
              <w:rPr>
                <w:rFonts w:hint="eastAsia" w:ascii="仿宋" w:hAnsi="仿宋" w:eastAsia="仿宋" w:cs="仿宋"/>
                <w:sz w:val="28"/>
                <w:szCs w:val="28"/>
                <w:lang w:eastAsia="zh-CN"/>
              </w:rPr>
              <w:t>馆</w:t>
            </w:r>
            <w:r>
              <w:rPr>
                <w:rFonts w:hint="eastAsia" w:ascii="仿宋" w:hAnsi="仿宋" w:eastAsia="仿宋" w:cs="仿宋"/>
                <w:sz w:val="28"/>
                <w:szCs w:val="28"/>
              </w:rPr>
              <w:t>工作持续发展，希望区政府加大对文化工作的财政专项投入。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z w:val="28"/>
                <w:szCs w:val="28"/>
              </w:rPr>
            </w:pPr>
          </w:p>
          <w:p>
            <w:pPr>
              <w:rPr>
                <w:rFonts w:hint="eastAsia" w:ascii="仿宋" w:hAnsi="仿宋" w:eastAsia="仿宋" w:cs="仿宋"/>
                <w:bCs/>
                <w:sz w:val="28"/>
                <w:szCs w:val="28"/>
              </w:rPr>
            </w:pP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pPr>
      <w:bookmarkStart w:id="0" w:name="_GoBack"/>
      <w:bookmarkEnd w:id="0"/>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rPr>
      <w:t>11</w:t>
    </w:r>
    <w:r>
      <w:rPr>
        <w:sz w:val="24"/>
      </w:rPr>
      <w:fldChar w:fldCharType="end"/>
    </w:r>
    <w:r>
      <w:rPr>
        <w:rStyle w:val="8"/>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0CA76"/>
    <w:multiLevelType w:val="singleLevel"/>
    <w:tmpl w:val="0B00CA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GM1YzBkNDg5M2MwOWEzM2VkZThkMzc4Y2YyYTEifQ=="/>
  </w:docVars>
  <w:rsids>
    <w:rsidRoot w:val="00000000"/>
    <w:rsid w:val="0AC67826"/>
    <w:rsid w:val="16294117"/>
    <w:rsid w:val="19B94C7C"/>
    <w:rsid w:val="2DD65BBA"/>
    <w:rsid w:val="38B95F38"/>
    <w:rsid w:val="6B677CFF"/>
    <w:rsid w:val="6FA21575"/>
    <w:rsid w:val="6FBA2D01"/>
    <w:rsid w:val="7673524C"/>
    <w:rsid w:val="7F44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Times New Roman" w:eastAsia="仿宋_GB2312"/>
      <w:sz w:val="32"/>
      <w:szCs w:val="24"/>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7335</Words>
  <Characters>7796</Characters>
  <Lines>0</Lines>
  <Paragraphs>0</Paragraphs>
  <TotalTime>0</TotalTime>
  <ScaleCrop>false</ScaleCrop>
  <LinksUpToDate>false</LinksUpToDate>
  <CharactersWithSpaces>8251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2022-04-28T07:49:00Z</dcterms:created>
  <dc:creator>Administrator</dc:creator>
  <cp:lastModifiedBy>Hedy</cp:lastModifiedBy>
  <dcterms:modified xsi:type="dcterms:W3CDTF">2023-04-21T07:32:53Z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26480B625E324807B37833FEAFF23BEB</vt:lpwstr>
  </property>
</Properties>
</file>