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w:t>
      </w:r>
      <w:r>
        <w:rPr>
          <w:rFonts w:hint="eastAsia" w:eastAsia="方正小标宋简体"/>
          <w:bCs/>
          <w:sz w:val="46"/>
          <w:szCs w:val="46"/>
          <w:u w:val="single"/>
        </w:rPr>
        <w:t>20</w:t>
      </w:r>
      <w:r>
        <w:rPr>
          <w:rFonts w:hint="eastAsia" w:eastAsia="方正小标宋简体"/>
          <w:bCs/>
          <w:sz w:val="46"/>
          <w:szCs w:val="46"/>
          <w:u w:val="single"/>
          <w:lang w:val="en-US" w:eastAsia="zh-CN"/>
        </w:rPr>
        <w:t>21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eastAsia="zh-CN"/>
        </w:rPr>
        <w:t>中国国际贸易促进委员会岳阳楼区委员会</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30"/>
          <w:sz w:val="32"/>
          <w:szCs w:val="32"/>
          <w:u w:val="single"/>
          <w:lang w:val="en-US" w:eastAsia="zh-CN"/>
        </w:rPr>
        <w:t>301001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 xml:space="preserve">报告日期： </w:t>
      </w:r>
      <w:r>
        <w:rPr>
          <w:rFonts w:hint="eastAsia" w:eastAsia="仿宋_GB2312"/>
          <w:sz w:val="32"/>
          <w:lang w:val="en-US" w:eastAsia="zh-CN"/>
        </w:rPr>
        <w:t>2022</w:t>
      </w:r>
      <w:r>
        <w:rPr>
          <w:rFonts w:hint="eastAsia" w:eastAsia="仿宋_GB2312"/>
          <w:sz w:val="32"/>
        </w:rPr>
        <w:t xml:space="preserve">  年 </w:t>
      </w:r>
      <w:r>
        <w:rPr>
          <w:rFonts w:hint="eastAsia" w:eastAsia="仿宋_GB2312"/>
          <w:sz w:val="32"/>
          <w:lang w:val="en-US" w:eastAsia="zh-CN"/>
        </w:rPr>
        <w:t>9</w:t>
      </w:r>
      <w:r>
        <w:rPr>
          <w:rFonts w:hint="eastAsia" w:eastAsia="仿宋_GB2312"/>
          <w:sz w:val="32"/>
        </w:rPr>
        <w:t xml:space="preserve"> 月 </w:t>
      </w:r>
      <w:r>
        <w:rPr>
          <w:rFonts w:hint="eastAsia" w:eastAsia="仿宋_GB2312"/>
          <w:sz w:val="32"/>
          <w:lang w:val="en-US" w:eastAsia="zh-CN"/>
        </w:rPr>
        <w:t>10</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5"/>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胡旋</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13975060104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7人</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bottom"/>
          </w:tcPr>
          <w:p>
            <w:pPr>
              <w:keepNext w:val="0"/>
              <w:keepLines w:val="0"/>
              <w:widowControl/>
              <w:suppressLineNumbers w:val="0"/>
              <w:jc w:val="both"/>
              <w:textAlignment w:val="bottom"/>
              <w:rPr>
                <w:rFonts w:hint="eastAsia" w:ascii="Times New Roman" w:hAnsi="Times New Roman" w:eastAsia="宋体" w:cs="Times New Roman"/>
                <w:i w:val="0"/>
                <w:iCs w:val="0"/>
                <w:color w:val="000000"/>
                <w:kern w:val="2"/>
                <w:sz w:val="16"/>
                <w:szCs w:val="16"/>
                <w:u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1</w:t>
            </w:r>
            <w:r>
              <w:rPr>
                <w:rStyle w:val="7"/>
                <w:rFonts w:hAnsi="Times New Roman"/>
                <w:sz w:val="24"/>
                <w:szCs w:val="24"/>
                <w:lang w:val="en-US" w:eastAsia="zh-CN" w:bidi="ar"/>
              </w:rPr>
              <w:t>、同国内外经济贸易界商会、协会、贸易机构及其他经贸团体的经贸联络工作</w:t>
            </w:r>
            <w:r>
              <w:rPr>
                <w:rStyle w:val="8"/>
                <w:rFonts w:eastAsia="宋体"/>
                <w:sz w:val="24"/>
                <w:szCs w:val="24"/>
                <w:lang w:val="en-US" w:eastAsia="zh-CN" w:bidi="ar"/>
              </w:rPr>
              <w:t>2</w:t>
            </w:r>
            <w:r>
              <w:rPr>
                <w:rStyle w:val="7"/>
                <w:rFonts w:hAnsi="Times New Roman"/>
                <w:sz w:val="24"/>
                <w:szCs w:val="24"/>
                <w:lang w:val="en-US" w:eastAsia="zh-CN" w:bidi="ar"/>
              </w:rPr>
              <w:t>、与国外相关经贸组织签订有关经贸技术交流协议，并参加经贸展览会</w:t>
            </w:r>
            <w:r>
              <w:rPr>
                <w:rStyle w:val="8"/>
                <w:rFonts w:eastAsia="宋体"/>
                <w:sz w:val="24"/>
                <w:szCs w:val="24"/>
                <w:lang w:val="en-US" w:eastAsia="zh-CN" w:bidi="ar"/>
              </w:rPr>
              <w:t>3</w:t>
            </w:r>
            <w:r>
              <w:rPr>
                <w:rStyle w:val="7"/>
                <w:rFonts w:hAnsi="Times New Roman"/>
                <w:sz w:val="24"/>
                <w:szCs w:val="24"/>
                <w:lang w:val="en-US" w:eastAsia="zh-CN" w:bidi="ar"/>
              </w:rPr>
              <w:t>、为本土企业搭建平台，参加国内外经贸洽谈活动，组织企业产品参加经贸展览会</w:t>
            </w:r>
            <w:r>
              <w:rPr>
                <w:rStyle w:val="8"/>
                <w:rFonts w:eastAsia="宋体"/>
                <w:sz w:val="24"/>
                <w:szCs w:val="24"/>
                <w:lang w:val="en-US" w:eastAsia="zh-CN" w:bidi="ar"/>
              </w:rPr>
              <w:t>4</w:t>
            </w:r>
            <w:r>
              <w:rPr>
                <w:rStyle w:val="7"/>
                <w:rFonts w:hAnsi="Times New Roman"/>
                <w:sz w:val="24"/>
                <w:szCs w:val="24"/>
                <w:lang w:val="en-US" w:eastAsia="zh-CN" w:bidi="ar"/>
              </w:rPr>
              <w:t>、完成楼区产业规划工作</w:t>
            </w:r>
            <w:r>
              <w:rPr>
                <w:rStyle w:val="8"/>
                <w:rFonts w:eastAsia="宋体"/>
                <w:sz w:val="24"/>
                <w:szCs w:val="24"/>
                <w:lang w:val="en-US" w:eastAsia="zh-CN" w:bidi="ar"/>
              </w:rPr>
              <w:t>5</w:t>
            </w:r>
            <w:r>
              <w:rPr>
                <w:rStyle w:val="7"/>
                <w:rFonts w:hAnsi="Times New Roman"/>
                <w:sz w:val="24"/>
                <w:szCs w:val="24"/>
                <w:lang w:val="en-US" w:eastAsia="zh-CN" w:bidi="ar"/>
              </w:rPr>
              <w:t>、协助完成人民政府交办其他各项工作任务。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4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keepNext w:val="0"/>
              <w:keepLines w:val="0"/>
              <w:widowControl/>
              <w:suppressLineNumbers w:val="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目标1：完成电子商务平台建设和招商。</w:t>
            </w:r>
          </w:p>
          <w:p>
            <w:pPr>
              <w:keepNext w:val="0"/>
              <w:keepLines w:val="0"/>
              <w:widowControl/>
              <w:suppressLineNumbers w:val="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目标2：贸促业务上新发展理事会员单位5家。</w:t>
            </w:r>
          </w:p>
          <w:p>
            <w:pPr>
              <w:keepNext w:val="0"/>
              <w:keepLines w:val="0"/>
              <w:widowControl/>
              <w:suppressLineNumbers w:val="0"/>
              <w:jc w:val="left"/>
              <w:textAlignment w:val="center"/>
              <w:rPr>
                <w:rFonts w:hint="eastAsia" w:ascii="宋体" w:hAnsi="宋体" w:eastAsia="宋体" w:cs="宋体"/>
                <w:i w:val="0"/>
                <w:iCs w:val="0"/>
                <w:color w:val="000000"/>
                <w:kern w:val="2"/>
                <w:sz w:val="20"/>
                <w:szCs w:val="20"/>
                <w:u w:val="none"/>
                <w:lang w:val="en-US" w:eastAsia="zh-CN" w:bidi="ar-SA"/>
              </w:rPr>
            </w:pPr>
            <w:r>
              <w:rPr>
                <w:rFonts w:hint="eastAsia" w:ascii="仿宋" w:hAnsi="仿宋" w:eastAsia="仿宋" w:cs="仿宋"/>
                <w:i w:val="0"/>
                <w:iCs w:val="0"/>
                <w:color w:val="000000"/>
                <w:kern w:val="0"/>
                <w:sz w:val="24"/>
                <w:szCs w:val="24"/>
                <w:u w:val="none"/>
                <w:lang w:val="en-US" w:eastAsia="zh-CN" w:bidi="ar"/>
              </w:rPr>
              <w:t>目标3：招商引资上引进知名企业来楼区合作、洽谈、投资。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完成贸易促进活动，推进招商引资发展。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贸促会</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209.01</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209.01</w:t>
            </w:r>
          </w:p>
        </w:tc>
        <w:tc>
          <w:tcPr>
            <w:tcW w:w="1705"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noWrap w:val="0"/>
            <w:vAlign w:val="center"/>
          </w:tcPr>
          <w:p>
            <w:pPr>
              <w:spacing w:line="320" w:lineRule="exact"/>
              <w:jc w:val="center"/>
              <w:rPr>
                <w:rFonts w:hint="eastAsia" w:ascii="仿宋_GB2312" w:hAnsi="仿宋_GB2312" w:eastAsia="仿宋_GB2312" w:cs="仿宋_GB2312"/>
                <w:sz w:val="24"/>
                <w:lang w:eastAsia="zh-CN"/>
              </w:rPr>
            </w:pPr>
            <w:r>
              <w:rPr>
                <w:rFonts w:hint="eastAsia" w:ascii="仿宋_GB2312" w:hAnsi="仿宋_GB2312" w:eastAsia="仿宋_GB2312" w:cs="仿宋_GB2312"/>
                <w:sz w:val="24"/>
                <w:lang w:eastAsia="zh-CN"/>
              </w:rPr>
              <w:t>贸促会</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209.01</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122</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97.66</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24.34</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87.01</w:t>
            </w: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lang w:eastAsia="zh-CN"/>
              </w:rPr>
              <w:t>贸促会</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lang w:eastAsia="zh-CN"/>
              </w:rPr>
              <w:t>贸促会</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23.94</w:t>
            </w:r>
          </w:p>
        </w:tc>
        <w:tc>
          <w:tcPr>
            <w:tcW w:w="2435"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23.94</w:t>
            </w:r>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774" w:type="dxa"/>
            <w:gridSpan w:val="7"/>
            <w:noWrap w:val="0"/>
            <w:vAlign w:val="center"/>
          </w:tcPr>
          <w:p>
            <w:pPr>
              <w:autoSpaceDN w:val="0"/>
              <w:spacing w:line="320" w:lineRule="exact"/>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目标1：完成电子商务平台建设和招商。</w:t>
            </w:r>
          </w:p>
          <w:p>
            <w:pPr>
              <w:autoSpaceDN w:val="0"/>
              <w:spacing w:line="320" w:lineRule="exact"/>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目标2：贸促业务上新发展理事会员单位5家。</w:t>
            </w:r>
          </w:p>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宋体" w:hAnsi="宋体" w:eastAsia="宋体" w:cs="宋体"/>
                <w:i w:val="0"/>
                <w:iCs w:val="0"/>
                <w:color w:val="000000"/>
                <w:kern w:val="0"/>
                <w:sz w:val="20"/>
                <w:szCs w:val="20"/>
                <w:u w:val="none"/>
                <w:lang w:val="en-US" w:eastAsia="zh-CN" w:bidi="ar"/>
              </w:rPr>
              <w:t>目标3：招商引资上引进知名企业来楼区合作、洽谈、投资。</w:t>
            </w:r>
          </w:p>
        </w:tc>
        <w:tc>
          <w:tcPr>
            <w:tcW w:w="4585" w:type="dxa"/>
            <w:gridSpan w:val="9"/>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完成率</w:t>
            </w:r>
            <w:r>
              <w:rPr>
                <w:rFonts w:hint="eastAsia" w:ascii="仿宋_GB2312" w:hAnsi="仿宋_GB2312" w:eastAsia="仿宋_GB2312" w:cs="仿宋_GB2312"/>
                <w:color w:val="000000"/>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如质如量完成目标</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新发展理事会员单位</w:t>
            </w:r>
            <w:r>
              <w:rPr>
                <w:rFonts w:hint="eastAsia" w:ascii="仿宋_GB2312" w:hAnsi="仿宋_GB2312" w:eastAsia="仿宋_GB2312" w:cs="仿宋_GB2312"/>
                <w:color w:val="000000"/>
                <w:sz w:val="24"/>
                <w:lang w:val="en-US" w:eastAsia="zh-CN"/>
              </w:rPr>
              <w:t>5家。</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val="0"/>
                <w:bCs/>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2021年内</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val="0"/>
                <w:bCs/>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指标1：推动城市经济社会高质量发展</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val="0"/>
                <w:bCs/>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指标1：改善民生，保护环境</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val="0"/>
                <w:bCs/>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满意</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val="0"/>
                <w:bCs/>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w:t>
            </w:r>
            <w:bookmarkStart w:id="0" w:name="_GoBack"/>
            <w:bookmarkEnd w:id="0"/>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余小华</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kern w:val="2"/>
                <w:sz w:val="24"/>
                <w:szCs w:val="22"/>
                <w:lang w:val="en-US" w:eastAsia="zh-CN" w:bidi="ar-SA"/>
              </w:rPr>
              <w:t>会长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岳阳楼区</w:t>
            </w:r>
            <w:r>
              <w:rPr>
                <w:rFonts w:hint="eastAsia" w:ascii="仿宋_GB2312" w:hAnsi="仿宋_GB2312" w:eastAsia="仿宋_GB2312" w:cs="仿宋_GB2312"/>
                <w:color w:val="000000"/>
                <w:sz w:val="24"/>
                <w:lang w:eastAsia="zh-CN"/>
              </w:rPr>
              <w:t>贸促会</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张卫彬</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副会长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岳阳楼区</w:t>
            </w:r>
            <w:r>
              <w:rPr>
                <w:rFonts w:hint="eastAsia" w:ascii="仿宋_GB2312" w:hAnsi="仿宋_GB2312" w:eastAsia="仿宋_GB2312" w:cs="仿宋_GB2312"/>
                <w:color w:val="000000"/>
                <w:sz w:val="24"/>
                <w:lang w:eastAsia="zh-CN"/>
              </w:rPr>
              <w:t>贸促会</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韦秀珍</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副会长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岳阳楼区</w:t>
            </w:r>
            <w:r>
              <w:rPr>
                <w:rFonts w:hint="eastAsia" w:ascii="仿宋_GB2312" w:hAnsi="仿宋_GB2312" w:eastAsia="仿宋_GB2312" w:cs="仿宋_GB2312"/>
                <w:color w:val="000000"/>
                <w:sz w:val="24"/>
                <w:lang w:eastAsia="zh-CN"/>
              </w:rPr>
              <w:t>贸促会</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020"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960"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047" w:hRule="atLeast"/>
          <w:jc w:val="center"/>
        </w:trPr>
        <w:tc>
          <w:tcPr>
            <w:tcW w:w="980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w:t>
      </w:r>
      <w:r>
        <w:rPr>
          <w:rFonts w:hint="eastAsia" w:eastAsia="仿宋_GB2312" w:cs="仿宋_GB2312"/>
          <w:bCs/>
          <w:sz w:val="28"/>
          <w:szCs w:val="28"/>
          <w:lang w:eastAsia="zh-CN"/>
        </w:rPr>
        <w:t>胡旋</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13975060104</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840" w:firstLineChars="300"/>
              <w:rPr>
                <w:rFonts w:hint="eastAsia" w:ascii="仿宋" w:hAnsi="仿宋" w:eastAsia="仿宋" w:cs="仿宋"/>
                <w:bCs/>
                <w:sz w:val="28"/>
                <w:szCs w:val="28"/>
              </w:rPr>
            </w:pPr>
            <w:r>
              <w:rPr>
                <w:rFonts w:hint="eastAsia" w:ascii="仿宋" w:hAnsi="仿宋" w:eastAsia="仿宋" w:cs="仿宋"/>
                <w:bCs/>
                <w:sz w:val="28"/>
                <w:szCs w:val="28"/>
              </w:rPr>
              <w:t>一、部门（单位）概况</w:t>
            </w:r>
          </w:p>
          <w:p>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（一）部门（单位）基本情况</w:t>
            </w:r>
          </w:p>
          <w:p>
            <w:pPr>
              <w:ind w:firstLine="645"/>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主要负责同国内外经济贸易界、商会协会和其他经贸团体以及有关国际贸易组织的联络工作；与国外相应组织签订有关经贸技术交流、合作协议、协定并参加相关活动；负责区产业发展规划的制订；协助区人民政府组织经贸洽谈、招商引资及其他形式的促进经贸交流等活动。</w:t>
            </w:r>
          </w:p>
          <w:p>
            <w:pPr>
              <w:spacing w:line="560" w:lineRule="exact"/>
              <w:ind w:firstLine="840" w:firstLineChars="300"/>
              <w:rPr>
                <w:rFonts w:hint="eastAsia" w:ascii="仿宋" w:hAnsi="仿宋" w:eastAsia="仿宋" w:cs="仿宋"/>
                <w:bCs/>
                <w:sz w:val="28"/>
                <w:szCs w:val="28"/>
              </w:rPr>
            </w:pPr>
            <w:r>
              <w:rPr>
                <w:rFonts w:hint="eastAsia" w:ascii="仿宋" w:hAnsi="仿宋" w:eastAsia="仿宋" w:cs="仿宋"/>
                <w:bCs/>
                <w:sz w:val="28"/>
                <w:szCs w:val="28"/>
              </w:rPr>
              <w:t>二、部门（单位）整体支出管理及使用情况</w:t>
            </w:r>
          </w:p>
          <w:p>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（一）基本支出</w:t>
            </w:r>
          </w:p>
          <w:p>
            <w:pPr>
              <w:pStyle w:val="4"/>
              <w:widowControl/>
              <w:shd w:val="clear" w:color="auto" w:fill="FFFFFF"/>
              <w:spacing w:before="0" w:beforeAutospacing="0" w:after="0" w:afterAutospacing="0"/>
              <w:ind w:firstLine="840" w:firstLineChars="300"/>
              <w:jc w:val="both"/>
              <w:rPr>
                <w:rFonts w:hint="eastAsia" w:ascii="仿宋" w:hAnsi="仿宋" w:eastAsia="仿宋" w:cs="仿宋"/>
                <w:kern w:val="2"/>
                <w:sz w:val="28"/>
                <w:szCs w:val="28"/>
              </w:rPr>
            </w:pPr>
            <w:r>
              <w:rPr>
                <w:rFonts w:hint="eastAsia" w:ascii="仿宋" w:hAnsi="仿宋" w:eastAsia="仿宋" w:cs="仿宋"/>
                <w:kern w:val="2"/>
                <w:sz w:val="28"/>
                <w:szCs w:val="28"/>
                <w:lang w:val="en-US" w:eastAsia="zh-CN"/>
              </w:rPr>
              <w:t>2021</w:t>
            </w:r>
            <w:r>
              <w:rPr>
                <w:rFonts w:hint="eastAsia" w:ascii="仿宋" w:hAnsi="仿宋" w:eastAsia="仿宋" w:cs="仿宋"/>
                <w:kern w:val="2"/>
                <w:sz w:val="28"/>
                <w:szCs w:val="28"/>
              </w:rPr>
              <w:t>年基本支出年初预算数为</w:t>
            </w:r>
            <w:r>
              <w:rPr>
                <w:rFonts w:hint="eastAsia" w:ascii="仿宋" w:hAnsi="仿宋" w:eastAsia="仿宋" w:cs="仿宋"/>
                <w:kern w:val="2"/>
                <w:sz w:val="28"/>
                <w:szCs w:val="28"/>
                <w:lang w:val="en-US" w:eastAsia="zh-CN"/>
              </w:rPr>
              <w:t>134.75</w:t>
            </w:r>
            <w:r>
              <w:rPr>
                <w:rFonts w:hint="eastAsia" w:ascii="仿宋" w:hAnsi="仿宋" w:eastAsia="仿宋" w:cs="仿宋"/>
                <w:kern w:val="2"/>
                <w:sz w:val="28"/>
                <w:szCs w:val="28"/>
              </w:rPr>
              <w:t>万元，是指为保障单位机构正常运转、完成日常工作任务而发生的各项支出，包括用于基本工资、津贴补贴等人员经费以及办公费、印刷费、水电费、办公设备购置等日常公用经费。 </w:t>
            </w:r>
          </w:p>
          <w:p>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（二）专项支出</w:t>
            </w:r>
          </w:p>
          <w:p>
            <w:pPr>
              <w:numPr>
                <w:ilvl w:val="0"/>
                <w:numId w:val="0"/>
              </w:numPr>
              <w:ind w:right="0" w:rightChars="0" w:firstLine="840" w:firstLineChars="300"/>
              <w:jc w:val="both"/>
              <w:rPr>
                <w:rFonts w:hint="eastAsia" w:ascii="仿宋" w:hAnsi="仿宋" w:eastAsia="仿宋" w:cs="仿宋"/>
                <w:kern w:val="2"/>
                <w:sz w:val="28"/>
                <w:szCs w:val="28"/>
                <w:lang w:val="en-US" w:eastAsia="zh-CN"/>
              </w:rPr>
            </w:pPr>
            <w:r>
              <w:rPr>
                <w:rFonts w:hint="eastAsia" w:ascii="仿宋" w:hAnsi="仿宋" w:eastAsia="仿宋" w:cs="仿宋"/>
                <w:kern w:val="2"/>
                <w:sz w:val="28"/>
                <w:szCs w:val="28"/>
                <w:lang w:val="en-US" w:eastAsia="zh-CN"/>
              </w:rPr>
              <w:t>1、2021</w:t>
            </w:r>
            <w:r>
              <w:rPr>
                <w:rFonts w:hint="eastAsia" w:ascii="仿宋" w:hAnsi="仿宋" w:eastAsia="仿宋" w:cs="仿宋"/>
                <w:kern w:val="2"/>
                <w:sz w:val="28"/>
                <w:szCs w:val="28"/>
              </w:rPr>
              <w:t>年项目支出年初预算数为</w:t>
            </w:r>
            <w:r>
              <w:rPr>
                <w:rFonts w:hint="eastAsia" w:ascii="仿宋" w:hAnsi="仿宋" w:eastAsia="仿宋" w:cs="仿宋"/>
                <w:kern w:val="2"/>
                <w:sz w:val="28"/>
                <w:szCs w:val="28"/>
                <w:lang w:val="en-US" w:eastAsia="zh-CN"/>
              </w:rPr>
              <w:t>85</w:t>
            </w:r>
            <w:r>
              <w:rPr>
                <w:rFonts w:hint="eastAsia" w:ascii="仿宋" w:hAnsi="仿宋" w:eastAsia="仿宋" w:cs="仿宋"/>
                <w:kern w:val="2"/>
                <w:sz w:val="28"/>
                <w:szCs w:val="28"/>
              </w:rPr>
              <w:t>万元，是指单位为完成特定行政工作任务或事业发展目标而发生的支出，包括有关业务工作经费和运行维护经费。</w:t>
            </w:r>
          </w:p>
          <w:p>
            <w:pPr>
              <w:numPr>
                <w:ilvl w:val="0"/>
                <w:numId w:val="0"/>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 xml:space="preserve">  2、</w:t>
            </w:r>
            <w:r>
              <w:rPr>
                <w:rFonts w:hint="eastAsia" w:ascii="仿宋_GB2312" w:hAnsi="仿宋_GB2312" w:eastAsia="仿宋_GB2312" w:cs="仿宋_GB2312"/>
                <w:bCs/>
                <w:sz w:val="28"/>
                <w:szCs w:val="28"/>
              </w:rPr>
              <w:t>专项资金管理情况分析</w:t>
            </w:r>
          </w:p>
          <w:p>
            <w:pPr>
              <w:pStyle w:val="4"/>
              <w:keepNext w:val="0"/>
              <w:keepLines w:val="0"/>
              <w:widowControl/>
              <w:suppressLineNumbers w:val="0"/>
              <w:pBdr>
                <w:bottom w:val="none" w:color="auto" w:sz="0" w:space="0"/>
              </w:pBdr>
              <w:spacing w:before="0" w:beforeAutospacing="0" w:after="0" w:afterAutospacing="0" w:line="33" w:lineRule="atLeast"/>
              <w:ind w:right="0"/>
              <w:jc w:val="both"/>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 xml:space="preserve">      我局成立了内控、预算管理工作领导小组，制定了一系列财务管理制度，全部资金纳入部门预算管理。</w:t>
            </w:r>
            <w:r>
              <w:rPr>
                <w:rFonts w:hint="eastAsia" w:ascii="仿宋_GB2312" w:hAnsi="仿宋_GB2312" w:eastAsia="仿宋_GB2312" w:cs="仿宋_GB2312"/>
                <w:bCs/>
                <w:sz w:val="28"/>
                <w:szCs w:val="28"/>
              </w:rPr>
              <w:t>专项资金</w:t>
            </w:r>
            <w:r>
              <w:rPr>
                <w:rFonts w:hint="eastAsia" w:ascii="仿宋_GB2312" w:hAnsi="仿宋_GB2312" w:eastAsia="仿宋_GB2312" w:cs="仿宋_GB2312"/>
                <w:bCs/>
                <w:sz w:val="28"/>
                <w:szCs w:val="28"/>
                <w:lang w:val="en-US" w:eastAsia="zh-CN"/>
              </w:rPr>
              <w:t>拨付有完整的审批程序和手续。</w:t>
            </w:r>
          </w:p>
          <w:p>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三、部门（单位）专项组织实施情况</w:t>
            </w:r>
          </w:p>
          <w:p>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按照专项资金的管理要求，建立了相关的管理制度。</w:t>
            </w:r>
          </w:p>
          <w:p>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lang w:eastAsia="zh-CN"/>
              </w:rPr>
              <w:t>四</w:t>
            </w:r>
            <w:r>
              <w:rPr>
                <w:rFonts w:hint="eastAsia" w:ascii="仿宋" w:hAnsi="仿宋" w:eastAsia="仿宋" w:cs="仿宋"/>
                <w:bCs/>
                <w:sz w:val="28"/>
                <w:szCs w:val="28"/>
              </w:rPr>
              <w:t>、存在的主要问题</w:t>
            </w:r>
          </w:p>
          <w:p>
            <w:pPr>
              <w:pStyle w:val="4"/>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 xml:space="preserve"> 绩效考核意识有待进一步加强，内部绩效管理制度还不够完善，评价体系有待进一步健全。预算编制工作不够细化。</w:t>
            </w:r>
          </w:p>
          <w:p>
            <w:pPr>
              <w:numPr>
                <w:ilvl w:val="0"/>
                <w:numId w:val="0"/>
              </w:num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lang w:eastAsia="zh-CN"/>
              </w:rPr>
              <w:t>五、</w:t>
            </w:r>
            <w:r>
              <w:rPr>
                <w:rFonts w:hint="eastAsia" w:ascii="仿宋" w:hAnsi="仿宋" w:eastAsia="仿宋" w:cs="仿宋"/>
                <w:bCs/>
                <w:sz w:val="28"/>
                <w:szCs w:val="28"/>
              </w:rPr>
              <w:t>改进措施和有关建议</w:t>
            </w:r>
          </w:p>
          <w:p>
            <w:pPr>
              <w:pStyle w:val="4"/>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1、加强绩效管理，完善绩效管理制度。</w:t>
            </w:r>
          </w:p>
          <w:p>
            <w:pPr>
              <w:pStyle w:val="4"/>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2、严格执行财务预算管理制度，重视日常财务收支管理，建立健全各项财务制度，对一切开支严格按财务制度办理，极大地提高资金的使用效益，达到节约支出的目的。</w:t>
            </w:r>
          </w:p>
          <w:p>
            <w:pPr>
              <w:pStyle w:val="4"/>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3、强化监督，不断提高专项资金使用效益。</w:t>
            </w:r>
          </w:p>
          <w:p>
            <w:pPr>
              <w:pStyle w:val="4"/>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4、持续抓好‘三公经费’的管理和使用。</w:t>
            </w:r>
          </w:p>
          <w:p>
            <w:pPr>
              <w:pStyle w:val="4"/>
              <w:keepNext w:val="0"/>
              <w:keepLines w:val="0"/>
              <w:widowControl/>
              <w:suppressLineNumbers w:val="0"/>
              <w:pBdr>
                <w:bottom w:val="none" w:color="auto" w:sz="0" w:space="0"/>
              </w:pBdr>
              <w:spacing w:before="0" w:beforeAutospacing="0" w:after="0" w:afterAutospacing="0" w:line="33" w:lineRule="atLeast"/>
              <w:ind w:right="0" w:firstLine="560" w:firstLineChars="200"/>
              <w:jc w:val="both"/>
              <w:rPr>
                <w:rFonts w:hint="eastAsia" w:ascii="仿宋_GB2312" w:hAnsi="仿宋_GB2312" w:eastAsia="仿宋_GB2312" w:cs="仿宋_GB2312"/>
                <w:color w:val="000000"/>
                <w:sz w:val="28"/>
                <w:szCs w:val="28"/>
              </w:rPr>
            </w:pPr>
            <w:r>
              <w:rPr>
                <w:rFonts w:hint="eastAsia" w:ascii="仿宋" w:hAnsi="仿宋" w:eastAsia="仿宋" w:cs="仿宋"/>
                <w:bCs/>
                <w:sz w:val="28"/>
                <w:szCs w:val="28"/>
                <w:lang w:val="en-US" w:eastAsia="zh-CN"/>
              </w:rPr>
              <w:t>5、针对项目经费的使用，严把支出关，做到不挪</w:t>
            </w:r>
            <w:r>
              <w:rPr>
                <w:rFonts w:hint="eastAsia" w:ascii="仿宋_GB2312" w:hAnsi="仿宋_GB2312" w:eastAsia="仿宋_GB2312" w:cs="仿宋_GB2312"/>
                <w:bCs/>
                <w:sz w:val="28"/>
                <w:szCs w:val="28"/>
                <w:lang w:val="en-US" w:eastAsia="zh-CN"/>
              </w:rPr>
              <w:t>用、不截留。</w:t>
            </w:r>
          </w:p>
          <w:p>
            <w:pPr>
              <w:numPr>
                <w:ilvl w:val="0"/>
                <w:numId w:val="0"/>
              </w:numPr>
              <w:spacing w:line="560" w:lineRule="exact"/>
              <w:rPr>
                <w:rFonts w:hint="eastAsia" w:ascii="黑体" w:hAnsi="黑体" w:eastAsia="黑体" w:cs="黑体"/>
                <w:bCs/>
                <w:sz w:val="28"/>
                <w:szCs w:val="28"/>
              </w:rPr>
            </w:pPr>
          </w:p>
          <w:p>
            <w:pPr>
              <w:rPr>
                <w:rFonts w:eastAsia="楷体_GB2312"/>
                <w:bCs/>
                <w:sz w:val="28"/>
                <w:szCs w:val="28"/>
              </w:rPr>
            </w:pPr>
          </w:p>
        </w:tc>
      </w:tr>
    </w:tbl>
    <w:p>
      <w:pPr>
        <w:spacing w:line="348" w:lineRule="auto"/>
        <w:rPr>
          <w:rFonts w:hint="eastAsia" w:eastAsia="黑体" w:cs="黑体"/>
          <w:bCs/>
          <w:sz w:val="32"/>
          <w:szCs w:val="32"/>
        </w:rPr>
      </w:pPr>
      <w:r>
        <w:rPr>
          <w:rFonts w:hint="eastAsia" w:eastAsia="黑体" w:cs="黑体"/>
          <w:bCs/>
          <w:sz w:val="32"/>
          <w:szCs w:val="32"/>
        </w:rPr>
        <w:t>附件3-2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5"/>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预算执行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bl>
    <w:p>
      <w:pPr>
        <w:jc w:val="left"/>
      </w:pPr>
    </w:p>
    <w:tbl>
      <w:tblPr>
        <w:tblStyle w:val="5"/>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100</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b/>
                <w:bCs/>
                <w:kern w:val="0"/>
                <w:sz w:val="18"/>
                <w:szCs w:val="18"/>
              </w:rPr>
            </w:pPr>
          </w:p>
        </w:tc>
      </w:tr>
    </w:tbl>
    <w:p>
      <w:pPr>
        <w:spacing w:line="348" w:lineRule="auto"/>
        <w:jc w:val="both"/>
      </w:pPr>
    </w:p>
    <w:sectPr>
      <w:headerReference r:id="rId5" w:type="default"/>
      <w:footerReference r:id="rId6" w:type="default"/>
      <w:pgSz w:w="11906" w:h="16838"/>
      <w:pgMar w:top="1701" w:right="1701" w:bottom="1701"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3000509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20</w:t>
    </w:r>
    <w:r>
      <w:rPr>
        <w:b/>
        <w:bCs/>
        <w:sz w:val="24"/>
        <w:szCs w:val="24"/>
      </w:rPr>
      <w:fldChar w:fldCharType="end"/>
    </w:r>
    <w:r>
      <w:rPr>
        <w:lang w:val="zh-CN" w:eastAsia="zh-CN"/>
      </w:rPr>
      <w:t xml:space="preserve"> </w:t>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s>
  <w:rsids>
    <w:rsidRoot w:val="315A48CB"/>
    <w:rsid w:val="005B1E09"/>
    <w:rsid w:val="0A020060"/>
    <w:rsid w:val="15D84DAE"/>
    <w:rsid w:val="17CA5E91"/>
    <w:rsid w:val="18962A18"/>
    <w:rsid w:val="1C0F6391"/>
    <w:rsid w:val="20192275"/>
    <w:rsid w:val="22D805E7"/>
    <w:rsid w:val="296572E3"/>
    <w:rsid w:val="29E67E88"/>
    <w:rsid w:val="2A1D3F4F"/>
    <w:rsid w:val="2BBC1C88"/>
    <w:rsid w:val="2D733809"/>
    <w:rsid w:val="315A48CB"/>
    <w:rsid w:val="37157D2F"/>
    <w:rsid w:val="3AD77462"/>
    <w:rsid w:val="3D531B5F"/>
    <w:rsid w:val="3EA5184D"/>
    <w:rsid w:val="41E9272B"/>
    <w:rsid w:val="48185BAF"/>
    <w:rsid w:val="497E7E4C"/>
    <w:rsid w:val="4F8B0E4C"/>
    <w:rsid w:val="52282001"/>
    <w:rsid w:val="5689786C"/>
    <w:rsid w:val="57517DFD"/>
    <w:rsid w:val="58E573DF"/>
    <w:rsid w:val="59F17C0D"/>
    <w:rsid w:val="5A762F0F"/>
    <w:rsid w:val="5AE82D78"/>
    <w:rsid w:val="5AFA2D96"/>
    <w:rsid w:val="5BF45597"/>
    <w:rsid w:val="5D73565F"/>
    <w:rsid w:val="61587C95"/>
    <w:rsid w:val="6290280F"/>
    <w:rsid w:val="6854062C"/>
    <w:rsid w:val="68D97E30"/>
    <w:rsid w:val="6C470D34"/>
    <w:rsid w:val="6C8528F4"/>
    <w:rsid w:val="714A2D64"/>
    <w:rsid w:val="75947B12"/>
    <w:rsid w:val="76C55DDE"/>
    <w:rsid w:val="775726AC"/>
    <w:rsid w:val="795B025D"/>
    <w:rsid w:val="7C9E6B26"/>
    <w:rsid w:val="7CCE00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kern w:val="0"/>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character" w:customStyle="1" w:styleId="7">
    <w:name w:val="font21"/>
    <w:basedOn w:val="6"/>
    <w:qFormat/>
    <w:uiPriority w:val="0"/>
    <w:rPr>
      <w:rFonts w:ascii="仿宋_GB2312" w:eastAsia="仿宋_GB2312" w:cs="仿宋_GB2312"/>
      <w:color w:val="000000"/>
      <w:sz w:val="16"/>
      <w:szCs w:val="16"/>
      <w:u w:val="none"/>
    </w:rPr>
  </w:style>
  <w:style w:type="character" w:customStyle="1" w:styleId="8">
    <w:name w:val="font11"/>
    <w:basedOn w:val="6"/>
    <w:qFormat/>
    <w:uiPriority w:val="0"/>
    <w:rPr>
      <w:rFonts w:hint="default" w:ascii="Times New Roman" w:hAnsi="Times New Roman" w:cs="Times New Roman"/>
      <w:color w:val="000000"/>
      <w:sz w:val="16"/>
      <w:szCs w:val="16"/>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3327</Words>
  <Characters>3534</Characters>
  <Lines>0</Lines>
  <Paragraphs>0</Paragraphs>
  <TotalTime>50</TotalTime>
  <ScaleCrop>false</ScaleCrop>
  <LinksUpToDate>false</LinksUpToDate>
  <CharactersWithSpaces>4070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2021-07-01T01:46:00Z</dcterms:created>
  <dc:creator>晴天小宝</dc:creator>
  <cp:lastModifiedBy>necrolyte</cp:lastModifiedBy>
  <cp:lastPrinted>2021-07-08T07:49:00Z</cp:lastPrinted>
  <dcterms:modified xsi:type="dcterms:W3CDTF">2023-04-23T01:38:28Z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6E546F9157374D52B965007209BA6264</vt:lpwstr>
  </property>
</Properties>
</file>