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ascii="黑体" w:hAnsi="黑体" w:eastAsia="黑体" w:cs="黑体"/>
          <w:bCs/>
          <w:sz w:val="32"/>
          <w:szCs w:val="32"/>
        </w:rPr>
      </w:pPr>
      <w:r>
        <w:rPr>
          <w:rFonts w:hint="eastAsia" w:ascii="黑体" w:hAnsi="黑体" w:eastAsia="黑体" w:cs="黑体"/>
          <w:bCs/>
          <w:sz w:val="32"/>
          <w:szCs w:val="32"/>
        </w:rPr>
        <w:t>附件2-1</w:t>
      </w:r>
    </w:p>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岳阳楼区20</w:t>
      </w:r>
      <w:r>
        <w:rPr>
          <w:rFonts w:hint="eastAsia" w:eastAsia="方正小标宋简体"/>
          <w:bCs/>
          <w:sz w:val="46"/>
          <w:szCs w:val="46"/>
          <w:u w:val="single"/>
        </w:rPr>
        <w:t>21</w:t>
      </w:r>
      <w:r>
        <w:rPr>
          <w:rFonts w:hint="eastAsia" w:eastAsia="方正小标宋简体"/>
          <w:bCs/>
          <w:sz w:val="46"/>
          <w:szCs w:val="46"/>
        </w:rPr>
        <w:t>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rPr>
          <w:rFonts w:eastAsia="仿宋_GB2312"/>
          <w:b/>
          <w:sz w:val="32"/>
        </w:rPr>
      </w:pPr>
    </w:p>
    <w:p>
      <w:pPr>
        <w:spacing w:beforeLines="50" w:line="348" w:lineRule="auto"/>
        <w:ind w:firstLine="476" w:firstLineChars="150"/>
        <w:rPr>
          <w:rFonts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岳阳市岳阳楼区</w:t>
      </w:r>
      <w:r>
        <w:rPr>
          <w:rFonts w:hint="eastAsia" w:eastAsia="仿宋_GB2312"/>
          <w:sz w:val="32"/>
          <w:szCs w:val="32"/>
          <w:u w:val="single"/>
          <w:lang w:eastAsia="zh-CN"/>
        </w:rPr>
        <w:t>行政审批服务局</w:t>
      </w:r>
      <w:r>
        <w:rPr>
          <w:rFonts w:hint="eastAsia" w:eastAsia="仿宋_GB2312"/>
          <w:sz w:val="32"/>
          <w:szCs w:val="32"/>
          <w:u w:val="single"/>
        </w:rPr>
        <w:t xml:space="preserve">  </w:t>
      </w:r>
    </w:p>
    <w:p>
      <w:pPr>
        <w:spacing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110001          </w:t>
      </w:r>
    </w:p>
    <w:p>
      <w:pPr>
        <w:spacing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报告日期：2022年5月10日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3"/>
        <w:tblW w:w="8439" w:type="dxa"/>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Layout w:type="fixed"/>
        <w:tblCellMar>
          <w:top w:w="30" w:type="dxa"/>
          <w:left w:w="30" w:type="dxa"/>
          <w:bottom w:w="30" w:type="dxa"/>
          <w:right w:w="30" w:type="dxa"/>
        </w:tblCellMar>
      </w:tblPr>
      <w:tblGrid>
        <w:gridCol w:w="1211"/>
        <w:gridCol w:w="505"/>
        <w:gridCol w:w="304"/>
        <w:gridCol w:w="1026"/>
        <w:gridCol w:w="111"/>
        <w:gridCol w:w="90"/>
        <w:gridCol w:w="508"/>
        <w:gridCol w:w="340"/>
        <w:gridCol w:w="298"/>
        <w:gridCol w:w="248"/>
        <w:gridCol w:w="537"/>
        <w:gridCol w:w="149"/>
        <w:gridCol w:w="561"/>
        <w:gridCol w:w="316"/>
        <w:gridCol w:w="80"/>
        <w:gridCol w:w="292"/>
        <w:gridCol w:w="198"/>
        <w:gridCol w:w="95"/>
        <w:gridCol w:w="78"/>
        <w:gridCol w:w="223"/>
        <w:gridCol w:w="25"/>
        <w:gridCol w:w="235"/>
        <w:gridCol w:w="123"/>
        <w:gridCol w:w="273"/>
        <w:gridCol w:w="255"/>
        <w:gridCol w:w="235"/>
        <w:gridCol w:w="123"/>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8439" w:type="dxa"/>
            <w:gridSpan w:val="2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ind w:firstLine="2520" w:firstLineChars="900"/>
              <w:jc w:val="both"/>
            </w:pPr>
            <w:r>
              <w:rPr>
                <w:rFonts w:hint="eastAsia" w:ascii="黑体" w:hAnsi="黑体" w:eastAsia="黑体" w:cs="黑体"/>
                <w:color w:val="000000"/>
                <w:kern w:val="2"/>
                <w:sz w:val="28"/>
                <w:szCs w:val="28"/>
                <w:lang w:val="en-US" w:eastAsia="zh-CN" w:bidi="ar-SA"/>
              </w:rPr>
              <w:t>一、部门（单位）基本概况</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联系人</w:t>
            </w:r>
          </w:p>
        </w:tc>
        <w:tc>
          <w:tcPr>
            <w:tcW w:w="3462"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lang w:val="en-US" w:eastAsia="zh-CN"/>
              </w:rPr>
            </w:pPr>
            <w:r>
              <w:rPr>
                <w:rFonts w:hint="eastAsia"/>
                <w:lang w:val="en-US" w:eastAsia="zh-CN"/>
              </w:rPr>
              <w:t>欧阳辉</w:t>
            </w:r>
          </w:p>
        </w:tc>
        <w:tc>
          <w:tcPr>
            <w:tcW w:w="1026"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联络电话</w:t>
            </w:r>
          </w:p>
        </w:tc>
        <w:tc>
          <w:tcPr>
            <w:tcW w:w="2235" w:type="dxa"/>
            <w:gridSpan w:val="1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lang w:val="en-US" w:eastAsia="zh-CN"/>
              </w:rPr>
            </w:pPr>
            <w:r>
              <w:rPr>
                <w:rFonts w:hint="eastAsia"/>
                <w:color w:val="auto"/>
                <w:lang w:val="en-US" w:eastAsia="zh-CN"/>
              </w:rPr>
              <w:t>07303295885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人员编制</w:t>
            </w:r>
          </w:p>
        </w:tc>
        <w:tc>
          <w:tcPr>
            <w:tcW w:w="3462"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eastAsia" w:eastAsiaTheme="minorEastAsia"/>
                <w:lang w:val="en-US" w:eastAsia="zh-CN"/>
              </w:rPr>
            </w:pPr>
            <w:r>
              <w:t>1</w:t>
            </w:r>
            <w:r>
              <w:rPr>
                <w:rFonts w:hint="eastAsia"/>
                <w:lang w:val="en-US" w:eastAsia="zh-CN"/>
              </w:rPr>
              <w:t>8</w:t>
            </w:r>
          </w:p>
        </w:tc>
        <w:tc>
          <w:tcPr>
            <w:tcW w:w="1026"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实有人数</w:t>
            </w:r>
          </w:p>
        </w:tc>
        <w:tc>
          <w:tcPr>
            <w:tcW w:w="2235" w:type="dxa"/>
            <w:gridSpan w:val="1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eastAsia" w:eastAsiaTheme="minorEastAsia"/>
                <w:lang w:val="en-US" w:eastAsia="zh-CN"/>
              </w:rPr>
            </w:pPr>
            <w:r>
              <w:t>1</w:t>
            </w:r>
            <w:r>
              <w:rPr>
                <w:rFonts w:hint="eastAsia"/>
                <w:lang w:val="en-US" w:eastAsia="zh-CN"/>
              </w:rPr>
              <w:t>8</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职能职责概述</w:t>
            </w:r>
          </w:p>
        </w:tc>
        <w:tc>
          <w:tcPr>
            <w:tcW w:w="6723" w:type="dxa"/>
            <w:gridSpan w:val="25"/>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贯彻落实中央政务服务改革的方针政策和决策，全面落实省委、市委、区委、区政府关于行政审批服务局工作的部署。</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年度主要</w:t>
            </w:r>
          </w:p>
          <w:p>
            <w:pPr>
              <w:pStyle w:val="2"/>
              <w:keepNext w:val="0"/>
              <w:keepLines w:val="0"/>
              <w:widowControl/>
              <w:suppressLineNumbers w:val="0"/>
              <w:spacing w:before="0" w:beforeAutospacing="0" w:after="0" w:afterAutospacing="0" w:line="33" w:lineRule="atLeast"/>
              <w:jc w:val="both"/>
            </w:pPr>
            <w:r>
              <w:t>工作内容</w:t>
            </w:r>
          </w:p>
        </w:tc>
        <w:tc>
          <w:tcPr>
            <w:tcW w:w="6723" w:type="dxa"/>
            <w:gridSpan w:val="25"/>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1、推进“放管服”改革，创新和完善集中审批工作。</w:t>
            </w:r>
          </w:p>
          <w:p>
            <w:pPr>
              <w:pStyle w:val="2"/>
              <w:keepNext w:val="0"/>
              <w:keepLines w:val="0"/>
              <w:widowControl/>
              <w:suppressLineNumbers w:val="0"/>
              <w:spacing w:before="0" w:beforeAutospacing="0" w:after="0" w:afterAutospacing="0" w:line="33" w:lineRule="atLeast"/>
              <w:jc w:val="both"/>
            </w:pPr>
            <w:r>
              <w:t>2、区“互联网＋政务服务”一体化平台的建设、维护和管理。</w:t>
            </w:r>
          </w:p>
          <w:p>
            <w:pPr>
              <w:pStyle w:val="2"/>
              <w:keepNext w:val="0"/>
              <w:keepLines w:val="0"/>
              <w:widowControl/>
              <w:suppressLineNumbers w:val="0"/>
              <w:spacing w:before="0" w:beforeAutospacing="0" w:after="0" w:afterAutospacing="0" w:line="33" w:lineRule="atLeast"/>
              <w:jc w:val="both"/>
            </w:pPr>
            <w:r>
              <w:t>3、“12345”政府服务热线工作；负责处理市热线办下派的“12345”热线工单交办、督办和考核。</w:t>
            </w:r>
          </w:p>
          <w:p>
            <w:pPr>
              <w:pStyle w:val="2"/>
              <w:keepNext w:val="0"/>
              <w:keepLines w:val="0"/>
              <w:widowControl/>
              <w:suppressLineNumbers w:val="0"/>
              <w:spacing w:before="0" w:beforeAutospacing="0" w:after="0" w:afterAutospacing="0" w:line="33" w:lineRule="atLeast"/>
              <w:jc w:val="both"/>
            </w:pPr>
            <w:r>
              <w:t>4、负责“市长信箱”“区长信箱”中人民群众来信来访的转交、督办，及时公开办理结果。</w:t>
            </w:r>
          </w:p>
          <w:p>
            <w:pPr>
              <w:pStyle w:val="2"/>
              <w:keepNext w:val="0"/>
              <w:keepLines w:val="0"/>
              <w:widowControl/>
              <w:suppressLineNumbers w:val="0"/>
              <w:spacing w:before="0" w:beforeAutospacing="0" w:after="0" w:afterAutospacing="0" w:line="33" w:lineRule="atLeast"/>
              <w:jc w:val="both"/>
            </w:pPr>
            <w:r>
              <w:t>5、协调推进经济发展环境的优化。</w:t>
            </w:r>
          </w:p>
          <w:p>
            <w:pPr>
              <w:pStyle w:val="2"/>
              <w:keepNext w:val="0"/>
              <w:keepLines w:val="0"/>
              <w:widowControl/>
              <w:suppressLineNumbers w:val="0"/>
              <w:spacing w:before="0" w:beforeAutospacing="0" w:after="0" w:afterAutospacing="0" w:line="33" w:lineRule="atLeast"/>
              <w:jc w:val="both"/>
            </w:pPr>
            <w:r>
              <w:t>6、区政务服务中心运营管理。</w:t>
            </w:r>
          </w:p>
          <w:p>
            <w:pPr>
              <w:pStyle w:val="2"/>
              <w:keepNext w:val="0"/>
              <w:keepLines w:val="0"/>
              <w:widowControl/>
              <w:suppressLineNumbers w:val="0"/>
              <w:spacing w:before="0" w:beforeAutospacing="0" w:after="0" w:afterAutospacing="0" w:line="33" w:lineRule="atLeast"/>
              <w:jc w:val="both"/>
            </w:pPr>
            <w:r>
              <w:t>7、负责区政府门户网站的建设、管理、运行维护和安全防护工作。</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年度部门（单位）总体运行情况及取得的成绩</w:t>
            </w:r>
          </w:p>
        </w:tc>
        <w:tc>
          <w:tcPr>
            <w:tcW w:w="6723" w:type="dxa"/>
            <w:gridSpan w:val="25"/>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numPr>
                <w:ilvl w:val="0"/>
                <w:numId w:val="0"/>
              </w:numPr>
              <w:suppressLineNumbers w:val="0"/>
              <w:spacing w:before="0" w:beforeAutospacing="0" w:after="0" w:afterAutospacing="0" w:line="33" w:lineRule="atLeast"/>
              <w:ind w:right="0" w:rightChars="0"/>
              <w:jc w:val="both"/>
              <w:rPr>
                <w:rFonts w:hint="eastAsia"/>
              </w:rPr>
            </w:pPr>
            <w:r>
              <w:rPr>
                <w:rFonts w:hint="eastAsia"/>
                <w:lang w:eastAsia="zh-CN"/>
              </w:rPr>
              <w:t>（</w:t>
            </w:r>
            <w:r>
              <w:rPr>
                <w:rFonts w:hint="eastAsia"/>
                <w:lang w:val="en-US" w:eastAsia="zh-CN"/>
              </w:rPr>
              <w:t>一</w:t>
            </w:r>
            <w:r>
              <w:rPr>
                <w:rFonts w:hint="eastAsia"/>
                <w:lang w:eastAsia="zh-CN"/>
              </w:rPr>
              <w:t>）</w:t>
            </w:r>
            <w:r>
              <w:rPr>
                <w:rFonts w:hint="eastAsia"/>
              </w:rPr>
              <w:t>以打造服务型政府为目标，全面规范行政审批运行机制</w:t>
            </w:r>
            <w:r>
              <w:rPr>
                <w:rFonts w:hint="eastAsia"/>
                <w:lang w:eastAsia="zh-CN"/>
              </w:rPr>
              <w:t>。</w:t>
            </w:r>
          </w:p>
          <w:p>
            <w:pPr>
              <w:pStyle w:val="2"/>
              <w:keepNext w:val="0"/>
              <w:keepLines w:val="0"/>
              <w:widowControl/>
              <w:numPr>
                <w:ilvl w:val="0"/>
                <w:numId w:val="0"/>
              </w:numPr>
              <w:suppressLineNumbers w:val="0"/>
              <w:spacing w:before="0" w:beforeAutospacing="0" w:after="0" w:afterAutospacing="0" w:line="33" w:lineRule="atLeast"/>
              <w:ind w:leftChars="0" w:right="0" w:rightChars="0"/>
              <w:jc w:val="both"/>
              <w:rPr>
                <w:rFonts w:hint="eastAsia"/>
              </w:rPr>
            </w:pPr>
            <w:r>
              <w:rPr>
                <w:rFonts w:hint="eastAsia"/>
                <w:lang w:eastAsia="zh-CN"/>
              </w:rPr>
              <w:t>（</w:t>
            </w:r>
            <w:r>
              <w:rPr>
                <w:rFonts w:hint="eastAsia"/>
                <w:lang w:val="en-US" w:eastAsia="zh-CN"/>
              </w:rPr>
              <w:t>二</w:t>
            </w:r>
            <w:r>
              <w:rPr>
                <w:rFonts w:hint="eastAsia"/>
                <w:lang w:eastAsia="zh-CN"/>
              </w:rPr>
              <w:t>）</w:t>
            </w:r>
            <w:r>
              <w:rPr>
                <w:rFonts w:hint="eastAsia"/>
              </w:rPr>
              <w:t>以持续推进行政审批制度改革为抓手，全面规范部门行政权力运行。</w:t>
            </w:r>
          </w:p>
          <w:p>
            <w:pPr>
              <w:pStyle w:val="2"/>
              <w:keepNext w:val="0"/>
              <w:keepLines w:val="0"/>
              <w:widowControl/>
              <w:numPr>
                <w:ilvl w:val="0"/>
                <w:numId w:val="0"/>
              </w:numPr>
              <w:suppressLineNumbers w:val="0"/>
              <w:spacing w:before="0" w:beforeAutospacing="0" w:after="0" w:afterAutospacing="0" w:line="33" w:lineRule="atLeast"/>
              <w:ind w:leftChars="0" w:right="0" w:rightChars="0"/>
              <w:jc w:val="both"/>
              <w:rPr>
                <w:rFonts w:hint="default" w:eastAsiaTheme="minorEastAsia"/>
                <w:lang w:val="en-US" w:eastAsia="zh-CN"/>
              </w:rPr>
            </w:pPr>
            <w:r>
              <w:rPr>
                <w:rFonts w:hint="eastAsia"/>
              </w:rPr>
              <w:t>（三）以进一步优化营商环境为要务，全面深化“放管服”改革</w:t>
            </w:r>
            <w:r>
              <w:rPr>
                <w:rFonts w:hint="eastAsia"/>
                <w:lang w:eastAsia="zh-CN"/>
              </w:rPr>
              <w:t>。（四）以加强政务平台建设为基础，实现全市政务服务“一网通办”。</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8439" w:type="dxa"/>
            <w:gridSpan w:val="2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二、部门（单位）收支情况</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8439" w:type="dxa"/>
            <w:gridSpan w:val="2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年度收入情况（万元）</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机构名称</w:t>
            </w:r>
          </w:p>
        </w:tc>
        <w:tc>
          <w:tcPr>
            <w:tcW w:w="1330" w:type="dxa"/>
            <w:gridSpan w:val="2"/>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收入合计</w:t>
            </w:r>
          </w:p>
        </w:tc>
        <w:tc>
          <w:tcPr>
            <w:tcW w:w="5393" w:type="dxa"/>
            <w:gridSpan w:val="2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其中：</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30" w:type="dxa"/>
            <w:gridSpan w:val="2"/>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049" w:type="dxa"/>
            <w:gridSpan w:val="4"/>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上年结转</w:t>
            </w:r>
          </w:p>
        </w:tc>
        <w:tc>
          <w:tcPr>
            <w:tcW w:w="1083"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公共财</w:t>
            </w:r>
          </w:p>
          <w:p>
            <w:pPr>
              <w:pStyle w:val="2"/>
              <w:keepNext w:val="0"/>
              <w:keepLines w:val="0"/>
              <w:widowControl/>
              <w:suppressLineNumbers w:val="0"/>
              <w:spacing w:before="0" w:beforeAutospacing="0" w:after="0" w:afterAutospacing="0" w:line="33" w:lineRule="atLeast"/>
              <w:jc w:val="both"/>
            </w:pPr>
            <w:r>
              <w:t>政拨款</w:t>
            </w:r>
          </w:p>
        </w:tc>
        <w:tc>
          <w:tcPr>
            <w:tcW w:w="710"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政府基金拨款</w:t>
            </w:r>
          </w:p>
        </w:tc>
        <w:tc>
          <w:tcPr>
            <w:tcW w:w="1542"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纳入专户管理的非税收入拨款</w:t>
            </w:r>
          </w:p>
        </w:tc>
        <w:tc>
          <w:tcPr>
            <w:tcW w:w="1009" w:type="dxa"/>
            <w:gridSpan w:val="5"/>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其他</w:t>
            </w:r>
          </w:p>
          <w:p>
            <w:pPr>
              <w:pStyle w:val="2"/>
              <w:keepNext w:val="0"/>
              <w:keepLines w:val="0"/>
              <w:widowControl/>
              <w:suppressLineNumbers w:val="0"/>
              <w:spacing w:before="0" w:beforeAutospacing="0" w:after="0" w:afterAutospacing="0" w:line="33" w:lineRule="atLeast"/>
              <w:jc w:val="both"/>
            </w:pPr>
            <w:r>
              <w:t>收入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eastAsia="zh-CN"/>
              </w:rPr>
              <w:t>区行政审批局</w:t>
            </w:r>
          </w:p>
        </w:tc>
        <w:tc>
          <w:tcPr>
            <w:tcW w:w="1330"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default" w:ascii="宋体"/>
                <w:sz w:val="24"/>
                <w:szCs w:val="24"/>
                <w:lang w:val="en-US" w:eastAsia="zh-CN"/>
              </w:rPr>
            </w:pPr>
            <w:r>
              <w:rPr>
                <w:rFonts w:hint="eastAsia" w:ascii="宋体"/>
                <w:sz w:val="24"/>
                <w:szCs w:val="24"/>
              </w:rPr>
              <w:t>775.66</w:t>
            </w:r>
          </w:p>
        </w:tc>
        <w:tc>
          <w:tcPr>
            <w:tcW w:w="1049" w:type="dxa"/>
            <w:gridSpan w:val="4"/>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083"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rPr>
              <w:t>775.66</w:t>
            </w:r>
          </w:p>
        </w:tc>
        <w:tc>
          <w:tcPr>
            <w:tcW w:w="710"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542"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009" w:type="dxa"/>
            <w:gridSpan w:val="5"/>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8439" w:type="dxa"/>
            <w:gridSpan w:val="2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部门（单位）年度支出和结余情况（万元）</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1716" w:type="dxa"/>
            <w:gridSpan w:val="2"/>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机构名称</w:t>
            </w:r>
          </w:p>
        </w:tc>
        <w:tc>
          <w:tcPr>
            <w:tcW w:w="1330" w:type="dxa"/>
            <w:gridSpan w:val="2"/>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支出合计</w:t>
            </w:r>
          </w:p>
        </w:tc>
        <w:tc>
          <w:tcPr>
            <w:tcW w:w="4149" w:type="dxa"/>
            <w:gridSpan w:val="1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其中：</w:t>
            </w:r>
          </w:p>
        </w:tc>
        <w:tc>
          <w:tcPr>
            <w:tcW w:w="1244" w:type="dxa"/>
            <w:gridSpan w:val="6"/>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结余</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30" w:type="dxa"/>
            <w:gridSpan w:val="2"/>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049" w:type="dxa"/>
            <w:gridSpan w:val="4"/>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基本支出</w:t>
            </w:r>
          </w:p>
        </w:tc>
        <w:tc>
          <w:tcPr>
            <w:tcW w:w="2189" w:type="dxa"/>
            <w:gridSpan w:val="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其中：</w:t>
            </w:r>
          </w:p>
        </w:tc>
        <w:tc>
          <w:tcPr>
            <w:tcW w:w="911" w:type="dxa"/>
            <w:gridSpan w:val="6"/>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项目支出</w:t>
            </w:r>
          </w:p>
        </w:tc>
        <w:tc>
          <w:tcPr>
            <w:tcW w:w="631" w:type="dxa"/>
            <w:gridSpan w:val="3"/>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当年结余</w:t>
            </w:r>
          </w:p>
        </w:tc>
        <w:tc>
          <w:tcPr>
            <w:tcW w:w="613" w:type="dxa"/>
            <w:gridSpan w:val="3"/>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累计结余</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1716" w:type="dxa"/>
            <w:gridSpan w:val="2"/>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30" w:type="dxa"/>
            <w:gridSpan w:val="2"/>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049" w:type="dxa"/>
            <w:gridSpan w:val="4"/>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083"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人员支出</w:t>
            </w:r>
          </w:p>
        </w:tc>
        <w:tc>
          <w:tcPr>
            <w:tcW w:w="1106" w:type="dxa"/>
            <w:gridSpan w:val="4"/>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公用支出</w:t>
            </w:r>
          </w:p>
        </w:tc>
        <w:tc>
          <w:tcPr>
            <w:tcW w:w="911" w:type="dxa"/>
            <w:gridSpan w:val="6"/>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631"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613"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eastAsiaTheme="minorEastAsia"/>
                <w:sz w:val="24"/>
                <w:szCs w:val="24"/>
                <w:lang w:eastAsia="zh-CN"/>
              </w:rPr>
            </w:pPr>
            <w:r>
              <w:rPr>
                <w:rFonts w:hint="eastAsia" w:ascii="宋体"/>
                <w:sz w:val="24"/>
                <w:szCs w:val="24"/>
                <w:lang w:eastAsia="zh-CN"/>
              </w:rPr>
              <w:t>区行政审批局</w:t>
            </w:r>
          </w:p>
        </w:tc>
        <w:tc>
          <w:tcPr>
            <w:tcW w:w="1330"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lang w:val="en-US" w:eastAsia="zh-CN"/>
              </w:rPr>
            </w:pPr>
            <w:r>
              <w:rPr>
                <w:rFonts w:hint="eastAsia" w:ascii="宋体"/>
                <w:sz w:val="24"/>
                <w:szCs w:val="24"/>
              </w:rPr>
              <w:t>775.66</w:t>
            </w:r>
          </w:p>
        </w:tc>
        <w:tc>
          <w:tcPr>
            <w:tcW w:w="1049" w:type="dxa"/>
            <w:gridSpan w:val="4"/>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lang w:val="en-US" w:eastAsia="zh-CN"/>
              </w:rPr>
            </w:pPr>
            <w:r>
              <w:rPr>
                <w:rFonts w:hint="eastAsia" w:eastAsiaTheme="minorEastAsia"/>
                <w:lang w:val="en-US" w:eastAsia="zh-CN"/>
              </w:rPr>
              <w:t>429.20</w:t>
            </w:r>
          </w:p>
        </w:tc>
        <w:tc>
          <w:tcPr>
            <w:tcW w:w="1083"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lang w:val="en-US" w:eastAsia="zh-CN"/>
              </w:rPr>
            </w:pPr>
            <w:r>
              <w:rPr>
                <w:rFonts w:hint="eastAsia" w:eastAsiaTheme="minorEastAsia"/>
                <w:lang w:val="en-US" w:eastAsia="zh-CN"/>
              </w:rPr>
              <w:t>322.77</w:t>
            </w:r>
          </w:p>
        </w:tc>
        <w:tc>
          <w:tcPr>
            <w:tcW w:w="1106" w:type="dxa"/>
            <w:gridSpan w:val="4"/>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lang w:val="en-US" w:eastAsia="zh-CN"/>
              </w:rPr>
            </w:pPr>
            <w:r>
              <w:rPr>
                <w:rFonts w:hint="eastAsia" w:eastAsiaTheme="minorEastAsia"/>
                <w:lang w:val="en-US" w:eastAsia="zh-CN"/>
              </w:rPr>
              <w:t>106.43</w:t>
            </w:r>
          </w:p>
        </w:tc>
        <w:tc>
          <w:tcPr>
            <w:tcW w:w="911" w:type="dxa"/>
            <w:gridSpan w:val="6"/>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lang w:val="en-US" w:eastAsia="zh-CN"/>
              </w:rPr>
            </w:pPr>
            <w:r>
              <w:rPr>
                <w:rFonts w:hint="eastAsia" w:eastAsiaTheme="minorEastAsia"/>
                <w:lang w:val="en-US" w:eastAsia="zh-CN"/>
              </w:rPr>
              <w:t>346.46</w:t>
            </w:r>
          </w:p>
        </w:tc>
        <w:tc>
          <w:tcPr>
            <w:tcW w:w="631"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613"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1716" w:type="dxa"/>
            <w:gridSpan w:val="2"/>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机构名称</w:t>
            </w:r>
          </w:p>
        </w:tc>
        <w:tc>
          <w:tcPr>
            <w:tcW w:w="1330" w:type="dxa"/>
            <w:gridSpan w:val="2"/>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三公经费</w:t>
            </w:r>
          </w:p>
          <w:p>
            <w:pPr>
              <w:pStyle w:val="2"/>
              <w:keepNext w:val="0"/>
              <w:keepLines w:val="0"/>
              <w:widowControl/>
              <w:suppressLineNumbers w:val="0"/>
              <w:spacing w:before="0" w:beforeAutospacing="0" w:after="0" w:afterAutospacing="0" w:line="33" w:lineRule="atLeast"/>
              <w:jc w:val="both"/>
            </w:pPr>
            <w:r>
              <w:t>合计</w:t>
            </w:r>
          </w:p>
        </w:tc>
        <w:tc>
          <w:tcPr>
            <w:tcW w:w="5393" w:type="dxa"/>
            <w:gridSpan w:val="2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其中：</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1716" w:type="dxa"/>
            <w:gridSpan w:val="2"/>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30" w:type="dxa"/>
            <w:gridSpan w:val="2"/>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049" w:type="dxa"/>
            <w:gridSpan w:val="4"/>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公务接待费</w:t>
            </w:r>
          </w:p>
        </w:tc>
        <w:tc>
          <w:tcPr>
            <w:tcW w:w="1083"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公务用车运维费</w:t>
            </w:r>
          </w:p>
        </w:tc>
        <w:tc>
          <w:tcPr>
            <w:tcW w:w="1106" w:type="dxa"/>
            <w:gridSpan w:val="4"/>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公务用车购置费</w:t>
            </w:r>
          </w:p>
        </w:tc>
        <w:tc>
          <w:tcPr>
            <w:tcW w:w="2155" w:type="dxa"/>
            <w:gridSpan w:val="1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因公出国费</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eastAsia="zh-CN"/>
              </w:rPr>
              <w:t>区行政审批局</w:t>
            </w:r>
          </w:p>
        </w:tc>
        <w:tc>
          <w:tcPr>
            <w:tcW w:w="1330"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lang w:val="en-US" w:eastAsia="zh-CN"/>
              </w:rPr>
            </w:pPr>
            <w:r>
              <w:rPr>
                <w:rFonts w:hint="eastAsia"/>
                <w:lang w:val="en-US" w:eastAsia="zh-CN"/>
              </w:rPr>
              <w:t>0</w:t>
            </w:r>
          </w:p>
        </w:tc>
        <w:tc>
          <w:tcPr>
            <w:tcW w:w="1049" w:type="dxa"/>
            <w:gridSpan w:val="4"/>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lang w:val="en-US" w:eastAsia="zh-CN"/>
              </w:rPr>
            </w:pPr>
            <w:r>
              <w:rPr>
                <w:rFonts w:hint="eastAsia"/>
                <w:lang w:val="en-US" w:eastAsia="zh-CN"/>
              </w:rPr>
              <w:t>0</w:t>
            </w:r>
          </w:p>
        </w:tc>
        <w:tc>
          <w:tcPr>
            <w:tcW w:w="1083"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lang w:val="en-US" w:eastAsia="zh-CN"/>
              </w:rPr>
            </w:pPr>
            <w:r>
              <w:rPr>
                <w:rFonts w:hint="eastAsia"/>
                <w:lang w:val="en-US" w:eastAsia="zh-CN"/>
              </w:rPr>
              <w:t>0</w:t>
            </w:r>
          </w:p>
        </w:tc>
        <w:tc>
          <w:tcPr>
            <w:tcW w:w="1106" w:type="dxa"/>
            <w:gridSpan w:val="4"/>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eastAsiaTheme="minorEastAsia"/>
                <w:sz w:val="24"/>
                <w:szCs w:val="24"/>
                <w:lang w:val="en-US" w:eastAsia="zh-CN"/>
              </w:rPr>
            </w:pPr>
            <w:r>
              <w:rPr>
                <w:rFonts w:hint="eastAsia" w:ascii="宋体"/>
                <w:sz w:val="24"/>
                <w:szCs w:val="24"/>
                <w:lang w:val="en-US" w:eastAsia="zh-CN"/>
              </w:rPr>
              <w:t>0</w:t>
            </w:r>
          </w:p>
        </w:tc>
        <w:tc>
          <w:tcPr>
            <w:tcW w:w="2155" w:type="dxa"/>
            <w:gridSpan w:val="12"/>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eastAsiaTheme="minorEastAsia"/>
                <w:sz w:val="24"/>
                <w:szCs w:val="24"/>
                <w:lang w:val="en-US" w:eastAsia="zh-CN"/>
              </w:rPr>
            </w:pPr>
            <w:r>
              <w:rPr>
                <w:rFonts w:hint="eastAsia" w:ascii="宋体"/>
                <w:sz w:val="24"/>
                <w:szCs w:val="24"/>
                <w:lang w:val="en-US" w:eastAsia="zh-CN"/>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1716" w:type="dxa"/>
            <w:gridSpan w:val="2"/>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机构名称</w:t>
            </w:r>
          </w:p>
        </w:tc>
        <w:tc>
          <w:tcPr>
            <w:tcW w:w="1330" w:type="dxa"/>
            <w:gridSpan w:val="2"/>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固定资产</w:t>
            </w:r>
          </w:p>
          <w:p>
            <w:pPr>
              <w:pStyle w:val="2"/>
              <w:keepNext w:val="0"/>
              <w:keepLines w:val="0"/>
              <w:widowControl/>
              <w:suppressLineNumbers w:val="0"/>
              <w:spacing w:before="0" w:beforeAutospacing="0" w:after="0" w:afterAutospacing="0" w:line="33" w:lineRule="atLeast"/>
              <w:jc w:val="both"/>
            </w:pPr>
            <w:r>
              <w:t>合计</w:t>
            </w:r>
          </w:p>
        </w:tc>
        <w:tc>
          <w:tcPr>
            <w:tcW w:w="4507" w:type="dxa"/>
            <w:gridSpan w:val="19"/>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其中：</w:t>
            </w:r>
          </w:p>
        </w:tc>
        <w:tc>
          <w:tcPr>
            <w:tcW w:w="886" w:type="dxa"/>
            <w:gridSpan w:val="4"/>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其他</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1716" w:type="dxa"/>
            <w:gridSpan w:val="2"/>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30" w:type="dxa"/>
            <w:gridSpan w:val="2"/>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2132" w:type="dxa"/>
            <w:gridSpan w:val="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在用固定资产</w:t>
            </w:r>
          </w:p>
        </w:tc>
        <w:tc>
          <w:tcPr>
            <w:tcW w:w="2375" w:type="dxa"/>
            <w:gridSpan w:val="1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出租固定资产</w:t>
            </w:r>
          </w:p>
        </w:tc>
        <w:tc>
          <w:tcPr>
            <w:tcW w:w="886" w:type="dxa"/>
            <w:gridSpan w:val="4"/>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eastAsia="zh-CN"/>
              </w:rPr>
              <w:t>区行政审批局</w:t>
            </w:r>
          </w:p>
        </w:tc>
        <w:tc>
          <w:tcPr>
            <w:tcW w:w="1330"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lang w:val="en-US" w:eastAsia="zh-CN"/>
              </w:rPr>
            </w:pPr>
            <w:r>
              <w:rPr>
                <w:rFonts w:hint="eastAsia"/>
                <w:color w:val="auto"/>
                <w:lang w:val="en-US" w:eastAsia="zh-CN"/>
              </w:rPr>
              <w:t>58.92</w:t>
            </w:r>
          </w:p>
        </w:tc>
        <w:tc>
          <w:tcPr>
            <w:tcW w:w="2132" w:type="dxa"/>
            <w:gridSpan w:val="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lang w:val="en-US"/>
              </w:rPr>
            </w:pPr>
            <w:r>
              <w:rPr>
                <w:rFonts w:hint="eastAsia"/>
                <w:color w:val="auto"/>
                <w:lang w:val="en-US" w:eastAsia="zh-CN"/>
              </w:rPr>
              <w:t>58.92</w:t>
            </w:r>
          </w:p>
        </w:tc>
        <w:tc>
          <w:tcPr>
            <w:tcW w:w="2375" w:type="dxa"/>
            <w:gridSpan w:val="12"/>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886" w:type="dxa"/>
            <w:gridSpan w:val="4"/>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8439" w:type="dxa"/>
            <w:gridSpan w:val="2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三、部门（单位）整体支出绩效自评情况</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1211"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整体支出绩效定性目标及实施计划完成情况</w:t>
            </w:r>
          </w:p>
        </w:tc>
        <w:tc>
          <w:tcPr>
            <w:tcW w:w="3967" w:type="dxa"/>
            <w:gridSpan w:val="10"/>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预期目标</w:t>
            </w:r>
          </w:p>
        </w:tc>
        <w:tc>
          <w:tcPr>
            <w:tcW w:w="3261" w:type="dxa"/>
            <w:gridSpan w:val="16"/>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实际完成</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3967" w:type="dxa"/>
            <w:gridSpan w:val="10"/>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numPr>
                <w:ilvl w:val="0"/>
                <w:numId w:val="0"/>
              </w:numPr>
              <w:suppressLineNumbers w:val="0"/>
              <w:spacing w:before="0" w:beforeAutospacing="0" w:after="0" w:afterAutospacing="0" w:line="33" w:lineRule="atLeast"/>
              <w:ind w:right="0" w:rightChars="0"/>
              <w:jc w:val="both"/>
              <w:rPr>
                <w:rFonts w:hint="eastAsia"/>
              </w:rPr>
            </w:pPr>
            <w:r>
              <w:t>目标1：</w:t>
            </w:r>
            <w:r>
              <w:rPr>
                <w:rFonts w:hint="eastAsia"/>
              </w:rPr>
              <w:t>以打造服务型政府为目标，全面规范行政审批运行机制</w:t>
            </w:r>
            <w:r>
              <w:rPr>
                <w:rFonts w:hint="eastAsia"/>
                <w:lang w:eastAsia="zh-CN"/>
              </w:rPr>
              <w:t>。</w:t>
            </w:r>
          </w:p>
          <w:p>
            <w:pPr>
              <w:pStyle w:val="2"/>
              <w:keepNext w:val="0"/>
              <w:keepLines w:val="0"/>
              <w:widowControl/>
              <w:suppressLineNumbers w:val="0"/>
              <w:spacing w:before="0" w:beforeAutospacing="0" w:after="0" w:afterAutospacing="0" w:line="33" w:lineRule="atLeast"/>
              <w:jc w:val="both"/>
              <w:rPr>
                <w:rFonts w:hint="eastAsia"/>
              </w:rPr>
            </w:pPr>
            <w:r>
              <w:t>目标2：</w:t>
            </w:r>
            <w:r>
              <w:rPr>
                <w:rFonts w:hint="eastAsia"/>
              </w:rPr>
              <w:t>以持续推进行政审批制度改革为抓手，全面规范部门行政权力运行。</w:t>
            </w:r>
          </w:p>
          <w:p>
            <w:pPr>
              <w:pStyle w:val="2"/>
              <w:keepNext w:val="0"/>
              <w:keepLines w:val="0"/>
              <w:widowControl/>
              <w:suppressLineNumbers w:val="0"/>
              <w:spacing w:before="0" w:beforeAutospacing="0" w:after="0" w:afterAutospacing="0" w:line="33" w:lineRule="atLeast"/>
              <w:jc w:val="both"/>
              <w:rPr>
                <w:rFonts w:hint="eastAsia"/>
                <w:lang w:eastAsia="zh-CN"/>
              </w:rPr>
            </w:pPr>
            <w:r>
              <w:t>目标3：</w:t>
            </w:r>
            <w:r>
              <w:rPr>
                <w:rFonts w:hint="eastAsia"/>
              </w:rPr>
              <w:t>以进一步优化营商环境为要务，全面深化“放管服”改革</w:t>
            </w:r>
            <w:r>
              <w:rPr>
                <w:rFonts w:hint="eastAsia"/>
                <w:lang w:eastAsia="zh-CN"/>
              </w:rPr>
              <w:t>。</w:t>
            </w:r>
          </w:p>
          <w:p>
            <w:pPr>
              <w:pStyle w:val="2"/>
              <w:keepNext w:val="0"/>
              <w:keepLines w:val="0"/>
              <w:widowControl/>
              <w:suppressLineNumbers w:val="0"/>
              <w:spacing w:before="0" w:beforeAutospacing="0" w:after="0" w:afterAutospacing="0" w:line="33" w:lineRule="atLeast"/>
              <w:jc w:val="both"/>
            </w:pPr>
            <w:r>
              <w:t>目标4：</w:t>
            </w:r>
            <w:r>
              <w:rPr>
                <w:rFonts w:hint="eastAsia"/>
                <w:lang w:eastAsia="zh-CN"/>
              </w:rPr>
              <w:t>以加强政务平台建设为基础，实现全市政务服务“一网通办”。</w:t>
            </w:r>
          </w:p>
          <w:p>
            <w:pPr>
              <w:pStyle w:val="2"/>
              <w:keepNext w:val="0"/>
              <w:keepLines w:val="0"/>
              <w:widowControl/>
              <w:suppressLineNumbers w:val="0"/>
              <w:spacing w:before="0" w:beforeAutospacing="0" w:after="0" w:afterAutospacing="0" w:line="33" w:lineRule="atLeast"/>
              <w:jc w:val="both"/>
              <w:rPr>
                <w:rFonts w:hint="default" w:eastAsiaTheme="minorEastAsia"/>
                <w:lang w:val="en-US" w:eastAsia="zh-CN"/>
              </w:rPr>
            </w:pPr>
            <w:r>
              <w:t>目标5：</w:t>
            </w:r>
            <w:r>
              <w:rPr>
                <w:rFonts w:hint="eastAsia"/>
                <w:lang w:val="en-US" w:eastAsia="zh-CN"/>
              </w:rPr>
              <w:t>保障楼区政务外网网路安全和网络数据安全。</w:t>
            </w:r>
          </w:p>
        </w:tc>
        <w:tc>
          <w:tcPr>
            <w:tcW w:w="3261" w:type="dxa"/>
            <w:gridSpan w:val="16"/>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已完成</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整体支出</w:t>
            </w:r>
          </w:p>
          <w:p>
            <w:pPr>
              <w:pStyle w:val="2"/>
              <w:keepNext w:val="0"/>
              <w:keepLines w:val="0"/>
              <w:widowControl/>
              <w:suppressLineNumbers w:val="0"/>
              <w:spacing w:before="0" w:beforeAutospacing="0" w:after="0" w:afterAutospacing="0" w:line="33" w:lineRule="atLeast"/>
              <w:jc w:val="both"/>
            </w:pPr>
            <w:r>
              <w:t>绩效定量目标及实施计划完成情况</w:t>
            </w:r>
          </w:p>
        </w:tc>
        <w:tc>
          <w:tcPr>
            <w:tcW w:w="2544" w:type="dxa"/>
            <w:gridSpan w:val="6"/>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评价内容</w:t>
            </w: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绩效目标</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完成情况</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产出目标</w:t>
            </w:r>
          </w:p>
          <w:p>
            <w:pPr>
              <w:pStyle w:val="2"/>
              <w:keepNext w:val="0"/>
              <w:keepLines w:val="0"/>
              <w:widowControl/>
              <w:suppressLineNumbers w:val="0"/>
              <w:spacing w:before="0" w:beforeAutospacing="0" w:after="0" w:afterAutospacing="0" w:line="33" w:lineRule="atLeast"/>
              <w:jc w:val="both"/>
            </w:pPr>
            <w:r>
              <w:t>（部门工作实绩，包含上级部门和区委区政府布置的重点工作、实事任务等，根据部门实际进行调整细化）</w:t>
            </w:r>
          </w:p>
        </w:tc>
        <w:tc>
          <w:tcPr>
            <w:tcW w:w="709" w:type="dxa"/>
            <w:gridSpan w:val="3"/>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质量指标</w:t>
            </w: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eastAsia"/>
                <w:lang w:val="en-US" w:eastAsia="zh-CN"/>
              </w:rPr>
            </w:pPr>
            <w:r>
              <w:rPr>
                <w:rFonts w:hint="eastAsia"/>
                <w:lang w:val="en-US" w:eastAsia="zh-CN"/>
              </w:rPr>
              <w:t>无</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eastAsiaTheme="minorEastAsia"/>
                <w:sz w:val="24"/>
                <w:szCs w:val="24"/>
                <w:lang w:val="en-US" w:eastAsia="zh-CN"/>
              </w:rPr>
            </w:pPr>
            <w:r>
              <w:rPr>
                <w:rFonts w:hint="eastAsia" w:ascii="宋体"/>
                <w:sz w:val="24"/>
                <w:szCs w:val="24"/>
                <w:lang w:val="en-US" w:eastAsia="zh-CN"/>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09"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rPr>
                <w:rFonts w:hint="eastAsia"/>
                <w:lang w:val="en-US" w:eastAsia="zh-CN"/>
              </w:rPr>
              <w:t>无</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val="en-US" w:eastAsia="zh-CN"/>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09"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rPr>
                <w:rFonts w:hint="eastAsia"/>
                <w:lang w:val="en-US" w:eastAsia="zh-CN"/>
              </w:rPr>
              <w:t>无</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val="en-US" w:eastAsia="zh-CN"/>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09" w:type="dxa"/>
            <w:gridSpan w:val="3"/>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数量指标</w:t>
            </w: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rPr>
                <w:rFonts w:hint="eastAsia"/>
                <w:lang w:val="en-US" w:eastAsia="zh-CN"/>
              </w:rPr>
              <w:t>无</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val="en-US" w:eastAsia="zh-CN"/>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09"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rPr>
                <w:rFonts w:hint="eastAsia"/>
                <w:lang w:val="en-US" w:eastAsia="zh-CN"/>
              </w:rPr>
              <w:t>无</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val="en-US" w:eastAsia="zh-CN"/>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09"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rPr>
                <w:rFonts w:hint="eastAsia"/>
                <w:lang w:val="en-US" w:eastAsia="zh-CN"/>
              </w:rPr>
              <w:t>无</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val="en-US" w:eastAsia="zh-CN"/>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09"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时效指标</w:t>
            </w: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指标1：1.第一时间完成涉区网络舆情处置；</w:t>
            </w:r>
          </w:p>
          <w:p>
            <w:pPr>
              <w:pStyle w:val="2"/>
              <w:keepNext w:val="0"/>
              <w:keepLines w:val="0"/>
              <w:widowControl/>
              <w:suppressLineNumbers w:val="0"/>
              <w:spacing w:before="0" w:beforeAutospacing="0" w:after="0" w:afterAutospacing="0" w:line="33" w:lineRule="atLeast"/>
              <w:jc w:val="both"/>
            </w:pPr>
            <w:r>
              <w:t>2.第一时间协调处置网络安全事件；</w:t>
            </w:r>
          </w:p>
          <w:p>
            <w:pPr>
              <w:pStyle w:val="2"/>
              <w:keepNext w:val="0"/>
              <w:keepLines w:val="0"/>
              <w:widowControl/>
              <w:suppressLineNumbers w:val="0"/>
              <w:spacing w:before="0" w:beforeAutospacing="0" w:after="0" w:afterAutospacing="0" w:line="33" w:lineRule="atLeast"/>
              <w:jc w:val="both"/>
            </w:pPr>
            <w:r>
              <w:t>3.第一时间完成网上宣传重大议题设置及正面宣传；</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100%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09" w:type="dxa"/>
            <w:gridSpan w:val="3"/>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成本指标</w:t>
            </w: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ind w:left="0" w:leftChars="0" w:right="0" w:rightChars="0"/>
              <w:jc w:val="both"/>
            </w:pPr>
            <w:r>
              <w:rPr>
                <w:rFonts w:hint="eastAsia"/>
                <w:lang w:val="en-US" w:eastAsia="zh-CN"/>
              </w:rPr>
              <w:t>无</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val="en-US" w:eastAsia="zh-CN"/>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09"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ind w:left="0" w:leftChars="0" w:right="0" w:rightChars="0"/>
              <w:jc w:val="both"/>
            </w:pPr>
            <w:r>
              <w:rPr>
                <w:rFonts w:hint="eastAsia"/>
                <w:lang w:val="en-US" w:eastAsia="zh-CN"/>
              </w:rPr>
              <w:t>无</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val="en-US" w:eastAsia="zh-CN"/>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tcBorders>
              <w:top w:val="outset" w:color="000000" w:sz="6" w:space="0"/>
              <w:left w:val="outset" w:color="000000" w:sz="6" w:space="0"/>
              <w:right w:val="outset" w:color="000000" w:sz="6" w:space="0"/>
            </w:tcBorders>
            <w:shd w:val="clear" w:color="auto" w:fill="auto"/>
            <w:noWrap/>
            <w:vAlign w:val="center"/>
          </w:tcPr>
          <w:p>
            <w:pPr>
              <w:rPr>
                <w:rFonts w:hint="eastAsia" w:ascii="宋体"/>
                <w:sz w:val="24"/>
                <w:szCs w:val="24"/>
              </w:rPr>
            </w:pPr>
          </w:p>
        </w:tc>
        <w:tc>
          <w:tcPr>
            <w:tcW w:w="709" w:type="dxa"/>
            <w:gridSpan w:val="3"/>
            <w:tcBorders>
              <w:top w:val="outset" w:color="000000" w:sz="6" w:space="0"/>
              <w:left w:val="outset" w:color="000000" w:sz="6" w:space="0"/>
              <w:right w:val="outset" w:color="000000" w:sz="6" w:space="0"/>
            </w:tcBorders>
            <w:shd w:val="clear" w:color="auto" w:fill="auto"/>
            <w:noWrap/>
            <w:vAlign w:val="center"/>
          </w:tcPr>
          <w:p>
            <w:pPr>
              <w:rPr>
                <w:rFonts w:hint="eastAsia" w:ascii="宋体"/>
                <w:sz w:val="24"/>
                <w:szCs w:val="24"/>
              </w:rPr>
            </w:pP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ind w:left="0" w:leftChars="0" w:right="0" w:rightChars="0"/>
              <w:jc w:val="both"/>
            </w:pPr>
            <w:r>
              <w:rPr>
                <w:rFonts w:hint="eastAsia"/>
                <w:lang w:val="en-US" w:eastAsia="zh-CN"/>
              </w:rPr>
              <w:t>无</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val="en-US" w:eastAsia="zh-CN"/>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效益目标</w:t>
            </w:r>
          </w:p>
          <w:p>
            <w:pPr>
              <w:pStyle w:val="2"/>
              <w:keepNext w:val="0"/>
              <w:keepLines w:val="0"/>
              <w:widowControl/>
              <w:suppressLineNumbers w:val="0"/>
              <w:spacing w:before="0" w:beforeAutospacing="0" w:after="0" w:afterAutospacing="0" w:line="33" w:lineRule="atLeast"/>
              <w:jc w:val="both"/>
            </w:pPr>
            <w:r>
              <w:t>（预期实现的效益）</w:t>
            </w:r>
          </w:p>
        </w:tc>
        <w:tc>
          <w:tcPr>
            <w:tcW w:w="709"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社会效益</w:t>
            </w: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lang w:val="en-US" w:eastAsia="zh-CN"/>
              </w:rPr>
            </w:pPr>
            <w:r>
              <w:rPr>
                <w:rFonts w:hint="eastAsia"/>
                <w:lang w:val="en-US" w:eastAsia="zh-CN"/>
              </w:rPr>
              <w:t>完成一网通办，完成网络安全等保。</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100%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09"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经济效益</w:t>
            </w: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ind w:left="0" w:leftChars="0" w:right="0" w:rightChars="0"/>
              <w:jc w:val="both"/>
            </w:pPr>
            <w:r>
              <w:rPr>
                <w:rFonts w:hint="eastAsia"/>
                <w:lang w:val="en-US" w:eastAsia="zh-CN"/>
              </w:rPr>
              <w:t>无</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val="en-US" w:eastAsia="zh-CN"/>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09"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生态效益</w:t>
            </w: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ind w:left="0" w:leftChars="0" w:right="0" w:rightChars="0"/>
              <w:jc w:val="both"/>
            </w:pPr>
            <w:r>
              <w:rPr>
                <w:rFonts w:hint="eastAsia"/>
                <w:lang w:val="en-US" w:eastAsia="zh-CN"/>
              </w:rPr>
              <w:t>无</w:t>
            </w: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r>
              <w:rPr>
                <w:rFonts w:hint="eastAsia" w:ascii="宋体"/>
                <w:sz w:val="24"/>
                <w:szCs w:val="24"/>
                <w:lang w:val="en-US" w:eastAsia="zh-CN"/>
              </w:rPr>
              <w:t>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211"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835" w:type="dxa"/>
            <w:gridSpan w:val="3"/>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09"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社会公众或服务对象满意度</w:t>
            </w:r>
          </w:p>
        </w:tc>
        <w:tc>
          <w:tcPr>
            <w:tcW w:w="3114" w:type="dxa"/>
            <w:gridSpan w:val="11"/>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eastAsia" w:eastAsiaTheme="minorEastAsia"/>
                <w:lang w:eastAsia="zh-CN"/>
              </w:rPr>
            </w:pPr>
            <w:r>
              <w:t>指标1：完成“12345”热线、市、区长信箱工作，并获得市先进单位</w:t>
            </w:r>
            <w:r>
              <w:rPr>
                <w:rFonts w:hint="eastAsia"/>
                <w:lang w:eastAsia="zh-CN"/>
              </w:rPr>
              <w:t>。</w:t>
            </w:r>
          </w:p>
          <w:p>
            <w:pPr>
              <w:pStyle w:val="2"/>
              <w:keepNext w:val="0"/>
              <w:keepLines w:val="0"/>
              <w:widowControl/>
              <w:suppressLineNumbers w:val="0"/>
              <w:spacing w:before="0" w:beforeAutospacing="0" w:after="0" w:afterAutospacing="0" w:line="33" w:lineRule="atLeast"/>
              <w:jc w:val="both"/>
              <w:rPr>
                <w:rFonts w:hint="eastAsia"/>
              </w:rPr>
            </w:pPr>
            <w:r>
              <w:t>指标2：</w:t>
            </w:r>
            <w:r>
              <w:rPr>
                <w:rFonts w:hint="eastAsia"/>
              </w:rPr>
              <w:t>2021年，政务服务中心共办理行政审批事项13.6万件，中心运行两年来，各级各部门依法行政意识、服务意识明显增强，区政务服务中心打造成了运作规范、高效快捷、群众满意的“文明窗口单位”。</w:t>
            </w:r>
          </w:p>
          <w:p>
            <w:pPr>
              <w:pStyle w:val="2"/>
              <w:keepNext w:val="0"/>
              <w:keepLines w:val="0"/>
              <w:widowControl/>
              <w:suppressLineNumbers w:val="0"/>
              <w:spacing w:before="0" w:beforeAutospacing="0" w:after="0" w:afterAutospacing="0" w:line="33" w:lineRule="atLeast"/>
              <w:jc w:val="both"/>
              <w:rPr>
                <w:rFonts w:hint="eastAsia"/>
              </w:rPr>
            </w:pPr>
            <w:r>
              <w:t>指标</w:t>
            </w:r>
            <w:r>
              <w:rPr>
                <w:rFonts w:hint="eastAsia"/>
                <w:lang w:val="en-US" w:eastAsia="zh-CN"/>
              </w:rPr>
              <w:t>3</w:t>
            </w:r>
            <w:r>
              <w:t>：</w:t>
            </w:r>
            <w:r>
              <w:rPr>
                <w:rFonts w:hint="eastAsia"/>
              </w:rPr>
              <w:t>按照“三集中三到位”改革要求，区行政审批局组织区直各部门签订了《审批授权书》，明确了首席代表，后台审批人员、政务服务事项进驻政务大厅，为“一窗受理，集成服务”改革提供了坚实保障。</w:t>
            </w:r>
          </w:p>
          <w:p>
            <w:pPr>
              <w:pStyle w:val="2"/>
              <w:keepNext w:val="0"/>
              <w:keepLines w:val="0"/>
              <w:widowControl/>
              <w:suppressLineNumbers w:val="0"/>
              <w:spacing w:before="0" w:beforeAutospacing="0" w:after="0" w:afterAutospacing="0" w:line="33" w:lineRule="atLeast"/>
              <w:jc w:val="both"/>
              <w:rPr>
                <w:rFonts w:hint="eastAsia"/>
                <w:lang w:val="en-US" w:eastAsia="zh-CN"/>
              </w:rPr>
            </w:pPr>
            <w:r>
              <w:t>指标</w:t>
            </w:r>
            <w:r>
              <w:rPr>
                <w:rFonts w:hint="eastAsia"/>
                <w:lang w:val="en-US" w:eastAsia="zh-CN"/>
              </w:rPr>
              <w:t>4</w:t>
            </w:r>
            <w:r>
              <w:t>：</w:t>
            </w:r>
            <w:r>
              <w:rPr>
                <w:rFonts w:hint="eastAsia"/>
                <w:lang w:val="en-US" w:eastAsia="zh-CN"/>
              </w:rPr>
              <w:t>加强优化营商环境全面深化“放管服”改革。</w:t>
            </w:r>
          </w:p>
          <w:p>
            <w:pPr>
              <w:pStyle w:val="2"/>
              <w:keepNext w:val="0"/>
              <w:keepLines w:val="0"/>
              <w:widowControl/>
              <w:suppressLineNumbers w:val="0"/>
              <w:spacing w:before="0" w:beforeAutospacing="0" w:after="0" w:afterAutospacing="0" w:line="33" w:lineRule="atLeast"/>
              <w:jc w:val="both"/>
              <w:rPr>
                <w:rFonts w:hint="default" w:eastAsiaTheme="minorEastAsia"/>
                <w:lang w:val="en-US" w:eastAsia="zh-CN"/>
              </w:rPr>
            </w:pPr>
            <w:r>
              <w:t>指标</w:t>
            </w:r>
            <w:r>
              <w:rPr>
                <w:rFonts w:hint="eastAsia"/>
                <w:lang w:val="en-US" w:eastAsia="zh-CN"/>
              </w:rPr>
              <w:t>5</w:t>
            </w:r>
            <w:r>
              <w:t>：</w:t>
            </w:r>
            <w:r>
              <w:rPr>
                <w:rFonts w:hint="eastAsia"/>
                <w:lang w:val="en-US" w:eastAsia="zh-CN"/>
              </w:rPr>
              <w:t>实现全市政务服务“一网通办”。</w:t>
            </w:r>
          </w:p>
          <w:p>
            <w:pPr>
              <w:pStyle w:val="2"/>
              <w:keepNext w:val="0"/>
              <w:keepLines w:val="0"/>
              <w:widowControl/>
              <w:suppressLineNumbers w:val="0"/>
              <w:spacing w:before="0" w:beforeAutospacing="0" w:after="0" w:afterAutospacing="0" w:line="33" w:lineRule="atLeast"/>
              <w:jc w:val="both"/>
            </w:pPr>
          </w:p>
        </w:tc>
        <w:tc>
          <w:tcPr>
            <w:tcW w:w="1570"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default" w:ascii="宋体" w:eastAsiaTheme="minorEastAsia"/>
                <w:sz w:val="24"/>
                <w:szCs w:val="24"/>
                <w:lang w:val="en-US" w:eastAsia="zh-CN"/>
              </w:rPr>
            </w:pPr>
            <w:r>
              <w:rPr>
                <w:rFonts w:hint="eastAsia" w:ascii="宋体"/>
                <w:sz w:val="24"/>
                <w:szCs w:val="24"/>
                <w:lang w:val="en-US" w:eastAsia="zh-CN"/>
              </w:rPr>
              <w:t>100%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3046" w:type="dxa"/>
            <w:gridSpan w:val="4"/>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绩效自评综合得分</w:t>
            </w:r>
          </w:p>
        </w:tc>
        <w:tc>
          <w:tcPr>
            <w:tcW w:w="5393" w:type="dxa"/>
            <w:gridSpan w:val="2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eastAsia" w:eastAsiaTheme="minorEastAsia"/>
                <w:lang w:val="en-US" w:eastAsia="zh-CN"/>
              </w:rPr>
            </w:pPr>
            <w:r>
              <w:t>9</w:t>
            </w:r>
            <w:r>
              <w:rPr>
                <w:rFonts w:hint="eastAsia"/>
                <w:lang w:val="en-US" w:eastAsia="zh-CN"/>
              </w:rPr>
              <w:t>8</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3046" w:type="dxa"/>
            <w:gridSpan w:val="4"/>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评价等次</w:t>
            </w:r>
          </w:p>
        </w:tc>
        <w:tc>
          <w:tcPr>
            <w:tcW w:w="5393" w:type="dxa"/>
            <w:gridSpan w:val="2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优 秀</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8439" w:type="dxa"/>
            <w:gridSpan w:val="2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四、评价人员</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姓  名</w:t>
            </w:r>
          </w:p>
        </w:tc>
        <w:tc>
          <w:tcPr>
            <w:tcW w:w="3462"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职务/职称</w:t>
            </w:r>
          </w:p>
        </w:tc>
        <w:tc>
          <w:tcPr>
            <w:tcW w:w="1026"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单  位</w:t>
            </w:r>
          </w:p>
        </w:tc>
        <w:tc>
          <w:tcPr>
            <w:tcW w:w="2235" w:type="dxa"/>
            <w:gridSpan w:val="1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签  字</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color w:val="auto"/>
                <w:lang w:val="en-US" w:eastAsia="zh-CN"/>
              </w:rPr>
            </w:pPr>
            <w:r>
              <w:rPr>
                <w:rFonts w:hint="eastAsia"/>
                <w:color w:val="auto"/>
                <w:lang w:val="en-US" w:eastAsia="zh-CN"/>
              </w:rPr>
              <w:t>欧阳辉</w:t>
            </w:r>
          </w:p>
        </w:tc>
        <w:tc>
          <w:tcPr>
            <w:tcW w:w="3462"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eastAsia" w:eastAsiaTheme="minorEastAsia"/>
                <w:color w:val="auto"/>
                <w:lang w:eastAsia="zh-CN"/>
              </w:rPr>
            </w:pPr>
            <w:r>
              <w:rPr>
                <w:rFonts w:hint="eastAsia"/>
                <w:color w:val="auto"/>
                <w:lang w:val="en-US" w:eastAsia="zh-CN"/>
              </w:rPr>
              <w:t>局长</w:t>
            </w:r>
          </w:p>
        </w:tc>
        <w:tc>
          <w:tcPr>
            <w:tcW w:w="1026"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color w:val="auto"/>
                <w:lang w:val="en-US" w:eastAsia="zh-CN"/>
              </w:rPr>
            </w:pPr>
            <w:r>
              <w:rPr>
                <w:rFonts w:hint="eastAsia"/>
                <w:color w:val="auto"/>
                <w:lang w:val="en-US" w:eastAsia="zh-CN"/>
              </w:rPr>
              <w:t>区行政审批服务局</w:t>
            </w:r>
          </w:p>
        </w:tc>
        <w:tc>
          <w:tcPr>
            <w:tcW w:w="2235" w:type="dxa"/>
            <w:gridSpan w:val="13"/>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color w:val="auto"/>
                <w:lang w:val="en-US" w:eastAsia="zh-CN"/>
              </w:rPr>
            </w:pPr>
            <w:r>
              <w:rPr>
                <w:rFonts w:hint="eastAsia"/>
                <w:color w:val="auto"/>
                <w:lang w:val="en-US" w:eastAsia="zh-CN"/>
              </w:rPr>
              <w:t>李虹</w:t>
            </w:r>
          </w:p>
        </w:tc>
        <w:tc>
          <w:tcPr>
            <w:tcW w:w="3462"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eastAsia" w:eastAsiaTheme="minorEastAsia"/>
                <w:color w:val="auto"/>
                <w:lang w:val="en-US" w:eastAsia="zh-CN"/>
              </w:rPr>
            </w:pPr>
            <w:r>
              <w:rPr>
                <w:color w:val="auto"/>
              </w:rPr>
              <w:t>副</w:t>
            </w:r>
            <w:r>
              <w:rPr>
                <w:rFonts w:hint="eastAsia"/>
                <w:color w:val="auto"/>
                <w:lang w:val="en-US" w:eastAsia="zh-CN"/>
              </w:rPr>
              <w:t>局长</w:t>
            </w:r>
          </w:p>
        </w:tc>
        <w:tc>
          <w:tcPr>
            <w:tcW w:w="1026"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color w:val="auto"/>
              </w:rPr>
            </w:pPr>
            <w:r>
              <w:rPr>
                <w:rFonts w:hint="eastAsia"/>
                <w:color w:val="auto"/>
                <w:lang w:val="en-US" w:eastAsia="zh-CN"/>
              </w:rPr>
              <w:t>区行政审批服务局</w:t>
            </w:r>
          </w:p>
        </w:tc>
        <w:tc>
          <w:tcPr>
            <w:tcW w:w="2235" w:type="dxa"/>
            <w:gridSpan w:val="13"/>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1716" w:type="dxa"/>
            <w:gridSpan w:val="2"/>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color w:val="auto"/>
                <w:lang w:val="en-US" w:eastAsia="zh-CN"/>
              </w:rPr>
            </w:pPr>
            <w:r>
              <w:rPr>
                <w:rFonts w:hint="eastAsia"/>
                <w:color w:val="auto"/>
                <w:lang w:val="en-US" w:eastAsia="zh-CN"/>
              </w:rPr>
              <w:t>岳嘉</w:t>
            </w:r>
          </w:p>
        </w:tc>
        <w:tc>
          <w:tcPr>
            <w:tcW w:w="3462" w:type="dxa"/>
            <w:gridSpan w:val="9"/>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default" w:eastAsiaTheme="minorEastAsia"/>
                <w:color w:val="auto"/>
                <w:lang w:val="en-US" w:eastAsia="zh-CN"/>
              </w:rPr>
            </w:pPr>
            <w:r>
              <w:rPr>
                <w:rFonts w:hint="eastAsia"/>
                <w:color w:val="auto"/>
                <w:lang w:val="en-US" w:eastAsia="zh-CN"/>
              </w:rPr>
              <w:t>副局长</w:t>
            </w:r>
          </w:p>
        </w:tc>
        <w:tc>
          <w:tcPr>
            <w:tcW w:w="1026" w:type="dxa"/>
            <w:gridSpan w:val="3"/>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color w:val="auto"/>
              </w:rPr>
            </w:pPr>
            <w:r>
              <w:rPr>
                <w:rFonts w:hint="eastAsia"/>
                <w:color w:val="auto"/>
                <w:lang w:val="en-US" w:eastAsia="zh-CN"/>
              </w:rPr>
              <w:t>区行政审批服务局</w:t>
            </w:r>
          </w:p>
        </w:tc>
        <w:tc>
          <w:tcPr>
            <w:tcW w:w="2235" w:type="dxa"/>
            <w:gridSpan w:val="13"/>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8439" w:type="dxa"/>
            <w:gridSpan w:val="2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评价组组长（签字）：</w:t>
            </w:r>
          </w:p>
          <w:p>
            <w:pPr>
              <w:pStyle w:val="2"/>
              <w:keepNext w:val="0"/>
              <w:keepLines w:val="0"/>
              <w:widowControl/>
              <w:suppressLineNumbers w:val="0"/>
              <w:spacing w:before="0" w:beforeAutospacing="0" w:after="0" w:afterAutospacing="0" w:line="33" w:lineRule="atLeast"/>
              <w:jc w:val="both"/>
            </w:pPr>
            <w: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8439" w:type="dxa"/>
            <w:gridSpan w:val="2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部门（单位）意见：</w:t>
            </w:r>
          </w:p>
          <w:p>
            <w:pPr>
              <w:pStyle w:val="2"/>
              <w:keepNext w:val="0"/>
              <w:keepLines w:val="0"/>
              <w:widowControl/>
              <w:suppressLineNumbers w:val="0"/>
              <w:spacing w:before="0" w:beforeAutospacing="0" w:after="0" w:afterAutospacing="0" w:line="33" w:lineRule="atLeast"/>
              <w:jc w:val="both"/>
            </w:pPr>
            <w:r>
              <w:t>部门（单位）负责人（签章）：</w:t>
            </w:r>
          </w:p>
          <w:p>
            <w:pPr>
              <w:pStyle w:val="2"/>
              <w:keepNext w:val="0"/>
              <w:keepLines w:val="0"/>
              <w:widowControl/>
              <w:suppressLineNumbers w:val="0"/>
              <w:spacing w:before="0" w:beforeAutospacing="0" w:after="0" w:afterAutospacing="0" w:line="33" w:lineRule="atLeast"/>
              <w:jc w:val="both"/>
            </w:pPr>
            <w: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8439" w:type="dxa"/>
            <w:gridSpan w:val="27"/>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财政部门归口业务科室意见：</w:t>
            </w:r>
          </w:p>
          <w:p>
            <w:pPr>
              <w:pStyle w:val="2"/>
              <w:keepNext w:val="0"/>
              <w:keepLines w:val="0"/>
              <w:widowControl/>
              <w:suppressLineNumbers w:val="0"/>
              <w:spacing w:before="0" w:beforeAutospacing="0" w:after="0" w:afterAutospacing="0" w:line="33" w:lineRule="atLeast"/>
              <w:jc w:val="both"/>
            </w:pPr>
            <w:r>
              <w:t>财政部门归口业务科室负责人（签章）：</w:t>
            </w:r>
          </w:p>
          <w:p>
            <w:pPr>
              <w:pStyle w:val="2"/>
              <w:keepNext w:val="0"/>
              <w:keepLines w:val="0"/>
              <w:widowControl/>
              <w:suppressLineNumbers w:val="0"/>
              <w:spacing w:before="0" w:beforeAutospacing="0" w:after="0" w:afterAutospacing="0" w:line="33" w:lineRule="atLeast"/>
              <w:jc w:val="both"/>
            </w:pPr>
            <w: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rPr>
          <w:trHeight w:val="0" w:hRule="atLeast"/>
        </w:trPr>
        <w:tc>
          <w:tcPr>
            <w:tcW w:w="1211" w:type="dxa"/>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505" w:type="dxa"/>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304" w:type="dxa"/>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1137" w:type="dxa"/>
            <w:gridSpan w:val="2"/>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90" w:type="dxa"/>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1146" w:type="dxa"/>
            <w:gridSpan w:val="3"/>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248" w:type="dxa"/>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686" w:type="dxa"/>
            <w:gridSpan w:val="2"/>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1249" w:type="dxa"/>
            <w:gridSpan w:val="4"/>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198" w:type="dxa"/>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173" w:type="dxa"/>
            <w:gridSpan w:val="2"/>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223" w:type="dxa"/>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911" w:type="dxa"/>
            <w:gridSpan w:val="5"/>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235" w:type="dxa"/>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c>
          <w:tcPr>
            <w:tcW w:w="123" w:type="dxa"/>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24"/>
                <w:szCs w:val="24"/>
              </w:rPr>
            </w:pPr>
          </w:p>
        </w:tc>
      </w:tr>
    </w:tbl>
    <w:p>
      <w:pPr>
        <w:pStyle w:val="2"/>
        <w:keepNext w:val="0"/>
        <w:keepLines w:val="0"/>
        <w:widowControl/>
        <w:suppressLineNumbers w:val="0"/>
        <w:spacing w:before="0" w:beforeAutospacing="0" w:after="0" w:afterAutospacing="0" w:line="33" w:lineRule="atLeast"/>
        <w:ind w:left="0" w:firstLine="420"/>
        <w:jc w:val="both"/>
        <w:rPr>
          <w:color w:val="FF0000"/>
        </w:rPr>
      </w:pPr>
      <w:r>
        <w:t>填报人（签名）：</w:t>
      </w:r>
      <w:r>
        <w:rPr>
          <w:color w:val="auto"/>
        </w:rPr>
        <w:t xml:space="preserve"> </w:t>
      </w:r>
      <w:r>
        <w:rPr>
          <w:rFonts w:hint="eastAsia"/>
          <w:color w:val="auto"/>
          <w:lang w:val="en-US" w:eastAsia="zh-CN"/>
        </w:rPr>
        <w:t>汤霞</w:t>
      </w:r>
      <w:r>
        <w:rPr>
          <w:color w:val="FF0000"/>
        </w:rPr>
        <w:t> </w:t>
      </w:r>
      <w:r>
        <w:t>                        联系电话</w:t>
      </w:r>
      <w:r>
        <w:rPr>
          <w:color w:val="auto"/>
        </w:rPr>
        <w:t>：</w:t>
      </w:r>
      <w:r>
        <w:rPr>
          <w:rFonts w:hint="eastAsia"/>
          <w:color w:val="auto"/>
          <w:lang w:val="en-US" w:eastAsia="zh-CN"/>
        </w:rPr>
        <w:t>07303295885</w:t>
      </w:r>
    </w:p>
    <w:tbl>
      <w:tblPr>
        <w:tblStyle w:val="3"/>
        <w:tblW w:w="0" w:type="auto"/>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Layout w:type="autofit"/>
        <w:tblCellMar>
          <w:top w:w="30" w:type="dxa"/>
          <w:left w:w="30" w:type="dxa"/>
          <w:bottom w:w="30" w:type="dxa"/>
          <w:right w:w="30" w:type="dxa"/>
        </w:tblCellMar>
      </w:tblPr>
      <w:tblGrid>
        <w:gridCol w:w="8360"/>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555" w:type="dxa"/>
            <w:tcBorders>
              <w:top w:val="outset" w:color="000000" w:sz="6" w:space="0"/>
              <w:left w:val="outset" w:color="000000" w:sz="6" w:space="0"/>
              <w:bottom w:val="outset" w:color="000000" w:sz="6" w:space="0"/>
              <w:right w:val="outset" w:color="000000" w:sz="6" w:space="0"/>
            </w:tcBorders>
            <w:shd w:val="clear" w:color="auto" w:fill="auto"/>
            <w:noWrap/>
            <w:vAlign w:val="top"/>
          </w:tcPr>
          <w:p>
            <w:pPr>
              <w:pStyle w:val="2"/>
              <w:keepNext w:val="0"/>
              <w:keepLines w:val="0"/>
              <w:widowControl/>
              <w:suppressLineNumbers w:val="0"/>
              <w:spacing w:before="0" w:beforeAutospacing="0" w:after="0" w:afterAutospacing="0" w:line="33" w:lineRule="atLeast"/>
              <w:jc w:val="both"/>
            </w:pPr>
            <w:r>
              <w:t>五、评价报告综述（文字部分）</w:t>
            </w:r>
          </w:p>
          <w:p>
            <w:pPr>
              <w:pStyle w:val="2"/>
              <w:keepNext w:val="0"/>
              <w:keepLines w:val="0"/>
              <w:widowControl/>
              <w:suppressLineNumbers w:val="0"/>
              <w:spacing w:before="0" w:beforeAutospacing="0" w:after="0" w:afterAutospacing="0" w:line="33" w:lineRule="atLeast"/>
              <w:jc w:val="both"/>
            </w:pPr>
            <w:r>
              <w:t>2021年部门整体支出绩效评价报告</w:t>
            </w:r>
          </w:p>
          <w:p>
            <w:pPr>
              <w:pStyle w:val="2"/>
              <w:keepNext w:val="0"/>
              <w:keepLines w:val="0"/>
              <w:widowControl/>
              <w:suppressLineNumbers w:val="0"/>
              <w:spacing w:before="0" w:beforeAutospacing="0" w:after="0" w:afterAutospacing="0" w:line="33" w:lineRule="atLeast"/>
              <w:jc w:val="both"/>
            </w:pPr>
            <w:r>
              <w:t>一、部门（单位）概况</w:t>
            </w:r>
          </w:p>
          <w:p>
            <w:pPr>
              <w:pStyle w:val="2"/>
              <w:keepNext w:val="0"/>
              <w:keepLines w:val="0"/>
              <w:widowControl/>
              <w:suppressLineNumbers w:val="0"/>
              <w:spacing w:before="0" w:beforeAutospacing="0" w:after="0" w:afterAutospacing="0" w:line="33" w:lineRule="atLeast"/>
              <w:jc w:val="both"/>
            </w:pPr>
            <w:r>
              <w:t>1、部门（单位）基本情况</w:t>
            </w:r>
          </w:p>
          <w:p>
            <w:pPr>
              <w:pStyle w:val="2"/>
              <w:keepNext w:val="0"/>
              <w:keepLines w:val="0"/>
              <w:widowControl/>
              <w:suppressLineNumbers w:val="0"/>
              <w:spacing w:before="0" w:beforeAutospacing="0" w:after="0" w:afterAutospacing="0" w:line="33" w:lineRule="atLeast"/>
              <w:jc w:val="both"/>
            </w:pPr>
            <w:r>
              <w:t>贯彻落实中央关于网络安全和信息化工作的方针政策和决策部署，全面落实省委、市委和区委、区政府关于网信工作的部署要求。编制人数</w:t>
            </w:r>
            <w:r>
              <w:rPr>
                <w:rFonts w:hint="eastAsia"/>
                <w:color w:val="auto"/>
                <w:lang w:val="en-US" w:eastAsia="zh-CN"/>
              </w:rPr>
              <w:t>18</w:t>
            </w:r>
            <w:r>
              <w:t>人，实际人数</w:t>
            </w:r>
            <w:r>
              <w:rPr>
                <w:rFonts w:hint="eastAsia"/>
                <w:color w:val="auto"/>
                <w:lang w:val="en-US" w:eastAsia="zh-CN"/>
              </w:rPr>
              <w:t>18</w:t>
            </w:r>
            <w:r>
              <w:t>人，其中机关本级</w:t>
            </w:r>
            <w:r>
              <w:rPr>
                <w:rFonts w:hint="eastAsia"/>
                <w:color w:val="auto"/>
                <w:lang w:val="en-US" w:eastAsia="zh-CN"/>
              </w:rPr>
              <w:t>7</w:t>
            </w:r>
            <w:r>
              <w:t>人、二级</w:t>
            </w:r>
            <w:r>
              <w:rPr>
                <w:rFonts w:hint="eastAsia"/>
                <w:lang w:val="en-US" w:eastAsia="zh-CN"/>
              </w:rPr>
              <w:t>政务</w:t>
            </w:r>
            <w:r>
              <w:t>服务中心</w:t>
            </w:r>
            <w:r>
              <w:rPr>
                <w:rFonts w:hint="eastAsia"/>
                <w:color w:val="auto"/>
                <w:lang w:val="en-US" w:eastAsia="zh-CN"/>
              </w:rPr>
              <w:t>11</w:t>
            </w:r>
            <w:r>
              <w:t>人。</w:t>
            </w:r>
          </w:p>
          <w:p>
            <w:pPr>
              <w:pStyle w:val="2"/>
              <w:keepNext w:val="0"/>
              <w:keepLines w:val="0"/>
              <w:widowControl/>
              <w:suppressLineNumbers w:val="0"/>
              <w:spacing w:before="0" w:beforeAutospacing="0" w:after="0" w:afterAutospacing="0" w:line="33" w:lineRule="atLeast"/>
              <w:jc w:val="both"/>
            </w:pPr>
            <w:r>
              <w:t>2、部门（单位）整体支出管理及使用情况</w:t>
            </w:r>
          </w:p>
          <w:p>
            <w:pPr>
              <w:pStyle w:val="2"/>
              <w:keepNext w:val="0"/>
              <w:keepLines w:val="0"/>
              <w:widowControl/>
              <w:suppressLineNumbers w:val="0"/>
              <w:spacing w:before="0" w:beforeAutospacing="0" w:after="0" w:afterAutospacing="0" w:line="33" w:lineRule="atLeast"/>
              <w:jc w:val="both"/>
            </w:pPr>
            <w:r>
              <w:t>全年支出</w:t>
            </w:r>
            <w:r>
              <w:rPr>
                <w:rFonts w:hint="eastAsia"/>
                <w:lang w:val="en-US" w:eastAsia="zh-CN"/>
              </w:rPr>
              <w:t>775.66</w:t>
            </w:r>
            <w:r>
              <w:t>万元，其中人员支出</w:t>
            </w:r>
            <w:r>
              <w:rPr>
                <w:rFonts w:hint="eastAsia"/>
                <w:lang w:val="en-US" w:eastAsia="zh-CN"/>
              </w:rPr>
              <w:t>322.77</w:t>
            </w:r>
            <w:r>
              <w:t>万元，主在用于人员工资及社保缴纳等；一般商品服务支出</w:t>
            </w:r>
            <w:r>
              <w:rPr>
                <w:rFonts w:hint="eastAsia"/>
                <w:lang w:val="en-US" w:eastAsia="zh-CN"/>
              </w:rPr>
              <w:t>361.00</w:t>
            </w:r>
            <w:r>
              <w:t>万元，项目支出</w:t>
            </w:r>
            <w:r>
              <w:rPr>
                <w:rFonts w:hint="eastAsia"/>
                <w:lang w:val="en-US" w:eastAsia="zh-CN"/>
              </w:rPr>
              <w:t>346.46</w:t>
            </w:r>
            <w:r>
              <w:t>万元。主要用于日常办公开支、统筹推进组织“最多跑一次”改革、全区政务网络建设、门户网站维护、区政务服务中心运营、“12345”热线工作、市区长信箱办理。</w:t>
            </w:r>
          </w:p>
          <w:p>
            <w:pPr>
              <w:pStyle w:val="2"/>
              <w:keepNext w:val="0"/>
              <w:keepLines w:val="0"/>
              <w:widowControl/>
              <w:suppressLineNumbers w:val="0"/>
              <w:spacing w:before="0" w:beforeAutospacing="0" w:after="0" w:afterAutospacing="0" w:line="33" w:lineRule="atLeast"/>
              <w:jc w:val="both"/>
            </w:pPr>
            <w:r>
              <w:t>三、部门（单位）整体支出绩效情况</w:t>
            </w:r>
          </w:p>
          <w:p>
            <w:pPr>
              <w:pStyle w:val="2"/>
              <w:keepNext w:val="0"/>
              <w:keepLines w:val="0"/>
              <w:widowControl/>
              <w:suppressLineNumbers w:val="0"/>
              <w:spacing w:before="0" w:beforeAutospacing="0" w:after="0" w:afterAutospacing="0" w:line="33" w:lineRule="atLeast"/>
              <w:jc w:val="both"/>
            </w:pPr>
            <w:r>
              <w:t>在人员经费支出、公共支出中严格执行区委、区政府的各项财政管理制度；严格落实厉行节约的原则；三公经费的使用严格控制在范围标准内。</w:t>
            </w:r>
          </w:p>
          <w:p>
            <w:pPr>
              <w:pStyle w:val="2"/>
              <w:keepNext w:val="0"/>
              <w:keepLines w:val="0"/>
              <w:widowControl/>
              <w:suppressLineNumbers w:val="0"/>
              <w:spacing w:before="0" w:beforeAutospacing="0" w:after="0" w:afterAutospacing="0" w:line="33" w:lineRule="atLeast"/>
              <w:jc w:val="both"/>
            </w:pPr>
            <w:r>
              <w:t>四、存在的主要问题</w:t>
            </w:r>
          </w:p>
          <w:p>
            <w:pPr>
              <w:pStyle w:val="2"/>
              <w:keepNext w:val="0"/>
              <w:keepLines w:val="0"/>
              <w:widowControl/>
              <w:suppressLineNumbers w:val="0"/>
              <w:spacing w:before="0" w:beforeAutospacing="0" w:after="0" w:afterAutospacing="0" w:line="33" w:lineRule="atLeast"/>
              <w:jc w:val="both"/>
            </w:pPr>
            <w:r>
              <w:t>在公务卡使用方面需要进一步加强。</w:t>
            </w:r>
          </w:p>
          <w:p>
            <w:pPr>
              <w:pStyle w:val="2"/>
              <w:keepNext w:val="0"/>
              <w:keepLines w:val="0"/>
              <w:widowControl/>
              <w:suppressLineNumbers w:val="0"/>
              <w:spacing w:before="0" w:beforeAutospacing="0" w:after="0" w:afterAutospacing="0" w:line="33" w:lineRule="atLeast"/>
              <w:jc w:val="both"/>
            </w:pPr>
            <w:r>
              <w:t>五、改进措施和有关建议</w:t>
            </w:r>
          </w:p>
          <w:p>
            <w:pPr>
              <w:pStyle w:val="2"/>
              <w:keepNext w:val="0"/>
              <w:keepLines w:val="0"/>
              <w:widowControl/>
              <w:suppressLineNumbers w:val="0"/>
              <w:spacing w:before="0" w:beforeAutospacing="0" w:after="0" w:afterAutospacing="0" w:line="33" w:lineRule="atLeast"/>
              <w:jc w:val="both"/>
            </w:pPr>
            <w:r>
              <w:t>建立和完善长效机制。把绩效评价作为部门的日常性工作，建立绩效评价管理工作考核的长效机制。</w:t>
            </w:r>
          </w:p>
        </w:tc>
      </w:tr>
    </w:tbl>
    <w:p>
      <w:pPr>
        <w:pStyle w:val="2"/>
        <w:keepNext w:val="0"/>
        <w:keepLines w:val="0"/>
        <w:widowControl/>
        <w:suppressLineNumbers w:val="0"/>
        <w:spacing w:before="0" w:beforeAutospacing="0" w:after="0" w:afterAutospacing="0" w:line="33" w:lineRule="atLeast"/>
        <w:ind w:left="0" w:firstLine="420"/>
        <w:jc w:val="both"/>
      </w:pPr>
      <w:r>
        <w:t>附件2-2</w:t>
      </w:r>
    </w:p>
    <w:p>
      <w:pPr>
        <w:pStyle w:val="2"/>
        <w:keepNext w:val="0"/>
        <w:keepLines w:val="0"/>
        <w:widowControl/>
        <w:suppressLineNumbers w:val="0"/>
        <w:spacing w:before="0" w:beforeAutospacing="0" w:after="0" w:afterAutospacing="0" w:line="33" w:lineRule="atLeast"/>
        <w:ind w:left="0" w:firstLine="420"/>
        <w:jc w:val="both"/>
      </w:pPr>
      <w:r>
        <w:t>部门整体支出绩效评价评分表</w:t>
      </w:r>
    </w:p>
    <w:tbl>
      <w:tblPr>
        <w:tblStyle w:val="3"/>
        <w:tblW w:w="0" w:type="auto"/>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Layout w:type="autofit"/>
        <w:tblCellMar>
          <w:top w:w="30" w:type="dxa"/>
          <w:left w:w="30" w:type="dxa"/>
          <w:bottom w:w="30" w:type="dxa"/>
          <w:right w:w="30" w:type="dxa"/>
        </w:tblCellMar>
      </w:tblPr>
      <w:tblGrid>
        <w:gridCol w:w="826"/>
        <w:gridCol w:w="801"/>
        <w:gridCol w:w="1178"/>
        <w:gridCol w:w="3502"/>
        <w:gridCol w:w="525"/>
        <w:gridCol w:w="613"/>
        <w:gridCol w:w="91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一级指标</w:t>
            </w:r>
          </w:p>
        </w:tc>
        <w:tc>
          <w:tcPr>
            <w:tcW w:w="94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二级指标</w:t>
            </w: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三级指标</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评分标准</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分值</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自评得分</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扣分原因和其他说明</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投  入</w:t>
            </w:r>
          </w:p>
          <w:p>
            <w:pPr>
              <w:pStyle w:val="2"/>
              <w:keepNext w:val="0"/>
              <w:keepLines w:val="0"/>
              <w:widowControl/>
              <w:suppressLineNumbers w:val="0"/>
              <w:spacing w:before="0" w:beforeAutospacing="0" w:after="0" w:afterAutospacing="0" w:line="33" w:lineRule="atLeast"/>
              <w:jc w:val="both"/>
            </w:pPr>
            <w:r>
              <w:t>（15分）</w:t>
            </w:r>
          </w:p>
        </w:tc>
        <w:tc>
          <w:tcPr>
            <w:tcW w:w="94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预算配置</w:t>
            </w:r>
          </w:p>
          <w:p>
            <w:pPr>
              <w:pStyle w:val="2"/>
              <w:keepNext w:val="0"/>
              <w:keepLines w:val="0"/>
              <w:widowControl/>
              <w:suppressLineNumbers w:val="0"/>
              <w:spacing w:before="0" w:beforeAutospacing="0" w:after="0" w:afterAutospacing="0" w:line="33" w:lineRule="atLeast"/>
              <w:jc w:val="both"/>
            </w:pPr>
            <w:r>
              <w:t>（15分）</w:t>
            </w: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财政供养人员</w:t>
            </w:r>
          </w:p>
          <w:p>
            <w:pPr>
              <w:pStyle w:val="2"/>
              <w:keepNext w:val="0"/>
              <w:keepLines w:val="0"/>
              <w:widowControl/>
              <w:suppressLineNumbers w:val="0"/>
              <w:spacing w:before="0" w:beforeAutospacing="0" w:after="0" w:afterAutospacing="0" w:line="33" w:lineRule="atLeast"/>
              <w:jc w:val="both"/>
            </w:pPr>
            <w:r>
              <w:t>控制率</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以100%为标准。在职人员控制率≦100%，计5分；每超过一个百分点扣0.5分，扣完为止。</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“三公经费”</w:t>
            </w:r>
          </w:p>
          <w:p>
            <w:pPr>
              <w:pStyle w:val="2"/>
              <w:keepNext w:val="0"/>
              <w:keepLines w:val="0"/>
              <w:widowControl/>
              <w:suppressLineNumbers w:val="0"/>
              <w:spacing w:before="0" w:beforeAutospacing="0" w:after="0" w:afterAutospacing="0" w:line="33" w:lineRule="atLeast"/>
              <w:jc w:val="both"/>
            </w:pPr>
            <w:r>
              <w:t>变动率</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“三公经费”变动率≦0,计5分；</w:t>
            </w:r>
          </w:p>
          <w:p>
            <w:pPr>
              <w:pStyle w:val="2"/>
              <w:keepNext w:val="0"/>
              <w:keepLines w:val="0"/>
              <w:widowControl/>
              <w:suppressLineNumbers w:val="0"/>
              <w:spacing w:before="0" w:beforeAutospacing="0" w:after="0" w:afterAutospacing="0" w:line="33" w:lineRule="atLeast"/>
              <w:jc w:val="both"/>
            </w:pPr>
            <w:r>
              <w:t>“三公经费”＞0，每超过一个百分点扣0.5分，扣完为止。</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重点支出</w:t>
            </w:r>
          </w:p>
          <w:p>
            <w:pPr>
              <w:pStyle w:val="2"/>
              <w:keepNext w:val="0"/>
              <w:keepLines w:val="0"/>
              <w:widowControl/>
              <w:suppressLineNumbers w:val="0"/>
              <w:spacing w:before="0" w:beforeAutospacing="0" w:after="0" w:afterAutospacing="0" w:line="33" w:lineRule="atLeast"/>
              <w:jc w:val="both"/>
            </w:pPr>
            <w:r>
              <w:t>安排率</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重点支出安排率≥90%，计5分；80%（含）-90%，计4分；70%（含）-80%，计3分；60%（含）-70%，计2分；低于60%不得分。</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过  程</w:t>
            </w:r>
          </w:p>
          <w:p>
            <w:pPr>
              <w:pStyle w:val="2"/>
              <w:keepNext w:val="0"/>
              <w:keepLines w:val="0"/>
              <w:widowControl/>
              <w:suppressLineNumbers w:val="0"/>
              <w:spacing w:before="0" w:beforeAutospacing="0" w:after="0" w:afterAutospacing="0" w:line="33" w:lineRule="atLeast"/>
              <w:jc w:val="both"/>
            </w:pPr>
            <w:r>
              <w:t>（40分）</w:t>
            </w:r>
          </w:p>
        </w:tc>
        <w:tc>
          <w:tcPr>
            <w:tcW w:w="94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预算执行</w:t>
            </w:r>
          </w:p>
          <w:p>
            <w:pPr>
              <w:pStyle w:val="2"/>
              <w:keepNext w:val="0"/>
              <w:keepLines w:val="0"/>
              <w:widowControl/>
              <w:suppressLineNumbers w:val="0"/>
              <w:spacing w:before="0" w:beforeAutospacing="0" w:after="0" w:afterAutospacing="0" w:line="33" w:lineRule="atLeast"/>
              <w:jc w:val="both"/>
            </w:pPr>
            <w:r>
              <w:t>（15分）</w:t>
            </w: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预算调整率</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预算调整率=0，计3分；0-10%（含），计2分；10-20%（含），计1分；20-30%（含），计0.5分；大于30%不得分。</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支付进度</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春节前下达全部专项资金的50%；6月底前所有专项资金指标全部下达完。</w:t>
            </w:r>
          </w:p>
          <w:p>
            <w:pPr>
              <w:pStyle w:val="2"/>
              <w:keepNext w:val="0"/>
              <w:keepLines w:val="0"/>
              <w:widowControl/>
              <w:suppressLineNumbers w:val="0"/>
              <w:spacing w:before="0" w:beforeAutospacing="0" w:after="0" w:afterAutospacing="0" w:line="33" w:lineRule="atLeast"/>
              <w:jc w:val="both"/>
            </w:pPr>
            <w:r>
              <w:t>每出现一个专项未按进度完成资金下达扣0.5分，扣完为止。</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资金结余</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无结余，3分；有结余，但不超过上年结转，2分；结余超过上年结转，不得分。</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“三公经费”</w:t>
            </w:r>
          </w:p>
          <w:p>
            <w:pPr>
              <w:pStyle w:val="2"/>
              <w:keepNext w:val="0"/>
              <w:keepLines w:val="0"/>
              <w:widowControl/>
              <w:suppressLineNumbers w:val="0"/>
              <w:spacing w:before="0" w:beforeAutospacing="0" w:after="0" w:afterAutospacing="0" w:line="33" w:lineRule="atLeast"/>
              <w:jc w:val="both"/>
            </w:pPr>
            <w:r>
              <w:t>控制率</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以100%为标准。三公经费控制率≦100%，计6分；</w:t>
            </w:r>
          </w:p>
          <w:p>
            <w:pPr>
              <w:pStyle w:val="2"/>
              <w:keepNext w:val="0"/>
              <w:keepLines w:val="0"/>
              <w:widowControl/>
              <w:suppressLineNumbers w:val="0"/>
              <w:spacing w:before="0" w:beforeAutospacing="0" w:after="0" w:afterAutospacing="0" w:line="33" w:lineRule="atLeast"/>
              <w:jc w:val="both"/>
            </w:pPr>
            <w:r>
              <w:t>每超过一个百分点扣1分，扣完为止。</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6</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6</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预算管理</w:t>
            </w:r>
          </w:p>
          <w:p>
            <w:pPr>
              <w:pStyle w:val="2"/>
              <w:keepNext w:val="0"/>
              <w:keepLines w:val="0"/>
              <w:widowControl/>
              <w:suppressLineNumbers w:val="0"/>
              <w:spacing w:before="0" w:beforeAutospacing="0" w:after="0" w:afterAutospacing="0" w:line="33" w:lineRule="atLeast"/>
              <w:jc w:val="both"/>
            </w:pPr>
            <w:r>
              <w:t>（15分）</w:t>
            </w: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管理制度</w:t>
            </w:r>
          </w:p>
          <w:p>
            <w:pPr>
              <w:pStyle w:val="2"/>
              <w:keepNext w:val="0"/>
              <w:keepLines w:val="0"/>
              <w:widowControl/>
              <w:suppressLineNumbers w:val="0"/>
              <w:spacing w:before="0" w:beforeAutospacing="0" w:after="0" w:afterAutospacing="0" w:line="33" w:lineRule="atLeast"/>
              <w:jc w:val="both"/>
            </w:pPr>
            <w:r>
              <w:t>健全性</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①已制定或具有预算资金管理办法，内部财务管理制度、会计核算制度等管理制度，1分；</w:t>
            </w:r>
          </w:p>
          <w:p>
            <w:pPr>
              <w:pStyle w:val="2"/>
              <w:keepNext w:val="0"/>
              <w:keepLines w:val="0"/>
              <w:widowControl/>
              <w:suppressLineNumbers w:val="0"/>
              <w:spacing w:before="0" w:beforeAutospacing="0" w:after="0" w:afterAutospacing="0" w:line="33" w:lineRule="atLeast"/>
              <w:jc w:val="both"/>
            </w:pPr>
            <w:r>
              <w:t>②相关管理制度合法、合规、完整，1分；</w:t>
            </w:r>
          </w:p>
          <w:p>
            <w:pPr>
              <w:pStyle w:val="2"/>
              <w:keepNext w:val="0"/>
              <w:keepLines w:val="0"/>
              <w:widowControl/>
              <w:suppressLineNumbers w:val="0"/>
              <w:spacing w:before="0" w:beforeAutospacing="0" w:after="0" w:afterAutospacing="0" w:line="33" w:lineRule="atLeast"/>
              <w:jc w:val="both"/>
            </w:pPr>
            <w:r>
              <w:t>③相关管理制度得到有效执行，1分。</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highlight w:val="red"/>
              </w:rPr>
            </w:pPr>
            <w:r>
              <w:rPr>
                <w:highlight w:val="none"/>
              </w:rPr>
              <w:t>3</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highlight w:val="red"/>
              </w:rPr>
            </w:pPr>
            <w:r>
              <w:rPr>
                <w:highlight w:val="none"/>
              </w:rPr>
              <w:t>2</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资金使用</w:t>
            </w:r>
          </w:p>
          <w:p>
            <w:pPr>
              <w:pStyle w:val="2"/>
              <w:keepNext w:val="0"/>
              <w:keepLines w:val="0"/>
              <w:widowControl/>
              <w:suppressLineNumbers w:val="0"/>
              <w:spacing w:before="0" w:beforeAutospacing="0" w:after="0" w:afterAutospacing="0" w:line="33" w:lineRule="atLeast"/>
              <w:jc w:val="both"/>
            </w:pPr>
            <w:r>
              <w:t>合规性</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①支出符合国家财经法规和财务管理制度规定以及有关专项资金管理办法的规定；</w:t>
            </w:r>
          </w:p>
          <w:p>
            <w:pPr>
              <w:pStyle w:val="2"/>
              <w:keepNext w:val="0"/>
              <w:keepLines w:val="0"/>
              <w:widowControl/>
              <w:suppressLineNumbers w:val="0"/>
              <w:spacing w:before="0" w:beforeAutospacing="0" w:after="0" w:afterAutospacing="0" w:line="33" w:lineRule="atLeast"/>
              <w:jc w:val="both"/>
            </w:pPr>
            <w:r>
              <w:t>②资金拨付有完整的审批程序和手续；</w:t>
            </w:r>
          </w:p>
          <w:p>
            <w:pPr>
              <w:pStyle w:val="2"/>
              <w:keepNext w:val="0"/>
              <w:keepLines w:val="0"/>
              <w:widowControl/>
              <w:suppressLineNumbers w:val="0"/>
              <w:spacing w:before="0" w:beforeAutospacing="0" w:after="0" w:afterAutospacing="0" w:line="33" w:lineRule="atLeast"/>
              <w:jc w:val="both"/>
            </w:pPr>
            <w:r>
              <w:t>③项目支出按规定经过评估论证；</w:t>
            </w:r>
          </w:p>
          <w:p>
            <w:pPr>
              <w:pStyle w:val="2"/>
              <w:keepNext w:val="0"/>
              <w:keepLines w:val="0"/>
              <w:widowControl/>
              <w:suppressLineNumbers w:val="0"/>
              <w:spacing w:before="0" w:beforeAutospacing="0" w:after="0" w:afterAutospacing="0" w:line="33" w:lineRule="atLeast"/>
              <w:jc w:val="both"/>
            </w:pPr>
            <w:r>
              <w:t>④支出符合部门预算批复的用途；</w:t>
            </w:r>
          </w:p>
          <w:p>
            <w:pPr>
              <w:pStyle w:val="2"/>
              <w:keepNext w:val="0"/>
              <w:keepLines w:val="0"/>
              <w:widowControl/>
              <w:suppressLineNumbers w:val="0"/>
              <w:spacing w:before="0" w:beforeAutospacing="0" w:after="0" w:afterAutospacing="0" w:line="33" w:lineRule="atLeast"/>
              <w:jc w:val="both"/>
            </w:pPr>
            <w:r>
              <w:t>⑤资金使用无截留、挤占、挪用、虚列支出等情况。</w:t>
            </w:r>
          </w:p>
          <w:p>
            <w:pPr>
              <w:pStyle w:val="2"/>
              <w:keepNext w:val="0"/>
              <w:keepLines w:val="0"/>
              <w:widowControl/>
              <w:suppressLineNumbers w:val="0"/>
              <w:spacing w:before="0" w:beforeAutospacing="0" w:after="0" w:afterAutospacing="0" w:line="33" w:lineRule="atLeast"/>
              <w:jc w:val="both"/>
            </w:pPr>
            <w:r>
              <w:t>以上情况每出现一例不符合要求的扣1分，扣完为止。</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预决算信息公开性和完善性</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①按规定内容公开预决算信息，1分；</w:t>
            </w:r>
          </w:p>
          <w:p>
            <w:pPr>
              <w:pStyle w:val="2"/>
              <w:keepNext w:val="0"/>
              <w:keepLines w:val="0"/>
              <w:widowControl/>
              <w:suppressLineNumbers w:val="0"/>
              <w:spacing w:before="0" w:beforeAutospacing="0" w:after="0" w:afterAutospacing="0" w:line="33" w:lineRule="atLeast"/>
              <w:jc w:val="both"/>
            </w:pPr>
            <w:r>
              <w:t>②按规定时限公开预决算信息，0.5分；</w:t>
            </w:r>
          </w:p>
          <w:p>
            <w:pPr>
              <w:pStyle w:val="2"/>
              <w:keepNext w:val="0"/>
              <w:keepLines w:val="0"/>
              <w:widowControl/>
              <w:suppressLineNumbers w:val="0"/>
              <w:spacing w:before="0" w:beforeAutospacing="0" w:after="0" w:afterAutospacing="0" w:line="33" w:lineRule="atLeast"/>
              <w:jc w:val="both"/>
            </w:pPr>
            <w:r>
              <w:t>③基础数据信息和会计信息资料真实，0.5分；</w:t>
            </w:r>
          </w:p>
          <w:p>
            <w:pPr>
              <w:pStyle w:val="2"/>
              <w:keepNext w:val="0"/>
              <w:keepLines w:val="0"/>
              <w:widowControl/>
              <w:suppressLineNumbers w:val="0"/>
              <w:spacing w:before="0" w:beforeAutospacing="0" w:after="0" w:afterAutospacing="0" w:line="33" w:lineRule="atLeast"/>
              <w:jc w:val="both"/>
            </w:pPr>
            <w:r>
              <w:t>④基础数据信息和会计信息资料完整，0.5分；</w:t>
            </w:r>
          </w:p>
          <w:p>
            <w:pPr>
              <w:pStyle w:val="2"/>
              <w:keepNext w:val="0"/>
              <w:keepLines w:val="0"/>
              <w:widowControl/>
              <w:suppressLineNumbers w:val="0"/>
              <w:spacing w:before="0" w:beforeAutospacing="0" w:after="0" w:afterAutospacing="0" w:line="33" w:lineRule="atLeast"/>
              <w:jc w:val="both"/>
            </w:pPr>
            <w:r>
              <w:t>⑤基础数据信息和汇集信息资料准确，0.5分。</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2</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政府采购</w:t>
            </w:r>
          </w:p>
          <w:p>
            <w:pPr>
              <w:pStyle w:val="2"/>
              <w:keepNext w:val="0"/>
              <w:keepLines w:val="0"/>
              <w:widowControl/>
              <w:suppressLineNumbers w:val="0"/>
              <w:spacing w:before="0" w:beforeAutospacing="0" w:after="0" w:afterAutospacing="0" w:line="33" w:lineRule="atLeast"/>
              <w:jc w:val="both"/>
            </w:pPr>
            <w:r>
              <w:t>执行率</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政府采购执行率等于100%的，得3分；</w:t>
            </w:r>
          </w:p>
          <w:p>
            <w:pPr>
              <w:pStyle w:val="2"/>
              <w:keepNext w:val="0"/>
              <w:keepLines w:val="0"/>
              <w:widowControl/>
              <w:suppressLineNumbers w:val="0"/>
              <w:spacing w:before="0" w:beforeAutospacing="0" w:after="0" w:afterAutospacing="0" w:line="33" w:lineRule="atLeast"/>
              <w:jc w:val="both"/>
            </w:pPr>
            <w:r>
              <w:t>每减少一个百分点，扣0.2分，扣完为止。</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公务卡刷卡率</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公务卡刷卡率达50％以上的，得3分。</w:t>
            </w:r>
          </w:p>
          <w:p>
            <w:pPr>
              <w:pStyle w:val="2"/>
              <w:keepNext w:val="0"/>
              <w:keepLines w:val="0"/>
              <w:widowControl/>
              <w:suppressLineNumbers w:val="0"/>
              <w:spacing w:before="0" w:beforeAutospacing="0" w:after="0" w:afterAutospacing="0" w:line="33" w:lineRule="atLeast"/>
              <w:jc w:val="both"/>
            </w:pPr>
            <w:r>
              <w:t>每减少一个百分点，扣0.2分，扣完为止。</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资产管理</w:t>
            </w:r>
          </w:p>
          <w:p>
            <w:pPr>
              <w:pStyle w:val="2"/>
              <w:keepNext w:val="0"/>
              <w:keepLines w:val="0"/>
              <w:widowControl/>
              <w:suppressLineNumbers w:val="0"/>
              <w:spacing w:before="0" w:beforeAutospacing="0" w:after="0" w:afterAutospacing="0" w:line="33" w:lineRule="atLeast"/>
              <w:jc w:val="both"/>
            </w:pPr>
            <w:r>
              <w:t>（10分）</w:t>
            </w: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管理制度</w:t>
            </w:r>
          </w:p>
          <w:p>
            <w:pPr>
              <w:pStyle w:val="2"/>
              <w:keepNext w:val="0"/>
              <w:keepLines w:val="0"/>
              <w:widowControl/>
              <w:suppressLineNumbers w:val="0"/>
              <w:spacing w:before="0" w:beforeAutospacing="0" w:after="0" w:afterAutospacing="0" w:line="33" w:lineRule="atLeast"/>
              <w:jc w:val="both"/>
            </w:pPr>
            <w:r>
              <w:t>健全性</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①已制定或具有资产管理制度，且相关资产管理制度合法、合规、完整，2分；</w:t>
            </w:r>
          </w:p>
          <w:p>
            <w:pPr>
              <w:pStyle w:val="2"/>
              <w:keepNext w:val="0"/>
              <w:keepLines w:val="0"/>
              <w:widowControl/>
              <w:suppressLineNumbers w:val="0"/>
              <w:spacing w:before="0" w:beforeAutospacing="0" w:after="0" w:afterAutospacing="0" w:line="33" w:lineRule="atLeast"/>
              <w:jc w:val="both"/>
            </w:pPr>
            <w:r>
              <w:t>②相关资产管理制度得到有效执行，1分。</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bl>
    <w:p>
      <w:pPr>
        <w:rPr>
          <w:vanish/>
          <w:sz w:val="24"/>
          <w:szCs w:val="24"/>
        </w:rPr>
      </w:pPr>
    </w:p>
    <w:tbl>
      <w:tblPr>
        <w:tblStyle w:val="3"/>
        <w:tblW w:w="0" w:type="auto"/>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Layout w:type="autofit"/>
        <w:tblCellMar>
          <w:top w:w="30" w:type="dxa"/>
          <w:left w:w="30" w:type="dxa"/>
          <w:bottom w:w="30" w:type="dxa"/>
          <w:right w:w="30" w:type="dxa"/>
        </w:tblCellMar>
      </w:tblPr>
      <w:tblGrid>
        <w:gridCol w:w="826"/>
        <w:gridCol w:w="801"/>
        <w:gridCol w:w="1178"/>
        <w:gridCol w:w="3502"/>
        <w:gridCol w:w="525"/>
        <w:gridCol w:w="613"/>
        <w:gridCol w:w="91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一级指标</w:t>
            </w:r>
          </w:p>
        </w:tc>
        <w:tc>
          <w:tcPr>
            <w:tcW w:w="94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二级指标</w:t>
            </w: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三级指标</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评分标准</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分值</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自评得分</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扣分原因和其他说明</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过  程</w:t>
            </w:r>
          </w:p>
          <w:p>
            <w:pPr>
              <w:pStyle w:val="2"/>
              <w:keepNext w:val="0"/>
              <w:keepLines w:val="0"/>
              <w:widowControl/>
              <w:suppressLineNumbers w:val="0"/>
              <w:spacing w:before="0" w:beforeAutospacing="0" w:after="0" w:afterAutospacing="0" w:line="33" w:lineRule="atLeast"/>
              <w:jc w:val="both"/>
            </w:pPr>
            <w:r>
              <w:t>（40分）</w:t>
            </w:r>
          </w:p>
        </w:tc>
        <w:tc>
          <w:tcPr>
            <w:tcW w:w="94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资产管理</w:t>
            </w:r>
          </w:p>
          <w:p>
            <w:pPr>
              <w:pStyle w:val="2"/>
              <w:keepNext w:val="0"/>
              <w:keepLines w:val="0"/>
              <w:widowControl/>
              <w:suppressLineNumbers w:val="0"/>
              <w:spacing w:before="0" w:beforeAutospacing="0" w:after="0" w:afterAutospacing="0" w:line="33" w:lineRule="atLeast"/>
              <w:jc w:val="both"/>
            </w:pPr>
            <w:r>
              <w:t>（10分）</w:t>
            </w: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资产管理</w:t>
            </w:r>
          </w:p>
          <w:p>
            <w:pPr>
              <w:pStyle w:val="2"/>
              <w:keepNext w:val="0"/>
              <w:keepLines w:val="0"/>
              <w:widowControl/>
              <w:suppressLineNumbers w:val="0"/>
              <w:spacing w:before="0" w:beforeAutospacing="0" w:after="0" w:afterAutospacing="0" w:line="33" w:lineRule="atLeast"/>
              <w:jc w:val="both"/>
            </w:pPr>
            <w:r>
              <w:t>安全性</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①资产保存完整；</w:t>
            </w:r>
          </w:p>
          <w:p>
            <w:pPr>
              <w:pStyle w:val="2"/>
              <w:keepNext w:val="0"/>
              <w:keepLines w:val="0"/>
              <w:widowControl/>
              <w:suppressLineNumbers w:val="0"/>
              <w:spacing w:before="0" w:beforeAutospacing="0" w:after="0" w:afterAutospacing="0" w:line="33" w:lineRule="atLeast"/>
              <w:jc w:val="both"/>
            </w:pPr>
            <w:r>
              <w:t>②资产配置合理；</w:t>
            </w:r>
          </w:p>
          <w:p>
            <w:pPr>
              <w:pStyle w:val="2"/>
              <w:keepNext w:val="0"/>
              <w:keepLines w:val="0"/>
              <w:widowControl/>
              <w:suppressLineNumbers w:val="0"/>
              <w:spacing w:before="0" w:beforeAutospacing="0" w:after="0" w:afterAutospacing="0" w:line="33" w:lineRule="atLeast"/>
              <w:jc w:val="both"/>
            </w:pPr>
            <w:r>
              <w:t>③资产处置规范；</w:t>
            </w:r>
          </w:p>
          <w:p>
            <w:pPr>
              <w:pStyle w:val="2"/>
              <w:keepNext w:val="0"/>
              <w:keepLines w:val="0"/>
              <w:widowControl/>
              <w:suppressLineNumbers w:val="0"/>
              <w:spacing w:before="0" w:beforeAutospacing="0" w:after="0" w:afterAutospacing="0" w:line="33" w:lineRule="atLeast"/>
              <w:jc w:val="both"/>
            </w:pPr>
            <w:r>
              <w:t>④资产账务管理合规，帐实相符；</w:t>
            </w:r>
          </w:p>
          <w:p>
            <w:pPr>
              <w:pStyle w:val="2"/>
              <w:keepNext w:val="0"/>
              <w:keepLines w:val="0"/>
              <w:widowControl/>
              <w:suppressLineNumbers w:val="0"/>
              <w:spacing w:before="0" w:beforeAutospacing="0" w:after="0" w:afterAutospacing="0" w:line="33" w:lineRule="atLeast"/>
              <w:jc w:val="both"/>
            </w:pPr>
            <w:r>
              <w:t>⑤资产有偿使用及处置收入及时足额上缴；</w:t>
            </w:r>
          </w:p>
          <w:p>
            <w:pPr>
              <w:pStyle w:val="2"/>
              <w:keepNext w:val="0"/>
              <w:keepLines w:val="0"/>
              <w:widowControl/>
              <w:suppressLineNumbers w:val="0"/>
              <w:spacing w:before="0" w:beforeAutospacing="0" w:after="0" w:afterAutospacing="0" w:line="33" w:lineRule="atLeast"/>
              <w:jc w:val="both"/>
            </w:pPr>
            <w:r>
              <w:t>以上情况每出现一例不符合有关要求的扣1分，扣完为止。</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4</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4</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固定资产</w:t>
            </w:r>
          </w:p>
          <w:p>
            <w:pPr>
              <w:pStyle w:val="2"/>
              <w:keepNext w:val="0"/>
              <w:keepLines w:val="0"/>
              <w:widowControl/>
              <w:suppressLineNumbers w:val="0"/>
              <w:spacing w:before="0" w:beforeAutospacing="0" w:after="0" w:afterAutospacing="0" w:line="33" w:lineRule="atLeast"/>
              <w:jc w:val="both"/>
            </w:pPr>
            <w:r>
              <w:t>利用率</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每低于100%一个百分点扣0.1分，扣完为止。</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3</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产  出（25分）</w:t>
            </w:r>
          </w:p>
        </w:tc>
        <w:tc>
          <w:tcPr>
            <w:tcW w:w="94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职责履行</w:t>
            </w:r>
          </w:p>
          <w:p>
            <w:pPr>
              <w:pStyle w:val="2"/>
              <w:keepNext w:val="0"/>
              <w:keepLines w:val="0"/>
              <w:widowControl/>
              <w:suppressLineNumbers w:val="0"/>
              <w:spacing w:before="0" w:beforeAutospacing="0" w:after="0" w:afterAutospacing="0" w:line="33" w:lineRule="atLeast"/>
              <w:jc w:val="both"/>
            </w:pPr>
            <w:r>
              <w:t>（25分）</w:t>
            </w: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推进全面小康建设指标任务完成情况</w:t>
            </w:r>
          </w:p>
        </w:tc>
        <w:tc>
          <w:tcPr>
            <w:tcW w:w="4170"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此项指标根据区综合绩效考核领导小组办公室</w:t>
            </w:r>
            <w:r>
              <w:rPr>
                <w:color w:val="auto"/>
              </w:rPr>
              <w:t>2018</w:t>
            </w:r>
            <w:r>
              <w:t>年对各部门的部门工作实绩考核分数折算考核内容设置。</w:t>
            </w:r>
          </w:p>
          <w:p>
            <w:pPr>
              <w:pStyle w:val="2"/>
              <w:keepNext w:val="0"/>
              <w:keepLines w:val="0"/>
              <w:widowControl/>
              <w:suppressLineNumbers w:val="0"/>
              <w:spacing w:before="0" w:beforeAutospacing="0" w:after="0" w:afterAutospacing="0" w:line="33" w:lineRule="atLeast"/>
              <w:jc w:val="both"/>
            </w:pPr>
            <w:r>
              <w:t>部门单位应根据部门实际进行调整，并将其细化成相应的个性化指标。</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建设湖南新增极目标任务完成情况</w:t>
            </w:r>
          </w:p>
        </w:tc>
        <w:tc>
          <w:tcPr>
            <w:tcW w:w="4170"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7</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7</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《政府工作报告》目标任务完成情况</w:t>
            </w:r>
          </w:p>
        </w:tc>
        <w:tc>
          <w:tcPr>
            <w:tcW w:w="4170"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省市区民生实事完成情况</w:t>
            </w:r>
          </w:p>
        </w:tc>
        <w:tc>
          <w:tcPr>
            <w:tcW w:w="4170"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2</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2</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省市区重点工程和重大项目建设完成情况</w:t>
            </w:r>
          </w:p>
        </w:tc>
        <w:tc>
          <w:tcPr>
            <w:tcW w:w="4170"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2</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2</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其他工作实绩指标完成情况</w:t>
            </w:r>
          </w:p>
        </w:tc>
        <w:tc>
          <w:tcPr>
            <w:tcW w:w="4170"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4</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4</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效  果</w:t>
            </w:r>
          </w:p>
          <w:p>
            <w:pPr>
              <w:pStyle w:val="2"/>
              <w:keepNext w:val="0"/>
              <w:keepLines w:val="0"/>
              <w:widowControl/>
              <w:suppressLineNumbers w:val="0"/>
              <w:spacing w:before="0" w:beforeAutospacing="0" w:after="0" w:afterAutospacing="0" w:line="33" w:lineRule="atLeast"/>
              <w:jc w:val="both"/>
            </w:pPr>
            <w:r>
              <w:t>（20分）</w:t>
            </w:r>
          </w:p>
        </w:tc>
        <w:tc>
          <w:tcPr>
            <w:tcW w:w="94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履职效益</w:t>
            </w:r>
          </w:p>
          <w:p>
            <w:pPr>
              <w:pStyle w:val="2"/>
              <w:keepNext w:val="0"/>
              <w:keepLines w:val="0"/>
              <w:widowControl/>
              <w:suppressLineNumbers w:val="0"/>
              <w:spacing w:before="0" w:beforeAutospacing="0" w:after="0" w:afterAutospacing="0" w:line="33" w:lineRule="atLeast"/>
              <w:jc w:val="both"/>
            </w:pPr>
            <w:r>
              <w:t>（20分）</w:t>
            </w: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经济效益</w:t>
            </w:r>
          </w:p>
        </w:tc>
        <w:tc>
          <w:tcPr>
            <w:tcW w:w="4170"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此三项指标为设置部门整体支出绩效评价指标时必须考虑的共性要素。</w:t>
            </w:r>
          </w:p>
          <w:p>
            <w:pPr>
              <w:pStyle w:val="2"/>
              <w:keepNext w:val="0"/>
              <w:keepLines w:val="0"/>
              <w:widowControl/>
              <w:suppressLineNumbers w:val="0"/>
              <w:spacing w:before="0" w:beforeAutospacing="0" w:after="0" w:afterAutospacing="0" w:line="33" w:lineRule="atLeast"/>
              <w:jc w:val="both"/>
            </w:pPr>
            <w:r>
              <w:t>部门单位应根据部门实际并结合部门整体支出绩效目标设立情况有选择的进行设置，并将其细化为相应的个性化指标。</w:t>
            </w:r>
          </w:p>
        </w:tc>
        <w:tc>
          <w:tcPr>
            <w:tcW w:w="615" w:type="dxa"/>
            <w:vMerge w:val="restart"/>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15</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社会效益</w:t>
            </w:r>
          </w:p>
        </w:tc>
        <w:tc>
          <w:tcPr>
            <w:tcW w:w="4170"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61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生态效益</w:t>
            </w:r>
          </w:p>
        </w:tc>
        <w:tc>
          <w:tcPr>
            <w:tcW w:w="4170"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61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97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945" w:type="dxa"/>
            <w:vMerge w:val="continue"/>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社会公众或服务对象满意度</w:t>
            </w: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95%（含）以上计5分；</w:t>
            </w:r>
          </w:p>
          <w:p>
            <w:pPr>
              <w:pStyle w:val="2"/>
              <w:keepNext w:val="0"/>
              <w:keepLines w:val="0"/>
              <w:widowControl/>
              <w:suppressLineNumbers w:val="0"/>
              <w:spacing w:before="0" w:beforeAutospacing="0" w:after="0" w:afterAutospacing="0" w:line="33" w:lineRule="atLeast"/>
              <w:jc w:val="both"/>
            </w:pPr>
            <w:r>
              <w:t>85%（含）-95%，计3分；</w:t>
            </w:r>
          </w:p>
          <w:p>
            <w:pPr>
              <w:pStyle w:val="2"/>
              <w:keepNext w:val="0"/>
              <w:keepLines w:val="0"/>
              <w:widowControl/>
              <w:suppressLineNumbers w:val="0"/>
              <w:spacing w:before="0" w:beforeAutospacing="0" w:after="0" w:afterAutospacing="0" w:line="33" w:lineRule="atLeast"/>
              <w:jc w:val="both"/>
            </w:pPr>
            <w:r>
              <w:t>75%（含）-85%，计1分；</w:t>
            </w:r>
          </w:p>
          <w:p>
            <w:pPr>
              <w:pStyle w:val="2"/>
              <w:keepNext w:val="0"/>
              <w:keepLines w:val="0"/>
              <w:widowControl/>
              <w:suppressLineNumbers w:val="0"/>
              <w:spacing w:before="0" w:beforeAutospacing="0" w:after="0" w:afterAutospacing="0" w:line="33" w:lineRule="atLeast"/>
              <w:jc w:val="both"/>
            </w:pPr>
            <w:r>
              <w:t>低于75%计0分。</w:t>
            </w: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5</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30" w:type="dxa"/>
            <w:left w:w="30" w:type="dxa"/>
            <w:bottom w:w="30" w:type="dxa"/>
            <w:right w:w="30" w:type="dxa"/>
          </w:tblCellMar>
        </w:tblPrEx>
        <w:tc>
          <w:tcPr>
            <w:tcW w:w="97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pPr>
            <w:r>
              <w:t>总 分</w:t>
            </w:r>
          </w:p>
        </w:tc>
        <w:tc>
          <w:tcPr>
            <w:tcW w:w="94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139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417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c>
          <w:tcPr>
            <w:tcW w:w="615"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highlight w:val="red"/>
              </w:rPr>
            </w:pPr>
            <w:r>
              <w:rPr>
                <w:highlight w:val="none"/>
              </w:rPr>
              <w:t>100</w:t>
            </w:r>
          </w:p>
        </w:tc>
        <w:tc>
          <w:tcPr>
            <w:tcW w:w="72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pStyle w:val="2"/>
              <w:keepNext w:val="0"/>
              <w:keepLines w:val="0"/>
              <w:widowControl/>
              <w:suppressLineNumbers w:val="0"/>
              <w:spacing w:before="0" w:beforeAutospacing="0" w:after="0" w:afterAutospacing="0" w:line="33" w:lineRule="atLeast"/>
              <w:jc w:val="both"/>
              <w:rPr>
                <w:rFonts w:hint="eastAsia" w:eastAsiaTheme="minorEastAsia"/>
                <w:highlight w:val="none"/>
                <w:lang w:val="en-US" w:eastAsia="zh-CN"/>
              </w:rPr>
            </w:pPr>
            <w:r>
              <w:rPr>
                <w:highlight w:val="none"/>
              </w:rPr>
              <w:t>9</w:t>
            </w:r>
            <w:r>
              <w:rPr>
                <w:rFonts w:hint="eastAsia"/>
                <w:highlight w:val="none"/>
                <w:lang w:val="en-US" w:eastAsia="zh-CN"/>
              </w:rPr>
              <w:t>8</w:t>
            </w:r>
          </w:p>
        </w:tc>
        <w:tc>
          <w:tcPr>
            <w:tcW w:w="1080" w:type="dxa"/>
            <w:tcBorders>
              <w:top w:val="outset" w:color="000000" w:sz="6" w:space="0"/>
              <w:left w:val="outset" w:color="000000" w:sz="6" w:space="0"/>
              <w:bottom w:val="outset" w:color="000000" w:sz="6" w:space="0"/>
              <w:right w:val="outset" w:color="000000" w:sz="6" w:space="0"/>
            </w:tcBorders>
            <w:shd w:val="clear" w:color="auto" w:fill="auto"/>
            <w:noWrap/>
            <w:vAlign w:val="center"/>
          </w:tcPr>
          <w:p>
            <w:pPr>
              <w:rPr>
                <w:rFonts w:hint="eastAsia" w:ascii="宋体"/>
                <w:sz w:val="24"/>
                <w:szCs w:val="24"/>
              </w:rPr>
            </w:pPr>
          </w:p>
        </w:tc>
      </w:tr>
    </w:tbl>
    <w:p/>
    <w:sectPr>
      <w:footerReference r:id="rId5" w:type="default"/>
      <w:pgSz w:w="11900" w:h="16839"/>
      <w:pgMar w:top="1440" w:right="1800" w:bottom="1440" w:left="1800" w:header="0" w:footer="0"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UzZTIxMmY2M2ViYmM2M2E1M2EwZmU2MjkwZmU0YTIifQ=="/>
  </w:docVars>
  <w:rsids>
    <w:rsidRoot w:val="267A6E2E"/>
    <w:rsid w:val="002F3F42"/>
    <w:rsid w:val="071B720F"/>
    <w:rsid w:val="0E084201"/>
    <w:rsid w:val="0F6E76E3"/>
    <w:rsid w:val="0F8F6241"/>
    <w:rsid w:val="17966FC8"/>
    <w:rsid w:val="20910887"/>
    <w:rsid w:val="267A6E2E"/>
    <w:rsid w:val="29F15C91"/>
    <w:rsid w:val="2F332B44"/>
    <w:rsid w:val="348123EB"/>
    <w:rsid w:val="3C7F2D20"/>
    <w:rsid w:val="42F95FEB"/>
    <w:rsid w:val="48346987"/>
    <w:rsid w:val="4CA706AC"/>
    <w:rsid w:val="51C82784"/>
    <w:rsid w:val="5A0E1D6B"/>
    <w:rsid w:val="6065714D"/>
    <w:rsid w:val="7097671C"/>
    <w:rsid w:val="71B52674"/>
    <w:rsid w:val="733D06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3508</Words>
  <Characters>3770</Characters>
  <Lines>0</Lines>
  <Paragraphs>0</Paragraphs>
  <TotalTime>11</TotalTime>
  <ScaleCrop>false</ScaleCrop>
  <LinksUpToDate>false</LinksUpToDate>
  <CharactersWithSpaces>3871</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2022-07-26T01:51:00Z</dcterms:created>
  <dc:creator>德志责运</dc:creator>
  <cp:lastModifiedBy>赤湾</cp:lastModifiedBy>
  <dcterms:modified xsi:type="dcterms:W3CDTF">2023-04-27T01:00:52Z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6DD7887CAAF24E2087270716157B880C</vt:lpwstr>
  </property>
</Properties>
</file>