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w:t>
      </w:r>
      <w:r>
        <w:rPr>
          <w:rFonts w:hint="eastAsia" w:ascii="黑体" w:hAnsi="黑体" w:eastAsia="黑体" w:cs="黑体"/>
          <w:bCs/>
          <w:sz w:val="32"/>
          <w:szCs w:val="32"/>
          <w:lang w:val="en-US" w:eastAsia="zh-CN"/>
        </w:rPr>
        <w:t>2</w:t>
      </w:r>
      <w:r>
        <w:rPr>
          <w:rFonts w:hint="eastAsia" w:ascii="黑体" w:hAnsi="黑体" w:eastAsia="黑体" w:cs="黑体"/>
          <w:bCs/>
          <w:sz w:val="32"/>
          <w:szCs w:val="32"/>
        </w:rPr>
        <w:t>-1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w:t>
      </w:r>
      <w:r>
        <w:rPr>
          <w:rFonts w:hint="eastAsia" w:eastAsia="方正小标宋简体"/>
          <w:bCs/>
          <w:sz w:val="46"/>
          <w:szCs w:val="46"/>
          <w:u w:val="single"/>
        </w:rPr>
        <w:t>20</w:t>
      </w:r>
      <w:r>
        <w:rPr>
          <w:rFonts w:hint="eastAsia" w:eastAsia="方正小标宋简体"/>
          <w:bCs/>
          <w:sz w:val="46"/>
          <w:szCs w:val="46"/>
          <w:u w:val="single"/>
          <w:lang w:val="en-US" w:eastAsia="zh-CN"/>
        </w:rPr>
        <w:t>21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eastAsia="zh-CN"/>
        </w:rPr>
        <w:t>岳阳楼区东风湖新区建设工作部</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402001</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2022</w:t>
      </w:r>
      <w:r>
        <w:rPr>
          <w:rFonts w:hint="eastAsia" w:eastAsia="仿宋_GB2312"/>
          <w:sz w:val="32"/>
        </w:rPr>
        <w:t xml:space="preserve">年 </w:t>
      </w:r>
      <w:r>
        <w:rPr>
          <w:rFonts w:hint="eastAsia" w:eastAsia="仿宋_GB2312"/>
          <w:sz w:val="32"/>
          <w:lang w:val="en-US" w:eastAsia="zh-CN"/>
        </w:rPr>
        <w:t xml:space="preserve">5 </w:t>
      </w:r>
      <w:r>
        <w:rPr>
          <w:rFonts w:hint="eastAsia" w:eastAsia="仿宋_GB2312"/>
          <w:sz w:val="32"/>
        </w:rPr>
        <w:t>月</w:t>
      </w:r>
      <w:r>
        <w:rPr>
          <w:rFonts w:hint="eastAsia" w:eastAsia="仿宋_GB2312"/>
          <w:sz w:val="32"/>
          <w:lang w:val="en-US" w:eastAsia="zh-CN"/>
        </w:rPr>
        <w:t>18</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4"/>
        <w:tblW w:w="98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6"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Times New Roman" w:hAnsi="Times New Roman" w:eastAsia="仿宋_GB2312"/>
                <w:kern w:val="0"/>
                <w:sz w:val="24"/>
                <w:szCs w:val="24"/>
                <w:lang w:eastAsia="zh-CN"/>
              </w:rPr>
              <w:t>刘洋</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Times New Roman" w:hAnsi="Times New Roman" w:eastAsia="仿宋_GB2312"/>
                <w:kern w:val="0"/>
                <w:sz w:val="24"/>
                <w:szCs w:val="24"/>
                <w:lang w:val="en-US" w:eastAsia="zh-CN"/>
              </w:rPr>
              <w:t>15073066066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6"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98"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lang w:val="en-US" w:eastAsia="zh-CN"/>
              </w:rPr>
              <w:t xml:space="preserve">   </w:t>
            </w:r>
            <w:r>
              <w:rPr>
                <w:rFonts w:hint="eastAsia" w:ascii="仿宋_GB2312" w:hAnsi="仿宋_GB2312" w:eastAsia="仿宋_GB2312" w:cs="仿宋_GB2312"/>
                <w:color w:val="000000"/>
                <w:sz w:val="24"/>
              </w:rPr>
              <w:t>负责做好东风湖新区范围内的拆迁、控违和涉及地方事务协调等工作</w:t>
            </w:r>
            <w:r>
              <w:rPr>
                <w:rFonts w:hint="eastAsia" w:ascii="仿宋_GB2312" w:hAnsi="仿宋_GB2312" w:eastAsia="仿宋_GB2312" w:cs="仿宋_GB2312"/>
                <w:color w:val="000000"/>
                <w:sz w:val="24"/>
                <w:lang w:eastAsia="zh-CN"/>
              </w:rPr>
              <w:t>。</w:t>
            </w: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41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bCs/>
                <w:sz w:val="24"/>
                <w:szCs w:val="24"/>
                <w:lang w:val="en-US" w:eastAsia="zh-CN"/>
              </w:rPr>
            </w:pPr>
            <w:r>
              <w:rPr>
                <w:rFonts w:hint="eastAsia" w:ascii="仿宋_GB2312" w:hAnsi="仿宋_GB2312" w:eastAsia="仿宋_GB2312" w:cs="仿宋_GB2312"/>
                <w:bCs/>
                <w:sz w:val="24"/>
                <w:szCs w:val="24"/>
                <w:lang w:val="en-US" w:eastAsia="zh-CN"/>
              </w:rPr>
              <w:t>1：党建引领，全力夯实组织建设</w:t>
            </w:r>
          </w:p>
          <w:p>
            <w:pPr>
              <w:autoSpaceDN w:val="0"/>
              <w:spacing w:line="320" w:lineRule="exact"/>
              <w:jc w:val="left"/>
              <w:textAlignment w:val="center"/>
              <w:rPr>
                <w:rFonts w:hint="eastAsia" w:ascii="仿宋_GB2312" w:hAnsi="仿宋_GB2312" w:eastAsia="仿宋_GB2312" w:cs="仿宋_GB2312"/>
                <w:bCs/>
                <w:sz w:val="24"/>
                <w:szCs w:val="24"/>
                <w:lang w:val="en-US" w:eastAsia="zh-CN"/>
              </w:rPr>
            </w:pPr>
            <w:r>
              <w:rPr>
                <w:rFonts w:hint="eastAsia" w:ascii="仿宋_GB2312" w:hAnsi="仿宋_GB2312" w:eastAsia="仿宋_GB2312" w:cs="仿宋_GB2312"/>
                <w:bCs/>
                <w:sz w:val="24"/>
                <w:szCs w:val="24"/>
                <w:lang w:val="en-US" w:eastAsia="zh-CN"/>
              </w:rPr>
              <w:t>2：强化责任，着力抓好意识形态</w:t>
            </w:r>
          </w:p>
          <w:p>
            <w:pPr>
              <w:autoSpaceDN w:val="0"/>
              <w:spacing w:line="320" w:lineRule="exact"/>
              <w:jc w:val="left"/>
              <w:textAlignment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lang w:val="en-US" w:eastAsia="zh-CN"/>
              </w:rPr>
              <w:t>3：</w:t>
            </w:r>
            <w:r>
              <w:rPr>
                <w:rFonts w:hint="eastAsia" w:ascii="仿宋_GB2312" w:hAnsi="仿宋_GB2312" w:eastAsia="仿宋_GB2312" w:cs="仿宋_GB2312"/>
                <w:bCs/>
                <w:sz w:val="24"/>
                <w:szCs w:val="24"/>
              </w:rPr>
              <w:t>主动服务，合力推动项目建设</w:t>
            </w:r>
          </w:p>
          <w:p>
            <w:pPr>
              <w:autoSpaceDN w:val="0"/>
              <w:spacing w:line="320" w:lineRule="exact"/>
              <w:jc w:val="left"/>
              <w:textAlignment w:val="center"/>
              <w:rPr>
                <w:rFonts w:hint="default" w:ascii="仿宋_GB2312" w:hAnsi="仿宋_GB2312" w:eastAsia="仿宋_GB2312" w:cs="仿宋_GB2312"/>
                <w:bCs/>
                <w:sz w:val="24"/>
                <w:szCs w:val="24"/>
                <w:lang w:val="en-US" w:eastAsia="zh-CN"/>
              </w:rPr>
            </w:pPr>
            <w:r>
              <w:rPr>
                <w:rFonts w:hint="eastAsia" w:ascii="仿宋_GB2312" w:hAnsi="仿宋_GB2312" w:eastAsia="仿宋_GB2312" w:cs="仿宋_GB2312"/>
                <w:bCs/>
                <w:sz w:val="24"/>
                <w:szCs w:val="24"/>
                <w:lang w:val="en-US" w:eastAsia="zh-CN"/>
              </w:rPr>
              <w:t>4：</w:t>
            </w:r>
            <w:r>
              <w:rPr>
                <w:rFonts w:hint="eastAsia" w:ascii="仿宋_GB2312" w:hAnsi="仿宋_GB2312" w:eastAsia="仿宋_GB2312" w:cs="仿宋_GB2312"/>
                <w:bCs/>
                <w:sz w:val="24"/>
                <w:szCs w:val="24"/>
              </w:rPr>
              <w:t>统筹协调、扩大环境治理效果</w:t>
            </w:r>
          </w:p>
          <w:p>
            <w:pPr>
              <w:autoSpaceDN w:val="0"/>
              <w:spacing w:line="320" w:lineRule="exact"/>
              <w:jc w:val="left"/>
              <w:textAlignment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lang w:val="en-US" w:eastAsia="zh-CN"/>
              </w:rPr>
              <w:t>5：</w:t>
            </w:r>
            <w:r>
              <w:rPr>
                <w:rFonts w:hint="eastAsia" w:ascii="仿宋_GB2312" w:hAnsi="仿宋_GB2312" w:eastAsia="仿宋_GB2312" w:cs="仿宋_GB2312"/>
                <w:bCs/>
                <w:sz w:val="24"/>
                <w:szCs w:val="24"/>
              </w:rPr>
              <w:t>加强巡查，提升河长工作效率</w:t>
            </w:r>
          </w:p>
          <w:p>
            <w:pPr>
              <w:autoSpaceDN w:val="0"/>
              <w:spacing w:line="320" w:lineRule="exact"/>
              <w:jc w:val="left"/>
              <w:textAlignment w:val="center"/>
              <w:rPr>
                <w:rFonts w:hint="eastAsia" w:ascii="黑体" w:hAnsi="黑体" w:eastAsia="黑体" w:cs="黑体"/>
                <w:bCs/>
                <w:sz w:val="32"/>
                <w:szCs w:val="32"/>
                <w:lang w:val="en-US" w:eastAsia="zh-CN"/>
              </w:rPr>
            </w:pPr>
            <w:r>
              <w:rPr>
                <w:rFonts w:hint="eastAsia" w:ascii="仿宋_GB2312" w:hAnsi="仿宋_GB2312" w:eastAsia="仿宋_GB2312" w:cs="仿宋_GB2312"/>
                <w:bCs/>
                <w:sz w:val="24"/>
                <w:szCs w:val="24"/>
                <w:lang w:val="en-US" w:eastAsia="zh-CN"/>
              </w:rPr>
              <w:t>6</w:t>
            </w:r>
            <w:r>
              <w:rPr>
                <w:rFonts w:hint="eastAsia" w:ascii="仿宋_GB2312" w:hAnsi="仿宋_GB2312" w:eastAsia="仿宋_GB2312" w:cs="仿宋_GB2312"/>
                <w:bCs/>
                <w:sz w:val="24"/>
                <w:szCs w:val="24"/>
              </w:rPr>
              <w:t>、廉洁自律，狠抓党风廉政建设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23"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Cs/>
                <w:sz w:val="24"/>
                <w:szCs w:val="24"/>
                <w:lang w:val="en-US" w:eastAsia="zh-CN"/>
              </w:rPr>
              <w:t xml:space="preserve"> </w:t>
            </w:r>
            <w:r>
              <w:rPr>
                <w:rFonts w:hint="eastAsia" w:ascii="仿宋_GB2312" w:hAnsi="仿宋_GB2312" w:eastAsia="仿宋_GB2312" w:cs="仿宋_GB2312"/>
                <w:bCs/>
                <w:sz w:val="24"/>
                <w:szCs w:val="24"/>
              </w:rPr>
              <w:t>今年以来，我工作部以习近平新时代特色社会主义思想为指导，严格按照区委区政府的总体发展思路，坚持规划引领、征拆先行、治水同步、基础配套、产业升级的指导思想，确保各项工作高位推动、高效运转，各项建设呈现蓬勃发展态势，较好地完成了区委区政府下达的各项目标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3"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05"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00"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38"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岳阳楼区东风湖新区建设工作部</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113.99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113.99</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355"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7"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08"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52"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岳阳楼区东风湖新区建设工作部</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113.99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113.99</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60.41</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53.58</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65"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岳阳楼区东风湖新区建设工作部</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1.8</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43"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06"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30"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岳阳楼区东风湖新区建设工作部</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33.83</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33.83</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01"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vAlign w:val="center"/>
          </w:tcPr>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目标1：财政供养人员控制率100%，“三公”经费控制到位，重点项目资金安排到位。</w:t>
            </w:r>
          </w:p>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目标2：控制预算调整率，资金支付进度正常，资金结余控制到位，“三公”经费支出控制到位，资金管理和使用合规，信息公开完善，执行政府采购及公务卡使用规范。</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目标3：资产管理制度健全，安全管理，利用率100</w:t>
            </w: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w:t>
            </w:r>
          </w:p>
        </w:tc>
        <w:tc>
          <w:tcPr>
            <w:tcW w:w="4585" w:type="dxa"/>
            <w:gridSpan w:val="9"/>
            <w:vAlign w:val="center"/>
          </w:tcPr>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目标1：财政供养人员控制率100%，“三公”经费控制到位，重点项目资金安排到位。</w:t>
            </w:r>
          </w:p>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目标2：控制预算调整率，资金支付进度正常，资金结余控制到位，“三公”经费支出控制到位，资金管理和使用合规，信息公开完善，执行政府采购及公务卡使用规范。</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目标3：资产管理制度健全，安全管理，利用率100%。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一是加快棚改扫尾清零工作。二是合力推动产业项目建设。三是深入推进路网建设。</w:t>
            </w:r>
          </w:p>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9"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Cs/>
                <w:sz w:val="24"/>
                <w:szCs w:val="24"/>
              </w:rPr>
              <w:t>2017年至2018年启动的8个棚改项目，涉及征拆5608户已全部拆除；实现腾地约343亩。三峡集团东风湖底泥清淤及调蓄池建设工程已完成，现已完成清淤84.05万方。</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9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textDirection w:val="lrTb"/>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各项任务按时完成率</w:t>
            </w:r>
            <w:r>
              <w:rPr>
                <w:rFonts w:hint="eastAsia" w:ascii="Times New Roman" w:hAnsi="Times New Roman" w:eastAsia="仿宋_GB2312"/>
                <w:kern w:val="0"/>
                <w:sz w:val="24"/>
                <w:szCs w:val="24"/>
                <w:lang w:eastAsia="zh-CN"/>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13"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Merge w:val="restart"/>
            <w:textDirection w:val="lrTb"/>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Times New Roman" w:hAnsi="Times New Roman" w:eastAsia="仿宋_GB2312"/>
                <w:kern w:val="0"/>
                <w:sz w:val="24"/>
                <w:szCs w:val="24"/>
              </w:rPr>
              <w:t>严格控制各项支出</w:t>
            </w:r>
            <w:r>
              <w:rPr>
                <w:rFonts w:hint="eastAsia" w:ascii="Times New Roman" w:hAnsi="Times New Roman" w:eastAsia="仿宋_GB2312"/>
                <w:kern w:val="0"/>
                <w:sz w:val="24"/>
                <w:szCs w:val="24"/>
                <w:lang w:eastAsia="zh-CN"/>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textDirection w:val="lrTb"/>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社会治安稳定、无重大政治事件及安全生产事故</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textDirection w:val="lrTb"/>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Cs/>
                <w:sz w:val="24"/>
                <w:szCs w:val="24"/>
              </w:rPr>
              <w:t>工作部坚持项目导向，明确推进项目建设是打造“首善之区”的迫切需要，同时与区直部门单位、街道通力配合，克服畏难情绪，主动服务项目，提高办事效率，高效率推进、高标准保障、高质量完成重点项目建设。</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textDirection w:val="lrTb"/>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bCs/>
                <w:sz w:val="24"/>
                <w:szCs w:val="24"/>
              </w:rPr>
              <w:t>积极与市城投对接，并与属地街道、社区协调，合力解除东风湖水域和吉家湖、凉亭山水库全部养殖合同，收回经营权</w:t>
            </w:r>
            <w:r>
              <w:rPr>
                <w:rFonts w:hint="eastAsia" w:ascii="仿宋_GB2312" w:hAnsi="仿宋_GB2312" w:eastAsia="仿宋_GB2312" w:cs="仿宋_GB2312"/>
                <w:bCs/>
                <w:sz w:val="24"/>
                <w:szCs w:val="24"/>
                <w:lang w:eastAsia="zh-CN"/>
              </w:rPr>
              <w:t>，改善生态环境。</w:t>
            </w:r>
          </w:p>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263"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textDirection w:val="lrTb"/>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bCs/>
                <w:sz w:val="24"/>
                <w:szCs w:val="24"/>
                <w:lang w:val="en-US" w:eastAsia="zh-CN"/>
              </w:rPr>
              <w:t>2</w:t>
            </w:r>
            <w:r>
              <w:rPr>
                <w:rFonts w:hint="eastAsia" w:ascii="仿宋_GB2312" w:hAnsi="仿宋_GB2312" w:eastAsia="仿宋_GB2312" w:cs="仿宋_GB2312"/>
                <w:bCs/>
                <w:sz w:val="24"/>
                <w:szCs w:val="24"/>
              </w:rPr>
              <w:t>021年新启动的开发中路延伸线项目以及G353项目已开工建设；九华山路、新岳西路、沿湖路、延寿寺路已实现通车；丽珠路、建设北路南段、建设北路北段、外滩三路、天图路道路工程建设正有序进行。</w:t>
            </w:r>
            <w:r>
              <w:rPr>
                <w:rFonts w:hint="eastAsia" w:ascii="仿宋_GB2312" w:hAnsi="仿宋_GB2312" w:eastAsia="仿宋_GB2312" w:cs="仿宋_GB2312"/>
                <w:color w:val="000000"/>
                <w:sz w:val="24"/>
                <w:lang w:val="en-US" w:eastAsia="zh-CN"/>
              </w:rPr>
              <w:t>全力提高辖区百姓生活品质。</w:t>
            </w:r>
          </w:p>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96.2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黑体" w:hAnsi="黑体" w:eastAsia="黑体" w:cs="黑体"/>
                <w:color w:val="000000"/>
                <w:sz w:val="28"/>
                <w:szCs w:val="28"/>
              </w:rPr>
            </w:pP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熊亮</w:t>
            </w:r>
          </w:p>
        </w:tc>
        <w:tc>
          <w:tcPr>
            <w:tcW w:w="3561" w:type="dxa"/>
            <w:gridSpan w:val="6"/>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部长</w:t>
            </w:r>
          </w:p>
        </w:tc>
        <w:tc>
          <w:tcPr>
            <w:tcW w:w="1479" w:type="dxa"/>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岳阳楼区东风湖新区建设工作部</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周喆</w:t>
            </w:r>
          </w:p>
        </w:tc>
        <w:tc>
          <w:tcPr>
            <w:tcW w:w="3561" w:type="dxa"/>
            <w:gridSpan w:val="6"/>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副部长</w:t>
            </w:r>
          </w:p>
        </w:tc>
        <w:tc>
          <w:tcPr>
            <w:tcW w:w="1479" w:type="dxa"/>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岳阳楼区东风湖新区建设工作部</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卢小平</w:t>
            </w:r>
          </w:p>
        </w:tc>
        <w:tc>
          <w:tcPr>
            <w:tcW w:w="3561" w:type="dxa"/>
            <w:gridSpan w:val="6"/>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业务股股长</w:t>
            </w:r>
          </w:p>
        </w:tc>
        <w:tc>
          <w:tcPr>
            <w:tcW w:w="1479" w:type="dxa"/>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岳阳楼区东风湖新区建设工作部</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tbl>
      <w:tblPr>
        <w:tblStyle w:val="4"/>
        <w:tblW w:w="9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98" w:hRule="atLeast"/>
          <w:jc w:val="center"/>
        </w:trPr>
        <w:tc>
          <w:tcPr>
            <w:tcW w:w="9558" w:type="dxa"/>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640" w:firstLineChars="200"/>
              <w:rPr>
                <w:rFonts w:hint="eastAsia" w:ascii="仿宋_GB2312" w:hAnsi="仿宋_GB2312" w:eastAsia="仿宋_GB2312" w:cs="仿宋_GB2312"/>
                <w:bCs/>
                <w:sz w:val="28"/>
                <w:szCs w:val="28"/>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bCs/>
                <w:sz w:val="28"/>
                <w:szCs w:val="28"/>
              </w:rPr>
              <w:t>、机构设置</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现有人数</w:t>
            </w:r>
            <w:r>
              <w:rPr>
                <w:rFonts w:hint="eastAsia" w:ascii="仿宋_GB2312" w:hAnsi="仿宋_GB2312" w:eastAsia="仿宋_GB2312" w:cs="仿宋_GB2312"/>
                <w:bCs/>
                <w:sz w:val="28"/>
                <w:szCs w:val="28"/>
                <w:lang w:val="en-US" w:eastAsia="zh-CN"/>
              </w:rPr>
              <w:t>9</w:t>
            </w:r>
            <w:r>
              <w:rPr>
                <w:rFonts w:hint="eastAsia" w:ascii="仿宋_GB2312" w:hAnsi="仿宋_GB2312" w:eastAsia="仿宋_GB2312" w:cs="仿宋_GB2312"/>
                <w:bCs/>
                <w:sz w:val="28"/>
                <w:szCs w:val="28"/>
              </w:rPr>
              <w:t>人，其中：在职编制</w:t>
            </w:r>
            <w:r>
              <w:rPr>
                <w:rFonts w:hint="eastAsia" w:ascii="仿宋_GB2312" w:hAnsi="仿宋_GB2312" w:eastAsia="仿宋_GB2312" w:cs="仿宋_GB2312"/>
                <w:bCs/>
                <w:sz w:val="28"/>
                <w:szCs w:val="28"/>
                <w:lang w:val="en-US" w:eastAsia="zh-CN"/>
              </w:rPr>
              <w:t>5</w:t>
            </w:r>
            <w:r>
              <w:rPr>
                <w:rFonts w:hint="eastAsia" w:ascii="仿宋_GB2312" w:hAnsi="仿宋_GB2312" w:eastAsia="仿宋_GB2312" w:cs="仿宋_GB2312"/>
                <w:bCs/>
                <w:sz w:val="28"/>
                <w:szCs w:val="28"/>
              </w:rPr>
              <w:t>人。机关设置</w:t>
            </w:r>
            <w:r>
              <w:rPr>
                <w:rFonts w:hint="eastAsia" w:ascii="仿宋_GB2312" w:hAnsi="仿宋_GB2312" w:eastAsia="仿宋_GB2312" w:cs="仿宋_GB2312"/>
                <w:bCs/>
                <w:sz w:val="28"/>
                <w:szCs w:val="28"/>
                <w:lang w:val="en-US" w:eastAsia="zh-CN"/>
              </w:rPr>
              <w:t>3</w:t>
            </w:r>
            <w:r>
              <w:rPr>
                <w:rFonts w:hint="eastAsia" w:ascii="仿宋_GB2312" w:hAnsi="仿宋_GB2312" w:eastAsia="仿宋_GB2312" w:cs="仿宋_GB2312"/>
                <w:bCs/>
                <w:sz w:val="28"/>
                <w:szCs w:val="28"/>
              </w:rPr>
              <w:t>个股室：办公室、</w:t>
            </w:r>
            <w:r>
              <w:rPr>
                <w:rFonts w:hint="eastAsia" w:ascii="仿宋_GB2312" w:hAnsi="仿宋_GB2312" w:eastAsia="仿宋_GB2312" w:cs="仿宋_GB2312"/>
                <w:bCs/>
                <w:sz w:val="28"/>
                <w:szCs w:val="28"/>
                <w:lang w:eastAsia="zh-CN"/>
              </w:rPr>
              <w:t>业务</w:t>
            </w:r>
            <w:r>
              <w:rPr>
                <w:rFonts w:hint="eastAsia" w:ascii="仿宋_GB2312" w:hAnsi="仿宋_GB2312" w:eastAsia="仿宋_GB2312" w:cs="仿宋_GB2312"/>
                <w:bCs/>
                <w:sz w:val="28"/>
                <w:szCs w:val="28"/>
              </w:rPr>
              <w:t>股、</w:t>
            </w:r>
            <w:r>
              <w:rPr>
                <w:rFonts w:hint="eastAsia" w:ascii="仿宋_GB2312" w:hAnsi="仿宋_GB2312" w:eastAsia="仿宋_GB2312" w:cs="仿宋_GB2312"/>
                <w:bCs/>
                <w:sz w:val="28"/>
                <w:szCs w:val="28"/>
                <w:lang w:eastAsia="zh-CN"/>
              </w:rPr>
              <w:t>协调</w:t>
            </w:r>
            <w:r>
              <w:rPr>
                <w:rFonts w:hint="eastAsia" w:ascii="仿宋_GB2312" w:hAnsi="仿宋_GB2312" w:eastAsia="仿宋_GB2312" w:cs="仿宋_GB2312"/>
                <w:bCs/>
                <w:sz w:val="28"/>
                <w:szCs w:val="28"/>
              </w:rPr>
              <w:t>股。</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2</w:t>
            </w:r>
            <w:r>
              <w:rPr>
                <w:rFonts w:hint="eastAsia" w:ascii="仿宋_GB2312" w:hAnsi="仿宋_GB2312" w:eastAsia="仿宋_GB2312" w:cs="仿宋_GB2312"/>
                <w:bCs/>
                <w:sz w:val="28"/>
                <w:szCs w:val="28"/>
              </w:rPr>
              <w:t>、职能职责</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负责做好东风湖新区范围内的拆迁、控违和涉及地方事务协调等工作的区政府直属公益一类事业单位。</w:t>
            </w:r>
          </w:p>
          <w:p>
            <w:pPr>
              <w:numPr>
                <w:ilvl w:val="0"/>
                <w:numId w:val="1"/>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部门（单位）整体支出规模、使用方向和主要内容、涉及范围等</w:t>
            </w:r>
          </w:p>
          <w:p>
            <w:pPr>
              <w:spacing w:line="560" w:lineRule="exact"/>
              <w:ind w:firstLine="560" w:firstLineChars="200"/>
              <w:rPr>
                <w:rFonts w:hint="default" w:ascii="仿宋_GB2312" w:hAnsi="仿宋_GB2312" w:eastAsia="仿宋_GB2312" w:cs="仿宋_GB2312"/>
                <w:bCs/>
                <w:sz w:val="28"/>
                <w:szCs w:val="28"/>
                <w:lang w:val="en-US" w:eastAsia="zh-CN"/>
              </w:rPr>
            </w:pPr>
            <w:r>
              <w:rPr>
                <w:rFonts w:hint="eastAsia" w:ascii="仿宋" w:hAnsi="仿宋" w:eastAsia="宋体" w:cs="仿宋"/>
                <w:sz w:val="28"/>
                <w:szCs w:val="28"/>
                <w:lang w:val="en-US" w:eastAsia="zh-CN"/>
              </w:rPr>
              <w:t>2021</w:t>
            </w:r>
            <w:r>
              <w:rPr>
                <w:rFonts w:hint="eastAsia" w:ascii="仿宋" w:hAnsi="仿宋" w:eastAsia="仿宋" w:cs="仿宋"/>
                <w:sz w:val="28"/>
                <w:szCs w:val="28"/>
              </w:rPr>
              <w:t>年收入</w:t>
            </w:r>
            <w:r>
              <w:rPr>
                <w:rFonts w:hint="eastAsia" w:ascii="仿宋_GB2312" w:hAnsi="仿宋_GB2312" w:eastAsia="仿宋_GB2312" w:cs="仿宋_GB2312"/>
                <w:color w:val="000000"/>
                <w:sz w:val="24"/>
                <w:lang w:val="en-US" w:eastAsia="zh-CN"/>
              </w:rPr>
              <w:t>113.99</w:t>
            </w:r>
            <w:r>
              <w:rPr>
                <w:rFonts w:hint="eastAsia" w:ascii="仿宋_GB2312" w:hAnsi="仿宋_GB2312" w:eastAsia="仿宋_GB2312" w:cs="仿宋_GB2312"/>
                <w:bCs/>
                <w:sz w:val="28"/>
                <w:szCs w:val="28"/>
              </w:rPr>
              <w:t>万元，全</w:t>
            </w:r>
            <w:r>
              <w:rPr>
                <w:rFonts w:hint="eastAsia" w:ascii="仿宋" w:hAnsi="仿宋" w:eastAsia="仿宋" w:cs="仿宋"/>
                <w:sz w:val="28"/>
                <w:szCs w:val="28"/>
              </w:rPr>
              <w:t>部为财政拨款收入，支出</w:t>
            </w:r>
            <w:r>
              <w:rPr>
                <w:rFonts w:hint="eastAsia" w:ascii="仿宋_GB2312" w:hAnsi="仿宋_GB2312" w:eastAsia="仿宋_GB2312" w:cs="仿宋_GB2312"/>
                <w:color w:val="000000"/>
                <w:sz w:val="24"/>
                <w:lang w:val="en-US" w:eastAsia="zh-CN"/>
              </w:rPr>
              <w:t>113.99</w:t>
            </w:r>
            <w:r>
              <w:rPr>
                <w:rFonts w:hint="eastAsia" w:ascii="仿宋_GB2312" w:hAnsi="仿宋_GB2312" w:eastAsia="仿宋_GB2312" w:cs="仿宋_GB2312"/>
                <w:bCs/>
                <w:sz w:val="28"/>
                <w:szCs w:val="28"/>
              </w:rPr>
              <w:t>万元，</w:t>
            </w:r>
            <w:r>
              <w:rPr>
                <w:rFonts w:hint="eastAsia" w:ascii="仿宋" w:hAnsi="仿宋" w:eastAsia="仿宋" w:cs="仿宋"/>
                <w:sz w:val="28"/>
                <w:szCs w:val="28"/>
              </w:rPr>
              <w:t>全部为基本支出。</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年保障单位机构正常运转、完成日常工作任务而发生的各项支出为</w:t>
            </w:r>
            <w:r>
              <w:rPr>
                <w:rFonts w:hint="eastAsia"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color w:val="000000"/>
                <w:sz w:val="24"/>
                <w:lang w:val="en-US" w:eastAsia="zh-CN"/>
              </w:rPr>
              <w:t>113.99</w:t>
            </w:r>
            <w:r>
              <w:rPr>
                <w:rFonts w:hint="eastAsia" w:ascii="仿宋_GB2312" w:hAnsi="仿宋_GB2312" w:eastAsia="仿宋_GB2312" w:cs="仿宋_GB2312"/>
                <w:bCs/>
                <w:sz w:val="28"/>
                <w:szCs w:val="28"/>
              </w:rPr>
              <w:t>万元，包括人员基本工资、津贴补贴等人员经费以及办公费、印刷费、水电费、办公设备购置等。“三公”经费为公务接待费共计</w:t>
            </w:r>
            <w:r>
              <w:rPr>
                <w:rFonts w:hint="eastAsia" w:ascii="仿宋_GB2312" w:hAnsi="仿宋_GB2312" w:eastAsia="仿宋_GB2312" w:cs="仿宋_GB2312"/>
                <w:bCs/>
                <w:sz w:val="28"/>
                <w:szCs w:val="28"/>
                <w:lang w:val="en-US" w:eastAsia="zh-CN"/>
              </w:rPr>
              <w:t>1.8</w:t>
            </w:r>
            <w:r>
              <w:rPr>
                <w:rFonts w:hint="eastAsia" w:ascii="仿宋_GB2312" w:hAnsi="仿宋_GB2312" w:eastAsia="仿宋_GB2312" w:cs="仿宋_GB2312"/>
                <w:bCs/>
                <w:sz w:val="28"/>
                <w:szCs w:val="28"/>
              </w:rPr>
              <w:t>万元，主要用于加班用餐。</w:t>
            </w:r>
          </w:p>
          <w:p>
            <w:pPr>
              <w:numPr>
                <w:ilvl w:val="0"/>
                <w:numId w:val="2"/>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年本单位无专项支出。</w:t>
            </w:r>
          </w:p>
          <w:p>
            <w:pPr>
              <w:spacing w:line="560" w:lineRule="exact"/>
              <w:ind w:firstLine="560" w:firstLineChars="200"/>
              <w:rPr>
                <w:rFonts w:hint="default" w:ascii="仿宋_GB2312" w:hAnsi="仿宋_GB2312" w:eastAsia="仿宋_GB2312" w:cs="仿宋_GB2312"/>
                <w:bCs/>
                <w:sz w:val="28"/>
                <w:szCs w:val="28"/>
                <w:lang w:val="en-US" w:eastAsia="zh-CN"/>
              </w:rPr>
            </w:pPr>
            <w:r>
              <w:rPr>
                <w:rFonts w:hint="eastAsia" w:ascii="黑体" w:hAnsi="黑体" w:eastAsia="黑体" w:cs="黑体"/>
                <w:bCs/>
                <w:sz w:val="28"/>
                <w:szCs w:val="28"/>
              </w:rPr>
              <w:t>三、部门（单位）专项组织实施情况</w:t>
            </w:r>
          </w:p>
          <w:p>
            <w:pPr>
              <w:spacing w:line="56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 xml:space="preserve"> 2021年本单位本着专款专用的原则，专项支出基本做到了按规定使用财政资金。</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numPr>
                <w:ilvl w:val="0"/>
                <w:numId w:val="0"/>
              </w:numPr>
              <w:spacing w:line="560" w:lineRule="exact"/>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经济性分析：2021年本单位支出总额控制在预算总额以内，本单位预算资金均按规定管理使用，本着控制成本，合理开支，厉行节约的原则，开展了一系列工作和活动。</w:t>
            </w:r>
          </w:p>
          <w:p>
            <w:pPr>
              <w:spacing w:line="560" w:lineRule="exact"/>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效率性分析：2021年本单位按照时效目标完成持续创优产业建设项目服务，督促落实环境治理工程征拆，协调推进绿化景观带及道路建设，高效保障新区开发建设各项工作顺利推进。</w:t>
            </w:r>
          </w:p>
          <w:p>
            <w:pPr>
              <w:keepNext w:val="0"/>
              <w:keepLines w:val="0"/>
              <w:pageBreakBefore w:val="0"/>
              <w:widowControl w:val="0"/>
              <w:kinsoku/>
              <w:wordWrap/>
              <w:overflowPunct/>
              <w:topLinePunct w:val="0"/>
              <w:autoSpaceDE/>
              <w:autoSpaceDN w:val="0"/>
              <w:bidi w:val="0"/>
              <w:adjustRightInd/>
              <w:snapToGrid/>
              <w:spacing w:line="560" w:lineRule="exact"/>
              <w:ind w:left="0" w:leftChars="0" w:right="0" w:rightChars="0" w:firstLine="560" w:firstLineChars="200"/>
              <w:jc w:val="both"/>
              <w:textAlignment w:val="center"/>
              <w:outlineLvl w:val="9"/>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 xml:space="preserve">  有效性分析：一是加快棚改扫尾清零工作。目前， 2017年至2018年启动的8个棚改项目，涉及征拆5608户已全部拆除；涉及公产征拆的项目，七里山棚改项目同联药业已完成签约，实现腾地约343亩。二是合力推动产业项目建设。目前，金茂·洞庭生态创新城产业项目建设已完成第四批次建设，实现房屋销售2000多套；湖鲜小镇、洞庭明珠塔因楼层数据因素暂缓建设正在与相关部门对接；东风湖学校项目已启动，正在进行风险评估；三是深入推进路网建设。目前，2021年新启动的开发中路延伸线项目以及G353项目已开工建设；九华山路、新岳西路、沿湖路、延寿寺路已实现通车；丽珠路、建设北路南段、建设北路北段、外滩三路、天图路道路工程建设正有序进行。</w:t>
            </w:r>
          </w:p>
          <w:p>
            <w:pPr>
              <w:keepNext w:val="0"/>
              <w:keepLines w:val="0"/>
              <w:pageBreakBefore w:val="0"/>
              <w:widowControl w:val="0"/>
              <w:kinsoku/>
              <w:wordWrap/>
              <w:overflowPunct/>
              <w:topLinePunct w:val="0"/>
              <w:autoSpaceDE/>
              <w:autoSpaceDN w:val="0"/>
              <w:bidi w:val="0"/>
              <w:adjustRightInd/>
              <w:snapToGrid/>
              <w:spacing w:line="560" w:lineRule="exact"/>
              <w:ind w:left="0" w:leftChars="0" w:right="0" w:rightChars="0" w:firstLine="560" w:firstLineChars="200"/>
              <w:jc w:val="both"/>
              <w:textAlignment w:val="center"/>
              <w:outlineLvl w:val="9"/>
              <w:rPr>
                <w:rFonts w:hint="default"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可持续性分析：根据《岳阳市东风湖流域生态环境治理提质升级实施方案》，我工作部进一步细化分解了工作任务，迅速启动实施推进流域范围内文明创建水污染防治行动。一是重新调整了环境治理工程工作任务清单，确保三峡集团实施的东风湖水环境治理一期工程建设顺利推进，目前，三峡集团东风湖底泥清淤及调蓄池建设工程已完成，现已完成清淤84.05万方。二是通过设立东风湖生态环境保护公示牌、发放宣传画册等多种途径和方式，加大了宣传力度，努力提高广大群众的生态环境保护意识。三是对西瓜山电排市政工程排渍通道填埋情况进行了交办，对德胜北路道路冲洗后泥浆水入湖问题进行了处理，同时对破坏东风湖水环境的违法行为及时向社会公开，加强社会监督，扩大治理效果。</w:t>
            </w:r>
          </w:p>
          <w:p>
            <w:pPr>
              <w:numPr>
                <w:ilvl w:val="0"/>
                <w:numId w:val="3"/>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存在的主要问题</w:t>
            </w:r>
          </w:p>
          <w:p>
            <w:pPr>
              <w:spacing w:line="560" w:lineRule="exact"/>
              <w:ind w:firstLine="64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主要存在问题财务管理方面的内部制度需进一步完善，财务人员业务水平需进一步提升，</w:t>
            </w:r>
            <w:r>
              <w:rPr>
                <w:rFonts w:hint="eastAsia" w:ascii="仿宋_GB2312" w:hAnsi="仿宋_GB2312" w:eastAsia="仿宋_GB2312" w:cs="仿宋_GB2312"/>
                <w:bCs/>
                <w:sz w:val="28"/>
                <w:szCs w:val="28"/>
              </w:rPr>
              <w:t>预算根据可预见的工作任务</w:t>
            </w:r>
            <w:r>
              <w:rPr>
                <w:rFonts w:hint="eastAsia" w:ascii="仿宋_GB2312" w:hAnsi="仿宋_GB2312" w:eastAsia="仿宋_GB2312" w:cs="仿宋_GB2312"/>
                <w:bCs/>
                <w:sz w:val="28"/>
                <w:szCs w:val="28"/>
                <w:lang w:eastAsia="zh-CN"/>
              </w:rPr>
              <w:t>编制</w:t>
            </w:r>
            <w:r>
              <w:rPr>
                <w:rFonts w:hint="eastAsia" w:ascii="仿宋_GB2312" w:hAnsi="仿宋_GB2312" w:eastAsia="仿宋_GB2312" w:cs="仿宋_GB2312"/>
                <w:bCs/>
                <w:sz w:val="28"/>
                <w:szCs w:val="28"/>
              </w:rPr>
              <w:t>，确定了</w:t>
            </w:r>
            <w:r>
              <w:rPr>
                <w:rFonts w:hint="eastAsia" w:ascii="仿宋_GB2312" w:hAnsi="仿宋_GB2312" w:eastAsia="仿宋_GB2312" w:cs="仿宋_GB2312"/>
                <w:bCs/>
                <w:sz w:val="28"/>
                <w:szCs w:val="28"/>
                <w:lang w:eastAsia="zh-CN"/>
              </w:rPr>
              <w:t>部门年度</w:t>
            </w:r>
            <w:r>
              <w:rPr>
                <w:rFonts w:hint="eastAsia" w:ascii="仿宋_GB2312" w:hAnsi="仿宋_GB2312" w:eastAsia="仿宋_GB2312" w:cs="仿宋_GB2312"/>
                <w:bCs/>
                <w:sz w:val="28"/>
                <w:szCs w:val="28"/>
              </w:rPr>
              <w:t>预算目标，细化了预算指标，但</w:t>
            </w:r>
            <w:r>
              <w:rPr>
                <w:rFonts w:hint="eastAsia" w:ascii="仿宋_GB2312" w:hAnsi="仿宋_GB2312" w:eastAsia="仿宋_GB2312" w:cs="仿宋_GB2312"/>
                <w:bCs/>
                <w:sz w:val="28"/>
                <w:szCs w:val="28"/>
                <w:lang w:eastAsia="zh-CN"/>
              </w:rPr>
              <w:t>因</w:t>
            </w:r>
            <w:r>
              <w:rPr>
                <w:rFonts w:hint="eastAsia" w:ascii="仿宋_GB2312" w:hAnsi="仿宋_GB2312" w:eastAsia="仿宋_GB2312" w:cs="仿宋_GB2312"/>
                <w:bCs/>
                <w:sz w:val="28"/>
                <w:szCs w:val="28"/>
              </w:rPr>
              <w:t>实际</w:t>
            </w:r>
            <w:r>
              <w:rPr>
                <w:rFonts w:hint="eastAsia" w:ascii="仿宋_GB2312" w:hAnsi="仿宋_GB2312" w:eastAsia="仿宋_GB2312" w:cs="仿宋_GB2312"/>
                <w:bCs/>
                <w:sz w:val="28"/>
                <w:szCs w:val="28"/>
                <w:lang w:eastAsia="zh-CN"/>
              </w:rPr>
              <w:t>工作有部分变化</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eastAsia="zh-CN"/>
              </w:rPr>
              <w:t>少部分</w:t>
            </w:r>
            <w:r>
              <w:rPr>
                <w:rFonts w:hint="eastAsia" w:ascii="仿宋_GB2312" w:hAnsi="仿宋_GB2312" w:eastAsia="仿宋_GB2312" w:cs="仿宋_GB2312"/>
                <w:bCs/>
                <w:sz w:val="28"/>
                <w:szCs w:val="28"/>
              </w:rPr>
              <w:t>未严格按照预算执行。</w:t>
            </w:r>
            <w:bookmarkStart w:id="0" w:name="_GoBack"/>
            <w:bookmarkEnd w:id="0"/>
          </w:p>
          <w:p>
            <w:pPr>
              <w:numPr>
                <w:ilvl w:val="0"/>
                <w:numId w:val="3"/>
              </w:numPr>
              <w:spacing w:line="560" w:lineRule="exact"/>
              <w:ind w:left="0" w:leftChars="0" w:firstLine="560" w:firstLineChars="200"/>
              <w:rPr>
                <w:rFonts w:hint="eastAsia" w:ascii="黑体" w:hAnsi="黑体" w:eastAsia="黑体" w:cs="黑体"/>
                <w:bCs/>
                <w:sz w:val="28"/>
                <w:szCs w:val="28"/>
              </w:rPr>
            </w:pPr>
            <w:r>
              <w:rPr>
                <w:rFonts w:hint="eastAsia" w:ascii="黑体" w:hAnsi="黑体" w:eastAsia="黑体" w:cs="黑体"/>
                <w:bCs/>
                <w:sz w:val="28"/>
                <w:szCs w:val="28"/>
              </w:rPr>
              <w:t>改进措施和有关建议</w:t>
            </w:r>
          </w:p>
          <w:p>
            <w:pPr>
              <w:spacing w:line="40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一是进一步完善机关财务制度。</w:t>
            </w:r>
          </w:p>
          <w:p>
            <w:pPr>
              <w:spacing w:line="40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二是加强财务人员的业务培训和能力提升。</w:t>
            </w:r>
          </w:p>
          <w:p>
            <w:pPr>
              <w:spacing w:line="40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三是</w:t>
            </w:r>
            <w:r>
              <w:rPr>
                <w:rFonts w:hint="eastAsia" w:ascii="仿宋_GB2312" w:hAnsi="仿宋_GB2312" w:eastAsia="仿宋_GB2312" w:cs="仿宋_GB2312"/>
                <w:bCs/>
                <w:sz w:val="28"/>
                <w:szCs w:val="28"/>
              </w:rPr>
              <w:t>进一步提</w:t>
            </w:r>
            <w:r>
              <w:rPr>
                <w:rFonts w:hint="eastAsia" w:ascii="仿宋_GB2312" w:hAnsi="仿宋_GB2312" w:eastAsia="仿宋_GB2312" w:cs="仿宋_GB2312"/>
                <w:bCs/>
                <w:sz w:val="28"/>
                <w:szCs w:val="28"/>
                <w:lang w:eastAsia="zh-CN"/>
              </w:rPr>
              <w:t>升</w:t>
            </w:r>
            <w:r>
              <w:rPr>
                <w:rFonts w:hint="eastAsia" w:ascii="仿宋_GB2312" w:hAnsi="仿宋_GB2312" w:eastAsia="仿宋_GB2312" w:cs="仿宋_GB2312"/>
                <w:bCs/>
                <w:sz w:val="28"/>
                <w:szCs w:val="28"/>
              </w:rPr>
              <w:t>预算编制的科学性、合理性、严谨性和可控性。</w:t>
            </w:r>
          </w:p>
          <w:p>
            <w:pPr>
              <w:spacing w:line="400" w:lineRule="exact"/>
              <w:ind w:firstLine="560" w:firstLineChars="200"/>
              <w:rPr>
                <w:rFonts w:ascii="仿宋_GB2312" w:hAnsi="仿宋_GB2312" w:eastAsia="仿宋_GB2312" w:cs="仿宋_GB2312"/>
                <w:bCs/>
                <w:sz w:val="28"/>
                <w:szCs w:val="28"/>
              </w:rPr>
            </w:pPr>
          </w:p>
          <w:p>
            <w:pPr>
              <w:rPr>
                <w:rFonts w:eastAsia="楷体_GB2312"/>
                <w:bCs/>
                <w:sz w:val="28"/>
                <w:szCs w:val="28"/>
              </w:rPr>
            </w:pPr>
          </w:p>
        </w:tc>
      </w:tr>
    </w:tbl>
    <w:p>
      <w:pPr>
        <w:spacing w:line="348" w:lineRule="auto"/>
        <w:rPr>
          <w:rFonts w:hint="eastAsia" w:eastAsia="黑体" w:cs="黑体"/>
          <w:bCs/>
          <w:sz w:val="32"/>
          <w:szCs w:val="32"/>
        </w:rPr>
      </w:pPr>
    </w:p>
    <w:p>
      <w:pPr>
        <w:spacing w:line="348" w:lineRule="auto"/>
        <w:rPr>
          <w:rFonts w:hint="eastAsia" w:eastAsia="黑体" w:cs="黑体"/>
          <w:bCs/>
          <w:sz w:val="32"/>
          <w:szCs w:val="32"/>
        </w:rPr>
      </w:pPr>
      <w:r>
        <w:rPr>
          <w:rFonts w:hint="eastAsia" w:eastAsia="黑体" w:cs="黑体"/>
          <w:bCs/>
          <w:sz w:val="32"/>
          <w:szCs w:val="32"/>
        </w:rPr>
        <w:t>附件</w:t>
      </w:r>
      <w:r>
        <w:rPr>
          <w:rFonts w:hint="eastAsia" w:eastAsia="黑体" w:cs="黑体"/>
          <w:bCs/>
          <w:sz w:val="32"/>
          <w:szCs w:val="32"/>
          <w:lang w:val="en-US" w:eastAsia="zh-CN"/>
        </w:rPr>
        <w:t>2</w:t>
      </w:r>
      <w:r>
        <w:rPr>
          <w:rFonts w:hint="eastAsia" w:eastAsia="黑体" w:cs="黑体"/>
          <w:bCs/>
          <w:sz w:val="32"/>
          <w:szCs w:val="32"/>
        </w:rPr>
        <w:t>-2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4"/>
        <w:tblW w:w="9894" w:type="dxa"/>
        <w:jc w:val="center"/>
        <w:tblInd w:w="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textDirection w:val="lrTb"/>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textDirection w:val="lrTb"/>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textDirection w:val="lrTb"/>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textDirection w:val="lrTb"/>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textDirection w:val="lrTb"/>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textDirection w:val="lrTb"/>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textDirection w:val="lrTb"/>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textDirection w:val="lrTb"/>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4"/>
        <w:tblW w:w="9894" w:type="dxa"/>
        <w:jc w:val="center"/>
        <w:tblInd w:w="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6.2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4.8</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textDirection w:val="lrTb"/>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textDirection w:val="lrTb"/>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lang w:val="en-US" w:eastAsia="zh-CN"/>
              </w:rPr>
              <w:t>96.2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swiss"/>
    <w:pitch w:val="default"/>
    <w:sig w:usb0="E0002AFF" w:usb1="C0007843" w:usb2="00000009" w:usb3="00000000" w:csb0="400001FF" w:csb1="FFFF0000"/>
  </w:font>
  <w:font w:name="华文宋体">
    <w:altName w:val="宋体"/>
    <w:panose1 w:val="02010600040101010101"/>
    <w:charset w:val="86"/>
    <w:family w:val="auto"/>
    <w:pitch w:val="default"/>
    <w:sig w:usb0="00000000" w:usb1="00000000" w:usb2="00000010" w:usb3="00000000" w:csb0="0004009F" w:csb1="00000000"/>
  </w:font>
  <w:font w:name="hakuyoxingshu7000">
    <w:altName w:val="宋体"/>
    <w:panose1 w:val="02000600000000000000"/>
    <w:charset w:val="86"/>
    <w:family w:val="auto"/>
    <w:pitch w:val="default"/>
    <w:sig w:usb0="00000000" w:usb1="00000000" w:usb2="0000003F" w:usb3="00000000" w:csb0="603F00FF" w:csb1="FFFF0000"/>
  </w:font>
  <w:font w:name="ˎ̥">
    <w:altName w:val="Times New Roman"/>
    <w:panose1 w:val="00000000000000000000"/>
    <w:charset w:val="00"/>
    <w:family w:val="roman"/>
    <w:pitch w:val="default"/>
    <w:sig w:usb0="00000000" w:usb1="00000000" w:usb2="00000000" w:usb3="00000000" w:csb0="00040001" w:csb1="00000000"/>
  </w:font>
  <w:font w:name="仿宋">
    <w:altName w:val="仿宋_GB2312"/>
    <w:panose1 w:val="02010609060101010101"/>
    <w:charset w:val="86"/>
    <w:family w:val="modern"/>
    <w:pitch w:val="default"/>
    <w:sig w:usb0="00000000" w:usb1="00000000" w:usb2="00000000" w:usb3="00000000" w:csb0="00000000" w:csb1="00000000"/>
  </w:font>
  <w:font w:name="Microsoft YaHei UI">
    <w:altName w:val="宋体"/>
    <w:panose1 w:val="020B0503020204020204"/>
    <w:charset w:val="86"/>
    <w:family w:val="swiss"/>
    <w:pitch w:val="default"/>
    <w:sig w:usb0="00000000" w:usb1="00000000"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 w:name="华文中宋">
    <w:panose1 w:val="02010600040101010101"/>
    <w:charset w:val="86"/>
    <w:family w:val="auto"/>
    <w:pitch w:val="default"/>
    <w:sig w:usb0="00000287" w:usb1="080F0000" w:usb2="00000000" w:usb3="00000000" w:csb0="0004009F" w:csb1="DFD70000"/>
  </w:font>
  <w:font w:name="方正仿宋简体">
    <w:altName w:val="微软雅黑"/>
    <w:panose1 w:val="03000509000000000000"/>
    <w:charset w:val="86"/>
    <w:family w:val="auto"/>
    <w:pitch w:val="default"/>
    <w:sig w:usb0="00000000" w:usb1="00000000" w:usb2="00000000" w:usb3="00000000" w:csb0="00040000" w:csb1="00000000"/>
  </w:font>
  <w:font w:name="Microsoft Yahei ! importan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Verdana">
    <w:panose1 w:val="020B0604030504040204"/>
    <w:charset w:val="00"/>
    <w:family w:val="auto"/>
    <w:pitch w:val="default"/>
    <w:sig w:usb0="A10006FF" w:usb1="4000205B" w:usb2="0000001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方正小标宋简体">
    <w:altName w:val="微软雅黑"/>
    <w:panose1 w:val="00000000000000000000"/>
    <w:charset w:val="00"/>
    <w:family w:val="auto"/>
    <w:pitch w:val="default"/>
    <w:sig w:usb0="00000000" w:usb1="00000000" w:usb2="00000000" w:usb3="00000000" w:csb0="00000000" w:csb1="00000000"/>
  </w:font>
  <w:font w:name="仿宋">
    <w:altName w:val="仿宋_GB2312"/>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SFMono-Regular">
    <w:altName w:val="Segoe Print"/>
    <w:panose1 w:val="00000000000000000000"/>
    <w:charset w:val="00"/>
    <w:family w:val="auto"/>
    <w:pitch w:val="default"/>
    <w:sig w:usb0="00000000" w:usb1="00000000" w:usb2="00000000" w:usb3="00000000" w:csb0="00040001" w:csb1="00000000"/>
  </w:font>
  <w:font w:name="等线">
    <w:altName w:val="宋体"/>
    <w:panose1 w:val="02010600030101010101"/>
    <w:charset w:val="86"/>
    <w:family w:val="auto"/>
    <w:pitch w:val="default"/>
    <w:sig w:usb0="00000000" w:usb1="00000000"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21759FC"/>
    <w:multiLevelType w:val="singleLevel"/>
    <w:tmpl w:val="B21759FC"/>
    <w:lvl w:ilvl="0" w:tentative="0">
      <w:start w:val="2"/>
      <w:numFmt w:val="chineseCounting"/>
      <w:suff w:val="nothing"/>
      <w:lvlText w:val="（%1）"/>
      <w:lvlJc w:val="left"/>
      <w:rPr>
        <w:rFonts w:hint="eastAsia"/>
      </w:rPr>
    </w:lvl>
  </w:abstractNum>
  <w:abstractNum w:abstractNumId="1">
    <w:nsid w:val="4836FEC1"/>
    <w:multiLevelType w:val="singleLevel"/>
    <w:tmpl w:val="4836FEC1"/>
    <w:lvl w:ilvl="0" w:tentative="0">
      <w:start w:val="5"/>
      <w:numFmt w:val="chineseCounting"/>
      <w:suff w:val="nothing"/>
      <w:lvlText w:val="%1、"/>
      <w:lvlJc w:val="left"/>
      <w:rPr>
        <w:rFonts w:hint="eastAsia"/>
      </w:rPr>
    </w:lvl>
  </w:abstractNum>
  <w:abstractNum w:abstractNumId="2">
    <w:nsid w:val="628211CB"/>
    <w:multiLevelType w:val="singleLevel"/>
    <w:tmpl w:val="628211CB"/>
    <w:lvl w:ilvl="0" w:tentative="0">
      <w:start w:val="2"/>
      <w:numFmt w:val="chineseCounting"/>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933DBD"/>
    <w:rsid w:val="018C43FB"/>
    <w:rsid w:val="01F32083"/>
    <w:rsid w:val="03164B72"/>
    <w:rsid w:val="039D4A68"/>
    <w:rsid w:val="05CA6DE5"/>
    <w:rsid w:val="06A601B6"/>
    <w:rsid w:val="07147B5C"/>
    <w:rsid w:val="07747DD9"/>
    <w:rsid w:val="089D4F0C"/>
    <w:rsid w:val="093D22F2"/>
    <w:rsid w:val="0AD671E2"/>
    <w:rsid w:val="0BA51C74"/>
    <w:rsid w:val="0BCB12EB"/>
    <w:rsid w:val="0BD81E49"/>
    <w:rsid w:val="0C063DA2"/>
    <w:rsid w:val="0C21173F"/>
    <w:rsid w:val="0C8A6C1E"/>
    <w:rsid w:val="0D040F18"/>
    <w:rsid w:val="0D0A4D08"/>
    <w:rsid w:val="0ED461A7"/>
    <w:rsid w:val="104E28BD"/>
    <w:rsid w:val="121B6051"/>
    <w:rsid w:val="12C03C67"/>
    <w:rsid w:val="14066A00"/>
    <w:rsid w:val="14811742"/>
    <w:rsid w:val="15782099"/>
    <w:rsid w:val="15AB6C1C"/>
    <w:rsid w:val="16BD6DD3"/>
    <w:rsid w:val="17661A0B"/>
    <w:rsid w:val="17E6118A"/>
    <w:rsid w:val="188A42EA"/>
    <w:rsid w:val="18997889"/>
    <w:rsid w:val="19DB51CC"/>
    <w:rsid w:val="19E96873"/>
    <w:rsid w:val="1A391AD5"/>
    <w:rsid w:val="1B2F2A0A"/>
    <w:rsid w:val="1B501041"/>
    <w:rsid w:val="1B6B7CE5"/>
    <w:rsid w:val="1C735B68"/>
    <w:rsid w:val="1E976454"/>
    <w:rsid w:val="1EBA5EA3"/>
    <w:rsid w:val="1EE44B4D"/>
    <w:rsid w:val="1F1208B9"/>
    <w:rsid w:val="20ED307E"/>
    <w:rsid w:val="23F305AE"/>
    <w:rsid w:val="2404629F"/>
    <w:rsid w:val="245744A6"/>
    <w:rsid w:val="24F40DF5"/>
    <w:rsid w:val="24F6486A"/>
    <w:rsid w:val="25CF0EA0"/>
    <w:rsid w:val="26EF0B07"/>
    <w:rsid w:val="26FE3BA2"/>
    <w:rsid w:val="270425ED"/>
    <w:rsid w:val="270437D7"/>
    <w:rsid w:val="2ADE1B8B"/>
    <w:rsid w:val="2BC302FE"/>
    <w:rsid w:val="2C877DB9"/>
    <w:rsid w:val="2F6E242E"/>
    <w:rsid w:val="2FE541D8"/>
    <w:rsid w:val="306853C0"/>
    <w:rsid w:val="33AA19BE"/>
    <w:rsid w:val="33F844C8"/>
    <w:rsid w:val="34CD4258"/>
    <w:rsid w:val="350661EF"/>
    <w:rsid w:val="35193786"/>
    <w:rsid w:val="37F43B3A"/>
    <w:rsid w:val="383D6DEA"/>
    <w:rsid w:val="384270CB"/>
    <w:rsid w:val="39C4589E"/>
    <w:rsid w:val="3A785FD2"/>
    <w:rsid w:val="3A826699"/>
    <w:rsid w:val="3AF52FAB"/>
    <w:rsid w:val="3C055B59"/>
    <w:rsid w:val="3CC6362F"/>
    <w:rsid w:val="3DA530D2"/>
    <w:rsid w:val="3DD30751"/>
    <w:rsid w:val="3E25107D"/>
    <w:rsid w:val="3E5820F1"/>
    <w:rsid w:val="3E9D7F27"/>
    <w:rsid w:val="40E85234"/>
    <w:rsid w:val="41AD62B9"/>
    <w:rsid w:val="43AC12DD"/>
    <w:rsid w:val="442413DA"/>
    <w:rsid w:val="442B5D84"/>
    <w:rsid w:val="442E2C68"/>
    <w:rsid w:val="457B28F1"/>
    <w:rsid w:val="45E61F32"/>
    <w:rsid w:val="46096264"/>
    <w:rsid w:val="462108BB"/>
    <w:rsid w:val="462961CD"/>
    <w:rsid w:val="464F7800"/>
    <w:rsid w:val="46C418AF"/>
    <w:rsid w:val="46D64E1D"/>
    <w:rsid w:val="4783087F"/>
    <w:rsid w:val="479305EC"/>
    <w:rsid w:val="493F20AE"/>
    <w:rsid w:val="494A6641"/>
    <w:rsid w:val="495968FF"/>
    <w:rsid w:val="4B871990"/>
    <w:rsid w:val="4C6E3A69"/>
    <w:rsid w:val="4E4F27BC"/>
    <w:rsid w:val="4E8E0090"/>
    <w:rsid w:val="4F685498"/>
    <w:rsid w:val="4F7550F9"/>
    <w:rsid w:val="513A0428"/>
    <w:rsid w:val="518C098C"/>
    <w:rsid w:val="53B11346"/>
    <w:rsid w:val="55877487"/>
    <w:rsid w:val="55A961FC"/>
    <w:rsid w:val="56904FAE"/>
    <w:rsid w:val="57BD5C6D"/>
    <w:rsid w:val="58227F98"/>
    <w:rsid w:val="58FA2D4C"/>
    <w:rsid w:val="5C42282E"/>
    <w:rsid w:val="5C9C27F9"/>
    <w:rsid w:val="5D6F33AB"/>
    <w:rsid w:val="5D86530E"/>
    <w:rsid w:val="5DFD5DF8"/>
    <w:rsid w:val="5EA55EB7"/>
    <w:rsid w:val="5EB769E6"/>
    <w:rsid w:val="5FB80E84"/>
    <w:rsid w:val="611415E4"/>
    <w:rsid w:val="6182728D"/>
    <w:rsid w:val="62037290"/>
    <w:rsid w:val="62C62888"/>
    <w:rsid w:val="6421001E"/>
    <w:rsid w:val="64232096"/>
    <w:rsid w:val="66F549B7"/>
    <w:rsid w:val="679F252B"/>
    <w:rsid w:val="68903DD8"/>
    <w:rsid w:val="69534A47"/>
    <w:rsid w:val="6B4A2F50"/>
    <w:rsid w:val="6D2247A3"/>
    <w:rsid w:val="6D4C508B"/>
    <w:rsid w:val="6D883B5B"/>
    <w:rsid w:val="6D9535C2"/>
    <w:rsid w:val="6F6C2381"/>
    <w:rsid w:val="703D153C"/>
    <w:rsid w:val="704E2E30"/>
    <w:rsid w:val="70F00C65"/>
    <w:rsid w:val="71343AA6"/>
    <w:rsid w:val="7178272B"/>
    <w:rsid w:val="71EB57A6"/>
    <w:rsid w:val="72A477A4"/>
    <w:rsid w:val="72C251BA"/>
    <w:rsid w:val="73364C2D"/>
    <w:rsid w:val="738E06C4"/>
    <w:rsid w:val="739D36C7"/>
    <w:rsid w:val="73AC55D1"/>
    <w:rsid w:val="73B1528D"/>
    <w:rsid w:val="73B32576"/>
    <w:rsid w:val="74076640"/>
    <w:rsid w:val="750D4F51"/>
    <w:rsid w:val="7536586E"/>
    <w:rsid w:val="760675A0"/>
    <w:rsid w:val="769E3CBF"/>
    <w:rsid w:val="76E26045"/>
    <w:rsid w:val="790B27C9"/>
    <w:rsid w:val="7AC04BB4"/>
    <w:rsid w:val="7B1C088A"/>
    <w:rsid w:val="7B1F55BD"/>
    <w:rsid w:val="7C055E17"/>
    <w:rsid w:val="7C41615C"/>
    <w:rsid w:val="7D443444"/>
    <w:rsid w:val="7DA06B5D"/>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Office_10.8.0.5838_F1E327BC-269C-435d-A152-05C5408002CA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2022-11-26T06:40:38Z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2052-10.8.0.5838</vt:lpwstr>
  </property>
</Properties>
</file>