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w:t>
      </w:r>
      <w:r>
        <w:rPr>
          <w:rFonts w:hint="eastAsia" w:ascii="黑体" w:hAnsi="黑体" w:eastAsia="黑体" w:cs="黑体"/>
          <w:bCs/>
          <w:sz w:val="32"/>
          <w:szCs w:val="32"/>
          <w:lang w:val="en-US" w:eastAsia="zh-CN"/>
        </w:rPr>
        <w:t>2</w:t>
      </w:r>
      <w:r>
        <w:rPr>
          <w:rFonts w:hint="eastAsia" w:ascii="黑体" w:hAnsi="黑体" w:eastAsia="黑体" w:cs="黑体"/>
          <w:bCs/>
          <w:sz w:val="32"/>
          <w:szCs w:val="32"/>
        </w:rPr>
        <w:t>-1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w:t>
      </w:r>
      <w:r>
        <w:rPr>
          <w:rFonts w:hint="eastAsia" w:eastAsia="方正小标宋简体"/>
          <w:bCs/>
          <w:sz w:val="46"/>
          <w:szCs w:val="46"/>
          <w:u w:val="single"/>
          <w:lang w:val="en-US" w:eastAsia="zh-CN"/>
        </w:rPr>
        <w:t xml:space="preserve"> </w:t>
      </w:r>
      <w:r>
        <w:rPr>
          <w:rFonts w:hint="eastAsia" w:eastAsia="方正小标宋简体"/>
          <w:bCs/>
          <w:sz w:val="46"/>
          <w:szCs w:val="46"/>
          <w:u w:val="single"/>
        </w:rPr>
        <w:t>20</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val="en-US" w:eastAsia="zh-CN"/>
        </w:rPr>
        <w:t>岳阳市岳阳楼区市场建设服务中心</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304001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 xml:space="preserve">报告日期： </w:t>
      </w:r>
      <w:r>
        <w:rPr>
          <w:rFonts w:hint="eastAsia" w:eastAsia="仿宋_GB2312"/>
          <w:sz w:val="32"/>
          <w:lang w:val="en-US" w:eastAsia="zh-CN"/>
        </w:rPr>
        <w:t>2022</w:t>
      </w:r>
      <w:r>
        <w:rPr>
          <w:rFonts w:hint="eastAsia" w:eastAsia="仿宋_GB2312"/>
          <w:sz w:val="32"/>
        </w:rPr>
        <w:t xml:space="preserve"> 年 </w:t>
      </w:r>
      <w:r>
        <w:rPr>
          <w:rFonts w:hint="eastAsia" w:eastAsia="仿宋_GB2312"/>
          <w:sz w:val="32"/>
          <w:lang w:val="en-US" w:eastAsia="zh-CN"/>
        </w:rPr>
        <w:t>5</w:t>
      </w:r>
      <w:r>
        <w:rPr>
          <w:rFonts w:hint="eastAsia" w:eastAsia="仿宋_GB2312"/>
          <w:sz w:val="32"/>
        </w:rPr>
        <w:t xml:space="preserve"> 月 </w:t>
      </w:r>
      <w:r>
        <w:rPr>
          <w:rFonts w:hint="eastAsia" w:eastAsia="仿宋_GB2312"/>
          <w:sz w:val="32"/>
          <w:lang w:val="en-US" w:eastAsia="zh-CN"/>
        </w:rPr>
        <w:t>19</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8"/>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1126"/>
        <w:gridCol w:w="210"/>
        <w:gridCol w:w="1145"/>
        <w:gridCol w:w="272"/>
        <w:gridCol w:w="921"/>
        <w:gridCol w:w="1366"/>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674"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喻敏</w:t>
            </w:r>
          </w:p>
        </w:tc>
        <w:tc>
          <w:tcPr>
            <w:tcW w:w="1366"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17707404669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674"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w:t>
            </w:r>
          </w:p>
        </w:tc>
        <w:tc>
          <w:tcPr>
            <w:tcW w:w="1366"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4"/>
            <w:noWrap w:val="0"/>
            <w:vAlign w:val="center"/>
          </w:tcPr>
          <w:p>
            <w:pPr>
              <w:autoSpaceDN w:val="0"/>
              <w:spacing w:line="480" w:lineRule="auto"/>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1、协同区商务粮食局编制全区市场（网点）发展规划和布局规范，并组织实施。2、依照国家和省、市制定的市场规划与政策，对区属公办市场进行全面管理。3、组织和引导市场开展信息交流和形式多样的创建活动，改善经营环境，提升市场档次。4、经常性地开展市场调研活动，为区政府制定市场建设管理政策提供意见和建议。5、负责本单位的信访维稳和安全生产工作，完成区委、区人民政府交办的其他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4"/>
            <w:noWrap w:val="0"/>
            <w:vAlign w:val="center"/>
          </w:tcPr>
          <w:p>
            <w:pPr>
              <w:autoSpaceDN w:val="0"/>
              <w:spacing w:line="480" w:lineRule="auto"/>
              <w:jc w:val="left"/>
              <w:textAlignment w:val="center"/>
              <w:rPr>
                <w:rFonts w:ascii="仿宋_GB2312" w:hAnsi="仿宋_GB2312" w:eastAsia="仿宋_GB2312" w:cs="仿宋_GB2312"/>
                <w:bCs/>
                <w:color w:val="000000"/>
                <w:sz w:val="24"/>
                <w:szCs w:val="24"/>
              </w:rPr>
            </w:pPr>
            <w:bookmarkStart w:id="0" w:name="OLE_LINK1"/>
            <w:r>
              <w:rPr>
                <w:rFonts w:hint="eastAsia" w:ascii="仿宋_GB2312" w:hAnsi="仿宋_GB2312" w:eastAsia="仿宋_GB2312" w:cs="仿宋_GB2312"/>
                <w:color w:val="000000"/>
                <w:sz w:val="24"/>
                <w:lang w:val="en-US" w:eastAsia="zh-CN"/>
              </w:rPr>
              <w:t>目标1</w:t>
            </w:r>
            <w:r>
              <w:rPr>
                <w:rFonts w:hint="eastAsia" w:ascii="仿宋_GB2312" w:hAnsi="仿宋_GB2312" w:eastAsia="仿宋_GB2312" w:cs="仿宋_GB2312"/>
                <w:color w:val="000000"/>
                <w:sz w:val="24"/>
              </w:rPr>
              <w:t>：</w:t>
            </w:r>
            <w:r>
              <w:rPr>
                <w:rFonts w:hint="eastAsia" w:ascii="仿宋_GB2312" w:hAnsi="仿宋" w:eastAsia="仿宋_GB2312"/>
                <w:sz w:val="24"/>
                <w:szCs w:val="24"/>
              </w:rPr>
              <w:t>强化队伍建设，凝聚向心力。</w:t>
            </w:r>
          </w:p>
          <w:p>
            <w:pPr>
              <w:autoSpaceDN w:val="0"/>
              <w:spacing w:line="480" w:lineRule="auto"/>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目标</w:t>
            </w:r>
            <w:r>
              <w:rPr>
                <w:rFonts w:hint="eastAsia" w:ascii="仿宋_GB2312" w:hAnsi="仿宋_GB2312" w:eastAsia="仿宋_GB2312" w:cs="仿宋_GB2312"/>
                <w:color w:val="000000"/>
                <w:sz w:val="24"/>
              </w:rPr>
              <w:t>2：</w:t>
            </w:r>
            <w:r>
              <w:rPr>
                <w:rFonts w:hint="eastAsia" w:ascii="仿宋_GB2312" w:hAnsi="仿宋" w:eastAsia="仿宋_GB2312"/>
                <w:sz w:val="24"/>
                <w:szCs w:val="24"/>
              </w:rPr>
              <w:t>推进项目建设，提升市场品质</w:t>
            </w:r>
            <w:r>
              <w:rPr>
                <w:rFonts w:hint="eastAsia" w:ascii="仿宋_GB2312" w:hAnsi="仿宋_GB2312" w:eastAsia="仿宋_GB2312" w:cs="仿宋_GB2312"/>
                <w:sz w:val="24"/>
                <w:szCs w:val="24"/>
              </w:rPr>
              <w:t>。</w:t>
            </w:r>
          </w:p>
          <w:p>
            <w:pPr>
              <w:autoSpaceDN w:val="0"/>
              <w:spacing w:line="480" w:lineRule="auto"/>
              <w:jc w:val="left"/>
              <w:textAlignment w:val="center"/>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lang w:val="en-US" w:eastAsia="zh-CN"/>
              </w:rPr>
              <w:t>目标</w:t>
            </w:r>
            <w:r>
              <w:rPr>
                <w:rFonts w:hint="eastAsia" w:ascii="仿宋_GB2312" w:hAnsi="仿宋_GB2312" w:eastAsia="仿宋_GB2312" w:cs="仿宋_GB2312"/>
                <w:color w:val="000000"/>
                <w:sz w:val="24"/>
              </w:rPr>
              <w:t>3：</w:t>
            </w:r>
            <w:r>
              <w:rPr>
                <w:rFonts w:hint="eastAsia" w:ascii="仿宋_GB2312" w:hAnsi="仿宋" w:eastAsia="仿宋_GB2312"/>
                <w:sz w:val="24"/>
                <w:szCs w:val="24"/>
              </w:rPr>
              <w:t>严格资产管理，化解经营风险</w:t>
            </w:r>
            <w:r>
              <w:rPr>
                <w:rFonts w:hint="eastAsia" w:ascii="仿宋_GB2312" w:hAnsi="仿宋_GB2312" w:eastAsia="仿宋_GB2312" w:cs="仿宋_GB2312"/>
                <w:sz w:val="24"/>
                <w:szCs w:val="24"/>
              </w:rPr>
              <w:t>。</w:t>
            </w:r>
          </w:p>
          <w:p>
            <w:pPr>
              <w:autoSpaceDN w:val="0"/>
              <w:spacing w:line="480" w:lineRule="auto"/>
              <w:jc w:val="left"/>
              <w:textAlignment w:val="center"/>
              <w:rPr>
                <w:rFonts w:ascii="仿宋_GB2312" w:hAnsi="仿宋_GB2312" w:eastAsia="仿宋_GB2312" w:cs="仿宋_GB2312"/>
                <w:sz w:val="24"/>
                <w:szCs w:val="24"/>
              </w:rPr>
            </w:pPr>
            <w:r>
              <w:rPr>
                <w:rFonts w:hint="eastAsia" w:ascii="仿宋_GB2312" w:hAnsi="仿宋_GB2312" w:eastAsia="仿宋_GB2312" w:cs="仿宋_GB2312"/>
                <w:color w:val="000000"/>
                <w:sz w:val="24"/>
                <w:lang w:val="en-US" w:eastAsia="zh-CN"/>
              </w:rPr>
              <w:t>目标</w:t>
            </w:r>
            <w:r>
              <w:rPr>
                <w:rFonts w:hint="eastAsia" w:ascii="仿宋_GB2312" w:hAnsi="仿宋_GB2312" w:eastAsia="仿宋_GB2312" w:cs="仿宋_GB2312"/>
                <w:sz w:val="24"/>
                <w:szCs w:val="24"/>
              </w:rPr>
              <w:t>4：</w:t>
            </w:r>
            <w:r>
              <w:rPr>
                <w:rFonts w:hint="eastAsia" w:ascii="仿宋_GB2312" w:hAnsi="仿宋" w:eastAsia="仿宋_GB2312"/>
                <w:sz w:val="24"/>
                <w:szCs w:val="24"/>
              </w:rPr>
              <w:t>加速遗留问题处理，减少发展阻力</w:t>
            </w:r>
            <w:r>
              <w:rPr>
                <w:rFonts w:hint="eastAsia" w:ascii="仿宋_GB2312" w:hAnsi="仿宋_GB2312" w:eastAsia="仿宋_GB2312" w:cs="仿宋_GB2312"/>
                <w:sz w:val="24"/>
                <w:szCs w:val="24"/>
              </w:rPr>
              <w:t>。</w:t>
            </w:r>
          </w:p>
          <w:p>
            <w:pPr>
              <w:autoSpaceDN w:val="0"/>
              <w:spacing w:line="480" w:lineRule="auto"/>
              <w:jc w:val="left"/>
              <w:textAlignment w:val="center"/>
              <w:rPr>
                <w:rFonts w:ascii="仿宋_GB2312" w:hAnsi="仿宋_GB2312" w:eastAsia="仿宋_GB2312" w:cs="仿宋_GB2312"/>
                <w:sz w:val="24"/>
                <w:szCs w:val="24"/>
              </w:rPr>
            </w:pPr>
            <w:r>
              <w:rPr>
                <w:rFonts w:hint="eastAsia" w:ascii="仿宋_GB2312" w:hAnsi="仿宋_GB2312" w:eastAsia="仿宋_GB2312" w:cs="仿宋_GB2312"/>
                <w:color w:val="000000"/>
                <w:sz w:val="24"/>
                <w:lang w:val="en-US" w:eastAsia="zh-CN"/>
              </w:rPr>
              <w:t>目标</w:t>
            </w:r>
            <w:r>
              <w:rPr>
                <w:rFonts w:hint="eastAsia" w:ascii="仿宋_GB2312" w:hAnsi="仿宋_GB2312" w:eastAsia="仿宋_GB2312" w:cs="仿宋_GB2312"/>
                <w:sz w:val="24"/>
                <w:szCs w:val="24"/>
              </w:rPr>
              <w:t>5：</w:t>
            </w:r>
            <w:r>
              <w:rPr>
                <w:rFonts w:hint="eastAsia" w:ascii="仿宋_GB2312" w:hAnsi="仿宋" w:eastAsia="仿宋_GB2312"/>
                <w:sz w:val="24"/>
                <w:szCs w:val="24"/>
              </w:rPr>
              <w:t>健全组织制度，提升服务水平</w:t>
            </w:r>
            <w:r>
              <w:rPr>
                <w:rFonts w:hint="eastAsia" w:ascii="仿宋_GB2312" w:hAnsi="仿宋_GB2312" w:eastAsia="仿宋_GB2312" w:cs="仿宋_GB2312"/>
                <w:sz w:val="24"/>
                <w:szCs w:val="24"/>
              </w:rPr>
              <w:t>。</w:t>
            </w:r>
          </w:p>
          <w:p>
            <w:pPr>
              <w:autoSpaceDN w:val="0"/>
              <w:spacing w:line="480" w:lineRule="auto"/>
              <w:jc w:val="left"/>
              <w:textAlignment w:val="center"/>
              <w:rPr>
                <w:rFonts w:ascii="仿宋_GB2312" w:hAnsi="仿宋_GB2312" w:eastAsia="仿宋_GB2312" w:cs="仿宋_GB2312"/>
                <w:sz w:val="24"/>
                <w:szCs w:val="24"/>
              </w:rPr>
            </w:pPr>
            <w:r>
              <w:rPr>
                <w:rFonts w:hint="eastAsia" w:ascii="仿宋_GB2312" w:hAnsi="仿宋_GB2312" w:eastAsia="仿宋_GB2312" w:cs="仿宋_GB2312"/>
                <w:color w:val="000000"/>
                <w:sz w:val="24"/>
                <w:lang w:val="en-US" w:eastAsia="zh-CN"/>
              </w:rPr>
              <w:t>目标</w:t>
            </w:r>
            <w:r>
              <w:rPr>
                <w:rFonts w:hint="eastAsia" w:ascii="仿宋_GB2312" w:hAnsi="仿宋_GB2312" w:eastAsia="仿宋_GB2312" w:cs="仿宋_GB2312"/>
                <w:sz w:val="24"/>
                <w:szCs w:val="24"/>
              </w:rPr>
              <w:t>6：</w:t>
            </w:r>
            <w:r>
              <w:rPr>
                <w:rFonts w:hint="eastAsia" w:ascii="仿宋_GB2312" w:hAnsi="仿宋" w:eastAsia="仿宋_GB2312"/>
                <w:sz w:val="24"/>
                <w:szCs w:val="24"/>
              </w:rPr>
              <w:t>围绕中心工作，做好日常管理</w:t>
            </w:r>
            <w:r>
              <w:rPr>
                <w:rFonts w:hint="eastAsia" w:ascii="仿宋_GB2312" w:hAnsi="仿宋_GB2312" w:eastAsia="仿宋_GB2312" w:cs="仿宋_GB2312"/>
                <w:sz w:val="24"/>
                <w:szCs w:val="24"/>
              </w:rPr>
              <w:t>。</w:t>
            </w:r>
          </w:p>
          <w:p>
            <w:pPr>
              <w:autoSpaceDN w:val="0"/>
              <w:spacing w:line="480"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目标</w:t>
            </w:r>
            <w:r>
              <w:rPr>
                <w:rFonts w:hint="eastAsia" w:ascii="仿宋_GB2312" w:hAnsi="仿宋_GB2312" w:eastAsia="仿宋_GB2312" w:cs="仿宋_GB2312"/>
                <w:sz w:val="24"/>
                <w:szCs w:val="24"/>
              </w:rPr>
              <w:t>7：</w:t>
            </w:r>
            <w:r>
              <w:rPr>
                <w:rFonts w:hint="eastAsia" w:ascii="仿宋_GB2312" w:hAnsi="仿宋" w:eastAsia="仿宋_GB2312"/>
                <w:sz w:val="24"/>
                <w:szCs w:val="24"/>
              </w:rPr>
              <w:t>开展系列活动，推动党史学习走心走实</w:t>
            </w:r>
            <w:r>
              <w:rPr>
                <w:rFonts w:hint="eastAsia" w:ascii="仿宋_GB2312" w:hAnsi="仿宋_GB2312" w:eastAsia="仿宋_GB2312" w:cs="仿宋_GB2312"/>
                <w:sz w:val="24"/>
                <w:szCs w:val="24"/>
              </w:rPr>
              <w:t>。</w:t>
            </w:r>
            <w:bookmarkEnd w:id="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4"/>
            <w:noWrap w:val="0"/>
            <w:vAlign w:val="center"/>
          </w:tcPr>
          <w:p>
            <w:pPr>
              <w:autoSpaceDN w:val="0"/>
              <w:spacing w:line="48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我中心是2020年加入楼区的一支新队伍，下沉后因多方原因造成部分人员思想波动，干事创业出现离心力。前期，主要是引导职工保持良好心态，提升职业操守，把心思和精力凝聚到干事创业上。通过沟通交流，赢得理解、建立信任，团队逐渐默契，凝聚力明显增强。在推进项目建设，提升市场品质方面。一是认真抓好四个市场的提质改造。为认真落实区政府关于菜市场提质改造三年攻坚行动部署，中心成立了专门班子，启动所属五里牌农贸市场、城陵矶农贸市场、龙源菜市场、洪家洲菜市场的提质改造建设项目。四个项目总投资1200万元，拟于2021年12月竣工。二是抓好市场安全隐患整治。我们在充分调研、多方沟通的基础上，取得区政府支持，完成了对五里牌、庙前街、骆加坡市场突出安全隐患问题的整治工程。三是全力配合完成两个整治项目。巴陵大桥农贸市场零补偿拆除通告发布后，市场67户经营户反映强烈、密集上访，对此，我中心高度重视，迅速成立专班，全力配合东茅岭办事处做好经营户的释疑疏导稳控工作，圆满完成所属43个门面、22个摊位的拆除工作。针对洪家洲市场外围违建严重，通道不畅情况，我们配合城陵矶街道办事处进行摸底调研及拆违，有力推进了该市场整治进程。资产管理方面，在深入调研并取得区政府、区财政局同意的前提下，对已逾期的庙前街越洋幼儿园、开源索兰图茶楼、五里牌天祥电脑城及四楼几个大型整体租赁合同，采取协商方式予以续签，最大限度化解经营风险，确保国有资产的保值增值。2021年中心物业管理收入目标任务457万元，截止12月26日，中心已完成物业收入452.98万元，剔除因巴陵大桥农贸市场整治拆除短收的21.53万元，中心已超额完成物业管理收入目标任务。</w:t>
            </w:r>
          </w:p>
          <w:p>
            <w:pPr>
              <w:autoSpaceDN w:val="0"/>
              <w:spacing w:line="48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下沉后的系列遗留问题对我们的工作开展形成一定上行阻力。为此，唐露尧、邓建华副区长多次主持专题会议进行调度，中心各相关科室积极对接、加速理顺关系，目前，停薪留职、内退人员已完成返岗，企业人员、历史欠税问题已妥善解决。</w:t>
            </w:r>
          </w:p>
          <w:p>
            <w:pPr>
              <w:autoSpaceDN w:val="0"/>
              <w:spacing w:line="48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我们进一步明确财务报账制度及流程、严格请销假管理手续、建立政府集中采购管理制度。按程序成立了中心工会委员会，选举产生第一届工会委员会班子成员，为丰富单位活动建立了好的平台。</w:t>
            </w:r>
          </w:p>
          <w:p>
            <w:pPr>
              <w:autoSpaceDN w:val="0"/>
              <w:spacing w:line="48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作为市场管理方，我们时刻绷紧疫情防控弦，积极落实各项防疫措施，筑牢市场安全屏障。对安全生产、日常管理的督查加大力度、改进方法，量化指标，发现问题，及时督促整改到位。建设单位职工食堂，解决了员工就餐问题。完成机关办公条件改善工程及单位标识统一工作，进一步提升了单位整体形象。</w:t>
            </w:r>
          </w:p>
          <w:p>
            <w:pPr>
              <w:autoSpaceDN w:val="0"/>
              <w:spacing w:line="48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我们坚持把党史学习教育作为一项重要政治任务，认真组织学习习近平总书记重要讲话精神、十九届六中全会精神，开展党员示范岗创建、爱心助学、瞻仰何长工纪念馆等系列活动，积极引导广大干群知史爱党、务实力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339"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441" w:type="dxa"/>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39"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19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592"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441" w:type="dxa"/>
            <w:noWrap w:val="0"/>
            <w:vAlign w:val="center"/>
          </w:tcPr>
          <w:p>
            <w:pPr>
              <w:autoSpaceDN w:val="0"/>
              <w:spacing w:line="360" w:lineRule="auto"/>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岳阳市岳阳楼区市场建设服务中心</w:t>
            </w:r>
          </w:p>
        </w:tc>
        <w:tc>
          <w:tcPr>
            <w:tcW w:w="1339" w:type="dxa"/>
            <w:gridSpan w:val="2"/>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472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74</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119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472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74</w:t>
            </w:r>
          </w:p>
        </w:tc>
        <w:tc>
          <w:tcPr>
            <w:tcW w:w="1592"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180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1080"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441" w:type="dxa"/>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339"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441" w:type="dxa"/>
            <w:vMerge w:val="continue"/>
            <w:noWrap w:val="0"/>
            <w:vAlign w:val="center"/>
          </w:tcPr>
          <w:p>
            <w:pPr>
              <w:spacing w:line="320" w:lineRule="exact"/>
              <w:jc w:val="center"/>
              <w:rPr>
                <w:rFonts w:hint="eastAsia" w:ascii="仿宋_GB2312" w:hAnsi="仿宋_GB2312" w:eastAsia="仿宋_GB2312" w:cs="仿宋_GB2312"/>
                <w:sz w:val="24"/>
              </w:rPr>
            </w:pPr>
          </w:p>
        </w:tc>
        <w:tc>
          <w:tcPr>
            <w:tcW w:w="1339"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441" w:type="dxa"/>
            <w:vMerge w:val="continue"/>
            <w:noWrap w:val="0"/>
            <w:vAlign w:val="center"/>
          </w:tcPr>
          <w:p>
            <w:pPr>
              <w:spacing w:line="320" w:lineRule="exact"/>
              <w:jc w:val="center"/>
              <w:rPr>
                <w:rFonts w:hint="eastAsia" w:ascii="仿宋_GB2312" w:hAnsi="仿宋_GB2312" w:eastAsia="仿宋_GB2312" w:cs="仿宋_GB2312"/>
                <w:sz w:val="24"/>
              </w:rPr>
            </w:pPr>
          </w:p>
        </w:tc>
        <w:tc>
          <w:tcPr>
            <w:tcW w:w="1339"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9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047"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44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仿宋_GB2312" w:hAnsi="仿宋_GB2312" w:eastAsia="仿宋_GB2312" w:cs="仿宋_GB2312"/>
                <w:sz w:val="24"/>
              </w:rPr>
            </w:pPr>
            <w:r>
              <w:rPr>
                <w:rFonts w:hint="eastAsia" w:ascii="仿宋_GB2312" w:hAnsi="仿宋_GB2312" w:eastAsia="仿宋_GB2312" w:cs="仿宋_GB2312"/>
                <w:color w:val="000000"/>
                <w:sz w:val="24"/>
                <w:lang w:val="en-US" w:eastAsia="zh-CN"/>
              </w:rPr>
              <w:t>岳阳市岳阳楼区市场建设服务中心</w:t>
            </w:r>
          </w:p>
        </w:tc>
        <w:tc>
          <w:tcPr>
            <w:tcW w:w="1339" w:type="dxa"/>
            <w:gridSpan w:val="2"/>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472</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74</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613</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3</w:t>
            </w:r>
            <w:r>
              <w:rPr>
                <w:rFonts w:hint="eastAsia" w:ascii="仿宋_GB2312" w:hAnsi="仿宋_GB2312" w:eastAsia="仿宋_GB2312" w:cs="仿宋_GB2312"/>
                <w:color w:val="000000"/>
                <w:sz w:val="24"/>
                <w:lang w:val="en-US" w:eastAsia="zh-CN"/>
              </w:rPr>
              <w:t>4</w:t>
            </w:r>
          </w:p>
        </w:tc>
        <w:tc>
          <w:tcPr>
            <w:tcW w:w="1193"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584.50</w:t>
            </w:r>
          </w:p>
        </w:tc>
        <w:tc>
          <w:tcPr>
            <w:tcW w:w="2047"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28.84</w:t>
            </w:r>
          </w:p>
        </w:tc>
        <w:tc>
          <w:tcPr>
            <w:tcW w:w="1080"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859</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40</w:t>
            </w:r>
          </w:p>
        </w:tc>
        <w:tc>
          <w:tcPr>
            <w:tcW w:w="720"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625"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441" w:type="dxa"/>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339"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441" w:type="dxa"/>
            <w:vMerge w:val="continue"/>
            <w:noWrap w:val="0"/>
            <w:vAlign w:val="center"/>
          </w:tcPr>
          <w:p>
            <w:pPr>
              <w:spacing w:line="320" w:lineRule="exact"/>
              <w:jc w:val="center"/>
              <w:rPr>
                <w:rFonts w:hint="eastAsia" w:ascii="仿宋_GB2312" w:hAnsi="仿宋_GB2312" w:eastAsia="仿宋_GB2312" w:cs="仿宋_GB2312"/>
                <w:sz w:val="24"/>
              </w:rPr>
            </w:pPr>
          </w:p>
        </w:tc>
        <w:tc>
          <w:tcPr>
            <w:tcW w:w="1339"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193"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047"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44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仿宋_GB2312" w:hAnsi="仿宋_GB2312" w:eastAsia="仿宋_GB2312" w:cs="仿宋_GB2312"/>
                <w:sz w:val="24"/>
              </w:rPr>
            </w:pPr>
            <w:r>
              <w:rPr>
                <w:rFonts w:hint="eastAsia" w:ascii="仿宋_GB2312" w:hAnsi="仿宋_GB2312" w:eastAsia="仿宋_GB2312" w:cs="仿宋_GB2312"/>
                <w:color w:val="000000"/>
                <w:sz w:val="24"/>
                <w:lang w:val="en-US" w:eastAsia="zh-CN"/>
              </w:rPr>
              <w:t>岳阳市岳阳楼区市场建设服务中心</w:t>
            </w:r>
          </w:p>
        </w:tc>
        <w:tc>
          <w:tcPr>
            <w:tcW w:w="1339" w:type="dxa"/>
            <w:gridSpan w:val="2"/>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1193"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2047"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2425"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441" w:type="dxa"/>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339" w:type="dxa"/>
            <w:gridSpan w:val="2"/>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441" w:type="dxa"/>
            <w:vMerge w:val="continue"/>
            <w:noWrap w:val="0"/>
            <w:vAlign w:val="center"/>
          </w:tcPr>
          <w:p>
            <w:pPr>
              <w:spacing w:line="320" w:lineRule="exact"/>
              <w:jc w:val="center"/>
              <w:rPr>
                <w:rFonts w:hint="eastAsia" w:ascii="仿宋_GB2312" w:hAnsi="仿宋_GB2312" w:eastAsia="仿宋_GB2312" w:cs="仿宋_GB2312"/>
                <w:sz w:val="24"/>
              </w:rPr>
            </w:pPr>
          </w:p>
        </w:tc>
        <w:tc>
          <w:tcPr>
            <w:tcW w:w="1339" w:type="dxa"/>
            <w:gridSpan w:val="2"/>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548"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531"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44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仿宋_GB2312" w:hAnsi="仿宋_GB2312" w:eastAsia="仿宋_GB2312" w:cs="仿宋_GB2312"/>
                <w:sz w:val="24"/>
              </w:rPr>
            </w:pPr>
            <w:r>
              <w:rPr>
                <w:rFonts w:hint="eastAsia" w:ascii="仿宋_GB2312" w:hAnsi="仿宋_GB2312" w:eastAsia="仿宋_GB2312" w:cs="仿宋_GB2312"/>
                <w:color w:val="000000"/>
                <w:sz w:val="24"/>
                <w:lang w:val="en-US" w:eastAsia="zh-CN"/>
              </w:rPr>
              <w:t>岳阳市岳阳楼区市场建设服务中心</w:t>
            </w:r>
          </w:p>
        </w:tc>
        <w:tc>
          <w:tcPr>
            <w:tcW w:w="1339" w:type="dxa"/>
            <w:gridSpan w:val="2"/>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4</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229</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05</w:t>
            </w:r>
          </w:p>
        </w:tc>
        <w:tc>
          <w:tcPr>
            <w:tcW w:w="2548"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4</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229</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05</w:t>
            </w:r>
          </w:p>
        </w:tc>
        <w:tc>
          <w:tcPr>
            <w:tcW w:w="3531"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4</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090</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rPr>
              <w:t>91</w:t>
            </w:r>
          </w:p>
        </w:tc>
        <w:tc>
          <w:tcPr>
            <w:tcW w:w="941"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887"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472"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887" w:type="dxa"/>
            <w:gridSpan w:val="6"/>
            <w:noWrap w:val="0"/>
            <w:vAlign w:val="center"/>
          </w:tcPr>
          <w:p>
            <w:pPr>
              <w:autoSpaceDN w:val="0"/>
              <w:spacing w:line="480"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目标1：强化队伍建设，凝聚向心力。</w:t>
            </w:r>
          </w:p>
          <w:p>
            <w:pPr>
              <w:autoSpaceDN w:val="0"/>
              <w:spacing w:line="480"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目标2：推进项目建设，提升市场品质。</w:t>
            </w:r>
          </w:p>
          <w:p>
            <w:pPr>
              <w:autoSpaceDN w:val="0"/>
              <w:spacing w:line="480"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目标3：严格资产管理，化解经营风险。</w:t>
            </w:r>
          </w:p>
          <w:p>
            <w:pPr>
              <w:autoSpaceDN w:val="0"/>
              <w:spacing w:line="480"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目标4：加速遗留问题处理，减少发展阻力。</w:t>
            </w:r>
          </w:p>
          <w:p>
            <w:pPr>
              <w:autoSpaceDN w:val="0"/>
              <w:spacing w:line="480"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目标5：健全组织制度，提升服务水平。</w:t>
            </w:r>
          </w:p>
          <w:p>
            <w:pPr>
              <w:autoSpaceDN w:val="0"/>
              <w:spacing w:line="480"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目标6：围绕中心工作，做好日常管理。</w:t>
            </w:r>
          </w:p>
          <w:p>
            <w:pPr>
              <w:autoSpaceDN w:val="0"/>
              <w:spacing w:line="480"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目标7：开展系列活动，推动党史学习走心走实。</w:t>
            </w:r>
          </w:p>
        </w:tc>
        <w:tc>
          <w:tcPr>
            <w:tcW w:w="4472" w:type="dxa"/>
            <w:gridSpan w:val="9"/>
            <w:noWrap w:val="0"/>
            <w:vAlign w:val="center"/>
          </w:tcPr>
          <w:p>
            <w:pPr>
              <w:autoSpaceDN w:val="0"/>
              <w:spacing w:line="36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2021年我单位</w:t>
            </w:r>
            <w:r>
              <w:rPr>
                <w:rFonts w:hint="eastAsia" w:ascii="仿宋_GB2312" w:hAnsi="仿宋_GB2312" w:eastAsia="仿宋_GB2312" w:cs="仿宋_GB2312"/>
                <w:color w:val="000000"/>
                <w:sz w:val="24"/>
              </w:rPr>
              <w:t>通过沟通交流，赢得理解、建立信任，团队逐渐默契，凝聚力明显增强。</w:t>
            </w:r>
          </w:p>
          <w:p>
            <w:pPr>
              <w:autoSpaceDN w:val="0"/>
              <w:spacing w:line="36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推进项目建设，提升市场品质方面。一是认真抓好四个市场的提质改造。为认真落实区政府关于菜市场提质改造三年攻坚行动部署，中心成立了专门班子，启动所属五里牌农贸市场、城陵矶农贸市场、龙源菜市场、洪家洲菜市场的提质改造建设项目。四个项目总投资1200万元，于2021年12月竣工。二是抓好市场安全隐患整治。我们在充分调研、多方沟通的基础上，取得区政府支持，完成了对五里牌、庙前街、骆加坡市场突出安全隐患问题的整治工程。三是全力配合完成两个整治项目。巴陵大桥农贸市场零补偿拆除通告发布后，市场67户经营户反映强烈、密集上访，对此，我中心高度重视，迅速成立专班，全力配合东茅岭办事处做好经营户的释疑疏导稳控工作，圆满完成所属43个门面、22个摊位的拆除工作。针对洪家洲市场外围违建严重，通道不畅情况，我们配合城陵矶街道办事处进行摸底调研及拆违，有力推进了该市场整治进程。</w:t>
            </w:r>
          </w:p>
          <w:p>
            <w:pPr>
              <w:autoSpaceDN w:val="0"/>
              <w:spacing w:line="36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资产管理方面，在深入调研并取得区政府、区财政局同意的前提下，对已逾期的庙前街越洋幼儿园、开源索兰图茶楼、五里牌天祥电脑城及四楼几个大型整体租赁合同，采取协商方式予以续签，最大限度化解经营风险，确保国有资产的保值增值。2021年中心物业管理收入目标任务457万元，截止12月26日，中心已完成物业收入452.98万元，剔除因巴陵大桥农贸市场整治拆除短收的21.53万元，中心已超额完成物业管理收入目标任务。</w:t>
            </w:r>
          </w:p>
          <w:p>
            <w:pPr>
              <w:autoSpaceDN w:val="0"/>
              <w:spacing w:line="36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针对</w:t>
            </w:r>
            <w:r>
              <w:rPr>
                <w:rFonts w:hint="eastAsia" w:ascii="仿宋_GB2312" w:hAnsi="仿宋_GB2312" w:eastAsia="仿宋_GB2312" w:cs="仿宋_GB2312"/>
                <w:color w:val="000000"/>
                <w:sz w:val="24"/>
              </w:rPr>
              <w:t>下沉后的系列遗留问题，唐露尧、邓建华副区长多次主持专题会议进行调度，中心各相关科室积极对接、加速理顺关系，目前，停薪留职、内退人员已完成返岗，企业人员、历史欠税问题已妥善解决。</w:t>
            </w:r>
          </w:p>
          <w:p>
            <w:pPr>
              <w:autoSpaceDN w:val="0"/>
              <w:spacing w:line="36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我单位</w:t>
            </w:r>
            <w:r>
              <w:rPr>
                <w:rFonts w:hint="eastAsia" w:ascii="仿宋_GB2312" w:hAnsi="仿宋_GB2312" w:eastAsia="仿宋_GB2312" w:cs="仿宋_GB2312"/>
                <w:color w:val="000000"/>
                <w:sz w:val="24"/>
              </w:rPr>
              <w:t>进一步明确财务报账制度及流程、严格请销假管理手续、建立政府集中采购管理制度。按程序成立了中心工会委员会，选举产生第一届工会委员会班子成员，为丰富单位活动建立了好的平台。</w:t>
            </w:r>
          </w:p>
          <w:p>
            <w:pPr>
              <w:autoSpaceDN w:val="0"/>
              <w:spacing w:line="36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作为市场管理方，我们时刻绷紧疫情防控弦，积极落实各项防疫措施，筑牢市场安全屏障。对安全生产、日常管理的督查加大力度、改进方法，量化指标，发现问题，及时督促整改到位。建设单位职工食堂，解决了员工就餐问题。完成机关办公条件改善工程及单位标识统一工作，进一步提升了单位整体形象。</w:t>
            </w:r>
          </w:p>
          <w:p>
            <w:pPr>
              <w:autoSpaceDN w:val="0"/>
              <w:spacing w:line="360" w:lineRule="auto"/>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我单位</w:t>
            </w:r>
            <w:r>
              <w:rPr>
                <w:rFonts w:hint="eastAsia" w:ascii="仿宋_GB2312" w:hAnsi="仿宋_GB2312" w:eastAsia="仿宋_GB2312" w:cs="仿宋_GB2312"/>
                <w:color w:val="000000"/>
                <w:sz w:val="24"/>
              </w:rPr>
              <w:t>坚持把党史学习教育作为一项重要政治任务，认真组织学习习近平总书记重要讲话精神、十九届六中全会精神，开展党员示范岗创建、爱心助学、瞻仰何长工纪念馆等系列活动，积极引导广大干群知史爱党、务实力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指标1：抓好四个市场的提质改造。为认真落实区政府关于菜市场提质改造三年攻坚行动部署，中心成立了专门班子，启动所属五里牌农贸市场、城陵矶农贸市场、龙源菜市场、洪家洲菜市场的提质改造建设项目</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指标2：抓好市场安全隐患整治。在充分调研、多方沟通的基础上，取得区政府支持，完成了对五里牌、庙前街、骆加坡市场突出安全隐患问题的整治工程</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：全力配合完成两个整治项目。</w:t>
            </w:r>
            <w:r>
              <w:rPr>
                <w:rFonts w:hint="eastAsia" w:ascii="仿宋_GB2312" w:hAnsi="仿宋_GB2312" w:eastAsia="仿宋_GB2312" w:cs="仿宋_GB2312"/>
                <w:color w:val="000000"/>
                <w:sz w:val="24"/>
                <w:lang w:val="en-US" w:eastAsia="zh-CN"/>
              </w:rPr>
              <w:t>针对</w:t>
            </w:r>
            <w:r>
              <w:rPr>
                <w:rFonts w:hint="eastAsia" w:ascii="仿宋_GB2312" w:hAnsi="仿宋_GB2312" w:eastAsia="仿宋_GB2312" w:cs="仿宋_GB2312"/>
                <w:color w:val="000000"/>
                <w:sz w:val="24"/>
              </w:rPr>
              <w:t>巴陵大桥农贸市场零补偿拆除经营户反映强烈、密集上访，成立专班，全力配合东茅岭办事处做好经营户的释疑疏导稳控工作。针对洪家洲市场外围违建严重，通道不畅情况，配合城陵矶街道办事处进行摸底调研及拆违，有力推进了该市场整治进程</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完成</w:t>
            </w:r>
            <w:r>
              <w:rPr>
                <w:rFonts w:hint="eastAsia" w:ascii="仿宋_GB2312" w:hAnsi="仿宋_GB2312" w:eastAsia="仿宋_GB2312" w:cs="仿宋_GB2312"/>
                <w:color w:val="000000"/>
                <w:sz w:val="24"/>
              </w:rPr>
              <w:t>零补偿拆除巴陵大桥农贸市场所属43个门面、22个摊位的工作</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全力催收，捋顺收入台账，做到应收尽收，减少空租率，完成</w:t>
            </w:r>
            <w:r>
              <w:rPr>
                <w:rFonts w:hint="eastAsia" w:ascii="仿宋_GB2312" w:hAnsi="仿宋_GB2312" w:eastAsia="仿宋_GB2312" w:cs="仿宋_GB2312"/>
                <w:color w:val="000000"/>
                <w:sz w:val="24"/>
              </w:rPr>
              <w:t>2021年中心物业管理收入目标任务457万元</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指标1：中心各相关科室积极对接、加速理顺关系</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lang w:val="en-US" w:eastAsia="zh-CN"/>
              </w:rPr>
              <w:t>完成</w:t>
            </w:r>
            <w:r>
              <w:rPr>
                <w:rFonts w:hint="eastAsia" w:ascii="仿宋_GB2312" w:hAnsi="仿宋_GB2312" w:eastAsia="仿宋_GB2312" w:cs="仿宋_GB2312"/>
                <w:color w:val="000000"/>
                <w:sz w:val="24"/>
              </w:rPr>
              <w:t>停薪留职、内退人员</w:t>
            </w:r>
            <w:r>
              <w:rPr>
                <w:rFonts w:hint="eastAsia" w:ascii="仿宋_GB2312" w:hAnsi="仿宋_GB2312" w:eastAsia="仿宋_GB2312" w:cs="仿宋_GB2312"/>
                <w:color w:val="000000"/>
                <w:sz w:val="24"/>
                <w:lang w:val="en-US" w:eastAsia="zh-CN"/>
              </w:rPr>
              <w:t>的及时返岗</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指标2：明确财务报账制度及流程、严格请销假管理手续、建立政府集中采购管理制度。按程序成立中心工会委员会，选举产生第一届工会委员会班子成员，为丰富单位活动建立了好的平台</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按相关制度严格控制支出，将单位总成本支出控制在</w:t>
            </w:r>
            <w:r>
              <w:rPr>
                <w:rFonts w:hint="eastAsia" w:ascii="仿宋_GB2312" w:hAnsi="仿宋_GB2312" w:eastAsia="仿宋_GB2312" w:cs="仿宋_GB2312"/>
                <w:color w:val="000000"/>
                <w:sz w:val="24"/>
              </w:rPr>
              <w:t>年初预算</w:t>
            </w:r>
            <w:r>
              <w:rPr>
                <w:rFonts w:hint="eastAsia" w:ascii="仿宋_GB2312" w:hAnsi="仿宋_GB2312" w:eastAsia="仿宋_GB2312" w:cs="仿宋_GB2312"/>
                <w:color w:val="000000"/>
                <w:sz w:val="24"/>
                <w:lang w:val="en-US" w:eastAsia="zh-CN"/>
              </w:rPr>
              <w:t>内</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指标1：认真落实区政府关于菜市场提质改造三年攻坚行动部署，</w:t>
            </w:r>
            <w:r>
              <w:rPr>
                <w:rFonts w:hint="eastAsia" w:ascii="仿宋_GB2312" w:hAnsi="仿宋_GB2312" w:eastAsia="仿宋_GB2312" w:cs="仿宋_GB2312"/>
                <w:color w:val="000000"/>
                <w:sz w:val="24"/>
                <w:lang w:val="en-US" w:eastAsia="zh-CN"/>
              </w:rPr>
              <w:t>消除市场安全隐患，配合推进全市市场工程整治行动。</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盘活资产，及时公告招租信息，完善市场管理，提高市场招租率，减少市场空置率，以提高租金收入</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restart"/>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完成市场的提质改造工程，改善市场内部及外部的经营环境，为市民提供整洁有序的农贸市场</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指标1：考察</w:t>
            </w:r>
            <w:r>
              <w:rPr>
                <w:rFonts w:hint="eastAsia" w:ascii="仿宋_GB2312" w:hAnsi="仿宋_GB2312" w:eastAsia="仿宋_GB2312" w:cs="仿宋_GB2312"/>
                <w:color w:val="000000"/>
                <w:sz w:val="24"/>
                <w:lang w:val="en-US" w:eastAsia="zh-CN"/>
              </w:rPr>
              <w:t>单位</w:t>
            </w:r>
            <w:r>
              <w:rPr>
                <w:rFonts w:hint="eastAsia" w:ascii="仿宋_GB2312" w:hAnsi="仿宋_GB2312" w:eastAsia="仿宋_GB2312" w:cs="仿宋_GB2312"/>
                <w:color w:val="000000"/>
                <w:sz w:val="24"/>
              </w:rPr>
              <w:t>整体工作开展情况，社会公众满意度是达到</w:t>
            </w:r>
            <w:r>
              <w:rPr>
                <w:rFonts w:hint="eastAsia" w:ascii="仿宋_GB2312" w:hAnsi="仿宋_GB2312" w:eastAsia="仿宋_GB2312" w:cs="仿宋_GB2312"/>
                <w:color w:val="000000"/>
                <w:sz w:val="24"/>
                <w:lang w:val="en-US" w:eastAsia="zh-CN"/>
              </w:rPr>
              <w:t>95%以上</w:t>
            </w:r>
          </w:p>
          <w:p>
            <w:pPr>
              <w:keepNext w:val="0"/>
              <w:keepLines w:val="0"/>
              <w:pageBreakBefore w:val="0"/>
              <w:widowControl w:val="0"/>
              <w:kinsoku/>
              <w:wordWrap/>
              <w:overflowPunct/>
              <w:topLinePunct w:val="0"/>
              <w:autoSpaceDE/>
              <w:autoSpaceDN w:val="0"/>
              <w:bidi w:val="0"/>
              <w:adjustRightInd/>
              <w:snapToGrid/>
              <w:spacing w:line="264" w:lineRule="auto"/>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rPr>
              <w:t>：考察</w:t>
            </w:r>
            <w:r>
              <w:rPr>
                <w:rFonts w:hint="eastAsia" w:ascii="仿宋_GB2312" w:hAnsi="仿宋_GB2312" w:eastAsia="仿宋_GB2312" w:cs="仿宋_GB2312"/>
                <w:color w:val="000000"/>
                <w:sz w:val="24"/>
                <w:lang w:val="en-US" w:eastAsia="zh-CN"/>
              </w:rPr>
              <w:t>单位对公众及职工</w:t>
            </w:r>
            <w:r>
              <w:rPr>
                <w:rFonts w:hint="eastAsia" w:ascii="仿宋_GB2312" w:hAnsi="仿宋_GB2312" w:eastAsia="仿宋_GB2312" w:cs="仿宋_GB2312"/>
                <w:color w:val="000000"/>
                <w:sz w:val="24"/>
              </w:rPr>
              <w:t>投诉及时办结情况</w:t>
            </w:r>
            <w:r>
              <w:rPr>
                <w:rFonts w:hint="eastAsia" w:ascii="仿宋_GB2312" w:hAnsi="仿宋_GB2312" w:eastAsia="仿宋_GB2312" w:cs="仿宋_GB2312"/>
                <w:color w:val="000000"/>
                <w:sz w:val="24"/>
                <w:lang w:eastAsia="zh-CN"/>
              </w:rPr>
              <w:t>，投诉办结率</w:t>
            </w:r>
            <w:r>
              <w:rPr>
                <w:rFonts w:hint="eastAsia" w:ascii="仿宋_GB2312" w:hAnsi="仿宋_GB2312" w:eastAsia="仿宋_GB2312" w:cs="仿宋_GB2312"/>
                <w:color w:val="000000"/>
                <w:sz w:val="24"/>
                <w:lang w:val="en-US" w:eastAsia="zh-CN"/>
              </w:rPr>
              <w:t>达到</w:t>
            </w:r>
            <w:r>
              <w:rPr>
                <w:rFonts w:hint="eastAsia" w:ascii="仿宋_GB2312" w:hAnsi="仿宋_GB2312" w:eastAsia="仿宋_GB2312" w:cs="仿宋_GB2312"/>
                <w:color w:val="000000"/>
                <w:sz w:val="24"/>
                <w:lang w:eastAsia="zh-CN"/>
              </w:rPr>
              <w:t>95%</w:t>
            </w:r>
            <w:r>
              <w:rPr>
                <w:rFonts w:hint="eastAsia" w:ascii="仿宋_GB2312" w:hAnsi="仿宋_GB2312" w:eastAsia="仿宋_GB2312" w:cs="仿宋_GB2312"/>
                <w:color w:val="000000"/>
                <w:sz w:val="24"/>
                <w:lang w:val="en-US" w:eastAsia="zh-CN"/>
              </w:rPr>
              <w:t>以上</w:t>
            </w:r>
          </w:p>
        </w:tc>
        <w:tc>
          <w:tcPr>
            <w:tcW w:w="2684" w:type="dxa"/>
            <w:gridSpan w:val="6"/>
            <w:noWrap w:val="0"/>
            <w:vAlign w:val="center"/>
          </w:tcPr>
          <w:p>
            <w:pPr>
              <w:autoSpaceDN w:val="0"/>
              <w:spacing w:line="320" w:lineRule="exact"/>
              <w:jc w:val="center"/>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20" w:hRule="atLeast"/>
          <w:jc w:val="center"/>
        </w:trPr>
        <w:tc>
          <w:tcPr>
            <w:tcW w:w="9800" w:type="dxa"/>
            <w:gridSpan w:val="1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67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366"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何文辉</w:t>
            </w:r>
          </w:p>
        </w:tc>
        <w:tc>
          <w:tcPr>
            <w:tcW w:w="367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主任</w:t>
            </w:r>
          </w:p>
        </w:tc>
        <w:tc>
          <w:tcPr>
            <w:tcW w:w="1366" w:type="dxa"/>
            <w:noWrap w:val="0"/>
            <w:vAlign w:val="center"/>
          </w:tcPr>
          <w:p>
            <w:pPr>
              <w:keepNext w:val="0"/>
              <w:keepLines w:val="0"/>
              <w:pageBreakBefore w:val="0"/>
              <w:widowControl w:val="0"/>
              <w:kinsoku/>
              <w:wordWrap/>
              <w:overflowPunct/>
              <w:topLinePunct w:val="0"/>
              <w:autoSpaceDE/>
              <w:autoSpaceDN w:val="0"/>
              <w:bidi w:val="0"/>
              <w:adjustRightInd/>
              <w:snapToGrid/>
              <w:spacing w:line="192" w:lineRule="auto"/>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岳阳市岳阳楼区市场建设服务中心</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罗爱明</w:t>
            </w:r>
          </w:p>
        </w:tc>
        <w:tc>
          <w:tcPr>
            <w:tcW w:w="367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副</w:t>
            </w:r>
            <w:r>
              <w:rPr>
                <w:rFonts w:hint="eastAsia" w:ascii="仿宋_GB2312" w:hAnsi="仿宋_GB2312" w:eastAsia="仿宋_GB2312" w:cs="仿宋_GB2312"/>
                <w:color w:val="000000"/>
                <w:sz w:val="24"/>
                <w:lang w:val="en-US" w:eastAsia="zh-CN"/>
              </w:rPr>
              <w:t>主任</w:t>
            </w:r>
          </w:p>
        </w:tc>
        <w:tc>
          <w:tcPr>
            <w:tcW w:w="1366" w:type="dxa"/>
            <w:noWrap w:val="0"/>
            <w:vAlign w:val="center"/>
          </w:tcPr>
          <w:p>
            <w:pPr>
              <w:keepNext w:val="0"/>
              <w:keepLines w:val="0"/>
              <w:pageBreakBefore w:val="0"/>
              <w:widowControl w:val="0"/>
              <w:kinsoku/>
              <w:wordWrap/>
              <w:overflowPunct/>
              <w:topLinePunct w:val="0"/>
              <w:autoSpaceDE/>
              <w:autoSpaceDN w:val="0"/>
              <w:bidi w:val="0"/>
              <w:adjustRightInd/>
              <w:snapToGrid/>
              <w:spacing w:line="192" w:lineRule="auto"/>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岳阳市岳阳楼区市场建设服务中心</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彭振</w:t>
            </w:r>
          </w:p>
        </w:tc>
        <w:tc>
          <w:tcPr>
            <w:tcW w:w="367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副主任</w:t>
            </w:r>
          </w:p>
        </w:tc>
        <w:tc>
          <w:tcPr>
            <w:tcW w:w="1366" w:type="dxa"/>
            <w:noWrap w:val="0"/>
            <w:vAlign w:val="center"/>
          </w:tcPr>
          <w:p>
            <w:pPr>
              <w:keepNext w:val="0"/>
              <w:keepLines w:val="0"/>
              <w:pageBreakBefore w:val="0"/>
              <w:widowControl w:val="0"/>
              <w:kinsoku/>
              <w:wordWrap/>
              <w:overflowPunct/>
              <w:topLinePunct w:val="0"/>
              <w:autoSpaceDE/>
              <w:autoSpaceDN w:val="0"/>
              <w:bidi w:val="0"/>
              <w:adjustRightInd/>
              <w:snapToGrid/>
              <w:spacing w:line="192" w:lineRule="auto"/>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岳阳市岳阳楼区市场建设服务中心</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李孟光</w:t>
            </w:r>
          </w:p>
        </w:tc>
        <w:tc>
          <w:tcPr>
            <w:tcW w:w="367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副主任</w:t>
            </w:r>
          </w:p>
        </w:tc>
        <w:tc>
          <w:tcPr>
            <w:tcW w:w="1366" w:type="dxa"/>
            <w:noWrap w:val="0"/>
            <w:vAlign w:val="center"/>
          </w:tcPr>
          <w:p>
            <w:pPr>
              <w:keepNext w:val="0"/>
              <w:keepLines w:val="0"/>
              <w:pageBreakBefore w:val="0"/>
              <w:widowControl w:val="0"/>
              <w:kinsoku/>
              <w:wordWrap/>
              <w:overflowPunct/>
              <w:topLinePunct w:val="0"/>
              <w:autoSpaceDE/>
              <w:autoSpaceDN w:val="0"/>
              <w:bidi w:val="0"/>
              <w:adjustRightInd/>
              <w:snapToGrid/>
              <w:spacing w:line="192" w:lineRule="auto"/>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岳阳市岳阳楼区市场建设服务中心</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卢小平</w:t>
            </w:r>
          </w:p>
        </w:tc>
        <w:tc>
          <w:tcPr>
            <w:tcW w:w="3674"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财</w:t>
            </w:r>
            <w:r>
              <w:rPr>
                <w:rFonts w:hint="eastAsia" w:ascii="仿宋_GB2312" w:hAnsi="仿宋_GB2312" w:eastAsia="仿宋_GB2312" w:cs="仿宋_GB2312"/>
                <w:color w:val="000000"/>
                <w:sz w:val="24"/>
                <w:lang w:val="en-US" w:eastAsia="zh-CN"/>
              </w:rPr>
              <w:t>计科科长</w:t>
            </w:r>
          </w:p>
        </w:tc>
        <w:tc>
          <w:tcPr>
            <w:tcW w:w="1366" w:type="dxa"/>
            <w:noWrap w:val="0"/>
            <w:vAlign w:val="center"/>
          </w:tcPr>
          <w:p>
            <w:pPr>
              <w:keepNext w:val="0"/>
              <w:keepLines w:val="0"/>
              <w:pageBreakBefore w:val="0"/>
              <w:widowControl w:val="0"/>
              <w:kinsoku/>
              <w:wordWrap/>
              <w:overflowPunct/>
              <w:topLinePunct w:val="0"/>
              <w:autoSpaceDE/>
              <w:autoSpaceDN w:val="0"/>
              <w:bidi w:val="0"/>
              <w:adjustRightInd/>
              <w:snapToGrid/>
              <w:spacing w:line="192" w:lineRule="auto"/>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岳阳市岳阳楼区市场建设服务中心</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任勇</w:t>
            </w:r>
          </w:p>
        </w:tc>
        <w:tc>
          <w:tcPr>
            <w:tcW w:w="367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办公室主任</w:t>
            </w:r>
          </w:p>
        </w:tc>
        <w:tc>
          <w:tcPr>
            <w:tcW w:w="1366" w:type="dxa"/>
            <w:noWrap w:val="0"/>
            <w:vAlign w:val="center"/>
          </w:tcPr>
          <w:p>
            <w:pPr>
              <w:keepNext w:val="0"/>
              <w:keepLines w:val="0"/>
              <w:pageBreakBefore w:val="0"/>
              <w:widowControl w:val="0"/>
              <w:kinsoku/>
              <w:wordWrap/>
              <w:overflowPunct/>
              <w:topLinePunct w:val="0"/>
              <w:autoSpaceDE/>
              <w:autoSpaceDN w:val="0"/>
              <w:bidi w:val="0"/>
              <w:adjustRightInd/>
              <w:snapToGrid/>
              <w:spacing w:line="192" w:lineRule="auto"/>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岳阳市岳阳楼区市场建设服务中心</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戴军</w:t>
            </w:r>
          </w:p>
        </w:tc>
        <w:tc>
          <w:tcPr>
            <w:tcW w:w="3674"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物业科科长</w:t>
            </w:r>
          </w:p>
        </w:tc>
        <w:tc>
          <w:tcPr>
            <w:tcW w:w="1366" w:type="dxa"/>
            <w:noWrap w:val="0"/>
            <w:vAlign w:val="center"/>
          </w:tcPr>
          <w:p>
            <w:pPr>
              <w:keepNext w:val="0"/>
              <w:keepLines w:val="0"/>
              <w:pageBreakBefore w:val="0"/>
              <w:widowControl w:val="0"/>
              <w:kinsoku/>
              <w:wordWrap/>
              <w:overflowPunct/>
              <w:topLinePunct w:val="0"/>
              <w:autoSpaceDE/>
              <w:autoSpaceDN w:val="0"/>
              <w:bidi w:val="0"/>
              <w:adjustRightInd/>
              <w:snapToGrid/>
              <w:spacing w:line="192" w:lineRule="auto"/>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岳阳市岳阳楼区市场建设服务中心</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熊雄</w:t>
            </w:r>
          </w:p>
        </w:tc>
        <w:tc>
          <w:tcPr>
            <w:tcW w:w="3674"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人事科科长</w:t>
            </w:r>
          </w:p>
        </w:tc>
        <w:tc>
          <w:tcPr>
            <w:tcW w:w="1366" w:type="dxa"/>
            <w:noWrap w:val="0"/>
            <w:vAlign w:val="center"/>
          </w:tcPr>
          <w:p>
            <w:pPr>
              <w:keepNext w:val="0"/>
              <w:keepLines w:val="0"/>
              <w:pageBreakBefore w:val="0"/>
              <w:widowControl w:val="0"/>
              <w:kinsoku/>
              <w:wordWrap/>
              <w:overflowPunct/>
              <w:topLinePunct w:val="0"/>
              <w:autoSpaceDE/>
              <w:autoSpaceDN w:val="0"/>
              <w:bidi w:val="0"/>
              <w:adjustRightInd/>
              <w:snapToGrid/>
              <w:spacing w:line="192" w:lineRule="auto"/>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岳阳市岳阳楼区市场建设服务中心</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342" w:hRule="atLeast"/>
          <w:jc w:val="center"/>
        </w:trPr>
        <w:tc>
          <w:tcPr>
            <w:tcW w:w="9800" w:type="dxa"/>
            <w:gridSpan w:val="16"/>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27" w:hRule="atLeast"/>
          <w:jc w:val="center"/>
        </w:trPr>
        <w:tc>
          <w:tcPr>
            <w:tcW w:w="9800" w:type="dxa"/>
            <w:gridSpan w:val="16"/>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777" w:hRule="atLeast"/>
          <w:jc w:val="center"/>
        </w:trPr>
        <w:tc>
          <w:tcPr>
            <w:tcW w:w="9800" w:type="dxa"/>
            <w:gridSpan w:val="16"/>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                          联系电话：</w:t>
      </w:r>
      <w:r>
        <w:rPr>
          <w:rFonts w:hint="eastAsia" w:eastAsia="仿宋_GB2312" w:cs="仿宋_GB2312"/>
          <w:bCs/>
          <w:sz w:val="28"/>
          <w:szCs w:val="28"/>
          <w:lang w:val="en-US" w:eastAsia="zh-CN"/>
        </w:rPr>
        <w:t>17707404669</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3" w:hRule="atLeast"/>
          <w:jc w:val="center"/>
        </w:trPr>
        <w:tc>
          <w:tcPr>
            <w:tcW w:w="9558" w:type="dxa"/>
            <w:noWrap w:val="0"/>
            <w:vAlign w:val="top"/>
          </w:tcPr>
          <w:p>
            <w:pPr>
              <w:jc w:val="center"/>
              <w:rPr>
                <w:rFonts w:hint="eastAsia" w:eastAsia="仿宋_GB2312"/>
                <w:sz w:val="32"/>
                <w:szCs w:val="32"/>
              </w:rPr>
            </w:pPr>
            <w:r>
              <w:rPr>
                <w:rFonts w:hint="eastAsia" w:ascii="黑体" w:hAnsi="黑体" w:eastAsia="黑体" w:cs="黑体"/>
                <w:bCs/>
                <w:sz w:val="28"/>
                <w:szCs w:val="28"/>
              </w:rPr>
              <w:t>五、评价报告综述（文字部分）</w:t>
            </w:r>
          </w:p>
          <w:p>
            <w:pPr>
              <w:spacing w:line="240" w:lineRule="auto"/>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pStyle w:val="6"/>
              <w:spacing w:before="0" w:beforeAutospacing="0" w:after="0" w:afterAutospacing="0" w:line="240" w:lineRule="auto"/>
              <w:ind w:firstLine="560" w:firstLineChars="200"/>
              <w:jc w:val="both"/>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（一）我</w:t>
            </w:r>
            <w:r>
              <w:rPr>
                <w:rFonts w:hint="eastAsia" w:ascii="仿宋_GB2312" w:hAnsi="仿宋_GB2312" w:eastAsia="仿宋_GB2312" w:cs="仿宋_GB2312"/>
                <w:bCs/>
                <w:sz w:val="28"/>
                <w:szCs w:val="28"/>
                <w:lang w:val="en-US" w:eastAsia="zh-CN"/>
              </w:rPr>
              <w:t>单位</w:t>
            </w:r>
            <w:r>
              <w:rPr>
                <w:rFonts w:hint="eastAsia" w:ascii="仿宋_GB2312" w:hAnsi="仿宋_GB2312" w:eastAsia="仿宋_GB2312" w:cs="仿宋_GB2312"/>
                <w:bCs/>
                <w:sz w:val="28"/>
                <w:szCs w:val="28"/>
              </w:rPr>
              <w:t>2021年底职工人数</w:t>
            </w:r>
            <w:r>
              <w:rPr>
                <w:rFonts w:hint="eastAsia" w:ascii="仿宋_GB2312" w:hAnsi="仿宋_GB2312" w:eastAsia="仿宋_GB2312" w:cs="仿宋_GB2312"/>
                <w:bCs/>
                <w:sz w:val="28"/>
                <w:szCs w:val="28"/>
                <w:lang w:val="en-US" w:eastAsia="zh-CN"/>
              </w:rPr>
              <w:t>88</w:t>
            </w:r>
            <w:r>
              <w:rPr>
                <w:rFonts w:hint="eastAsia" w:ascii="仿宋_GB2312" w:hAnsi="仿宋_GB2312" w:eastAsia="仿宋_GB2312" w:cs="仿宋_GB2312"/>
                <w:bCs/>
                <w:sz w:val="28"/>
                <w:szCs w:val="28"/>
              </w:rPr>
              <w:t>人，其中：</w:t>
            </w:r>
            <w:r>
              <w:rPr>
                <w:rFonts w:hint="eastAsia" w:ascii="仿宋_GB2312" w:hAnsi="仿宋_GB2312" w:eastAsia="仿宋_GB2312" w:cs="仿宋_GB2312"/>
                <w:bCs/>
                <w:sz w:val="28"/>
                <w:szCs w:val="28"/>
                <w:lang w:val="en-US" w:eastAsia="zh-CN"/>
              </w:rPr>
              <w:t>在编人员49人</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企业人员12人员，</w:t>
            </w:r>
            <w:r>
              <w:rPr>
                <w:rFonts w:hint="eastAsia" w:ascii="仿宋_GB2312" w:hAnsi="仿宋_GB2312" w:eastAsia="仿宋_GB2312" w:cs="仿宋_GB2312"/>
                <w:bCs/>
                <w:sz w:val="28"/>
                <w:szCs w:val="28"/>
              </w:rPr>
              <w:t>退休</w:t>
            </w:r>
            <w:r>
              <w:rPr>
                <w:rFonts w:hint="eastAsia" w:ascii="仿宋_GB2312" w:hAnsi="仿宋_GB2312" w:eastAsia="仿宋_GB2312" w:cs="仿宋_GB2312"/>
                <w:bCs/>
                <w:sz w:val="28"/>
                <w:szCs w:val="28"/>
                <w:lang w:val="en-US" w:eastAsia="zh-CN"/>
              </w:rPr>
              <w:t>27</w:t>
            </w:r>
            <w:r>
              <w:rPr>
                <w:rFonts w:hint="eastAsia" w:ascii="仿宋_GB2312" w:hAnsi="仿宋_GB2312" w:eastAsia="仿宋_GB2312" w:cs="仿宋_GB2312"/>
                <w:bCs/>
                <w:sz w:val="28"/>
                <w:szCs w:val="28"/>
              </w:rPr>
              <w:t>人。机关设置</w:t>
            </w:r>
            <w:r>
              <w:rPr>
                <w:rFonts w:hint="eastAsia" w:ascii="仿宋_GB2312" w:hAnsi="仿宋_GB2312" w:eastAsia="仿宋_GB2312" w:cs="仿宋_GB2312"/>
                <w:bCs/>
                <w:sz w:val="28"/>
                <w:szCs w:val="28"/>
                <w:lang w:val="en-US" w:eastAsia="zh-CN"/>
              </w:rPr>
              <w:t>5</w:t>
            </w:r>
            <w:r>
              <w:rPr>
                <w:rFonts w:hint="eastAsia" w:ascii="仿宋_GB2312" w:hAnsi="仿宋_GB2312" w:eastAsia="仿宋_GB2312" w:cs="仿宋_GB2312"/>
                <w:bCs/>
                <w:sz w:val="28"/>
                <w:szCs w:val="28"/>
              </w:rPr>
              <w:t>个内设</w:t>
            </w:r>
            <w:r>
              <w:rPr>
                <w:rFonts w:hint="eastAsia" w:ascii="仿宋_GB2312" w:hAnsi="仿宋_GB2312" w:eastAsia="仿宋_GB2312" w:cs="仿宋_GB2312"/>
                <w:bCs/>
                <w:sz w:val="28"/>
                <w:szCs w:val="28"/>
                <w:lang w:val="en-US" w:eastAsia="zh-CN"/>
              </w:rPr>
              <w:t>科</w:t>
            </w:r>
            <w:r>
              <w:rPr>
                <w:rFonts w:hint="eastAsia" w:ascii="仿宋_GB2312" w:hAnsi="仿宋_GB2312" w:eastAsia="仿宋_GB2312" w:cs="仿宋_GB2312"/>
                <w:bCs/>
                <w:sz w:val="28"/>
                <w:szCs w:val="28"/>
              </w:rPr>
              <w:t>室：办公室、人事</w:t>
            </w:r>
            <w:r>
              <w:rPr>
                <w:rFonts w:hint="eastAsia" w:ascii="仿宋_GB2312" w:hAnsi="仿宋_GB2312" w:eastAsia="仿宋_GB2312" w:cs="仿宋_GB2312"/>
                <w:bCs/>
                <w:sz w:val="28"/>
                <w:szCs w:val="28"/>
                <w:lang w:val="en-US" w:eastAsia="zh-CN"/>
              </w:rPr>
              <w:t>科</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财计科</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物业科</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维稳保安科</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下辖5个分中心：大桥分中心、开源分中心、五里牌分中心、庙前街分中心、城陵矶分中心。</w:t>
            </w:r>
          </w:p>
          <w:p>
            <w:pPr>
              <w:pStyle w:val="6"/>
              <w:spacing w:before="0" w:beforeAutospacing="0" w:after="0" w:afterAutospacing="0" w:line="240" w:lineRule="auto"/>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（二）我</w:t>
            </w:r>
            <w:r>
              <w:rPr>
                <w:rFonts w:hint="eastAsia" w:ascii="仿宋_GB2312" w:hAnsi="仿宋_GB2312" w:eastAsia="仿宋_GB2312" w:cs="仿宋_GB2312"/>
                <w:bCs/>
                <w:sz w:val="28"/>
                <w:szCs w:val="28"/>
                <w:lang w:val="en-US" w:eastAsia="zh-CN"/>
              </w:rPr>
              <w:t>单位</w:t>
            </w:r>
            <w:r>
              <w:rPr>
                <w:rFonts w:hint="eastAsia" w:ascii="仿宋_GB2312" w:hAnsi="仿宋_GB2312" w:eastAsia="仿宋_GB2312" w:cs="仿宋_GB2312"/>
                <w:bCs/>
                <w:sz w:val="28"/>
                <w:szCs w:val="28"/>
              </w:rPr>
              <w:t>纳入2021年整体支出规模范围的只有</w:t>
            </w:r>
            <w:r>
              <w:rPr>
                <w:rFonts w:hint="eastAsia" w:ascii="仿宋_GB2312" w:hAnsi="仿宋_GB2312" w:eastAsia="仿宋_GB2312" w:cs="仿宋_GB2312"/>
                <w:bCs/>
                <w:sz w:val="28"/>
                <w:szCs w:val="28"/>
                <w:lang w:val="en-US" w:eastAsia="zh-CN"/>
              </w:rPr>
              <w:t>岳阳市</w:t>
            </w:r>
            <w:r>
              <w:rPr>
                <w:rFonts w:hint="eastAsia" w:ascii="仿宋_GB2312" w:hAnsi="仿宋_GB2312" w:eastAsia="仿宋_GB2312" w:cs="仿宋_GB2312"/>
                <w:bCs/>
                <w:sz w:val="28"/>
                <w:szCs w:val="28"/>
              </w:rPr>
              <w:t>岳阳楼区</w:t>
            </w:r>
            <w:r>
              <w:rPr>
                <w:rFonts w:hint="eastAsia" w:ascii="仿宋_GB2312" w:hAnsi="仿宋_GB2312" w:eastAsia="仿宋_GB2312" w:cs="仿宋_GB2312"/>
                <w:bCs/>
                <w:sz w:val="28"/>
                <w:szCs w:val="28"/>
                <w:lang w:val="en-US" w:eastAsia="zh-CN"/>
              </w:rPr>
              <w:t>市场建设服务中心</w:t>
            </w:r>
            <w:r>
              <w:rPr>
                <w:rFonts w:hint="eastAsia" w:ascii="仿宋_GB2312" w:hAnsi="仿宋_GB2312" w:eastAsia="仿宋_GB2312" w:cs="仿宋_GB2312"/>
                <w:bCs/>
                <w:sz w:val="28"/>
                <w:szCs w:val="28"/>
              </w:rPr>
              <w:t>本级。整体支出包括基本支出和专项支出。</w:t>
            </w:r>
          </w:p>
          <w:p>
            <w:pPr>
              <w:spacing w:line="240" w:lineRule="auto"/>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pStyle w:val="6"/>
              <w:spacing w:before="0" w:beforeAutospacing="0" w:after="0" w:afterAutospacing="0" w:line="240" w:lineRule="auto"/>
              <w:ind w:firstLine="840" w:firstLineChars="300"/>
              <w:jc w:val="both"/>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（一）基本支出</w:t>
            </w:r>
            <w:r>
              <w:rPr>
                <w:rFonts w:hint="eastAsia" w:ascii="仿宋_GB2312" w:hAnsi="仿宋_GB2312" w:eastAsia="仿宋_GB2312" w:cs="仿宋_GB2312"/>
                <w:bCs/>
                <w:sz w:val="28"/>
                <w:szCs w:val="28"/>
                <w:lang w:val="en-US" w:eastAsia="zh-CN"/>
              </w:rPr>
              <w:t>及专项支出情况</w:t>
            </w:r>
          </w:p>
          <w:p>
            <w:pPr>
              <w:pStyle w:val="6"/>
              <w:spacing w:before="0" w:beforeAutospacing="0" w:after="0" w:afterAutospacing="0" w:line="240" w:lineRule="auto"/>
              <w:ind w:firstLine="840" w:firstLineChars="3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我单位2021年度</w:t>
            </w:r>
            <w:r>
              <w:rPr>
                <w:rFonts w:hint="eastAsia" w:ascii="仿宋_GB2312" w:hAnsi="仿宋_GB2312" w:eastAsia="仿宋_GB2312" w:cs="仿宋_GB2312"/>
                <w:bCs/>
                <w:sz w:val="28"/>
                <w:szCs w:val="28"/>
              </w:rPr>
              <w:t>基本支出</w:t>
            </w:r>
            <w:r>
              <w:rPr>
                <w:rFonts w:hint="eastAsia" w:ascii="仿宋_GB2312" w:hAnsi="仿宋_GB2312" w:eastAsia="仿宋_GB2312" w:cs="仿宋_GB2312"/>
                <w:bCs/>
                <w:sz w:val="28"/>
                <w:szCs w:val="28"/>
                <w:lang w:val="en-US" w:eastAsia="zh-CN"/>
              </w:rPr>
              <w:t>613.34</w:t>
            </w:r>
            <w:r>
              <w:rPr>
                <w:rFonts w:hint="eastAsia" w:ascii="仿宋_GB2312" w:hAnsi="仿宋_GB2312" w:eastAsia="仿宋_GB2312" w:cs="仿宋_GB2312"/>
                <w:bCs/>
                <w:sz w:val="28"/>
                <w:szCs w:val="28"/>
              </w:rPr>
              <w:t>万元，其中人员经费支出</w:t>
            </w:r>
            <w:r>
              <w:rPr>
                <w:rFonts w:hint="eastAsia" w:ascii="仿宋_GB2312" w:hAnsi="仿宋_GB2312" w:eastAsia="仿宋_GB2312" w:cs="仿宋_GB2312"/>
                <w:bCs/>
                <w:sz w:val="28"/>
                <w:szCs w:val="28"/>
                <w:lang w:val="en-US" w:eastAsia="zh-CN"/>
              </w:rPr>
              <w:t>584.50</w:t>
            </w:r>
            <w:r>
              <w:rPr>
                <w:rFonts w:hint="eastAsia" w:ascii="仿宋_GB2312" w:hAnsi="仿宋_GB2312" w:eastAsia="仿宋_GB2312" w:cs="仿宋_GB2312"/>
                <w:bCs/>
                <w:sz w:val="28"/>
                <w:szCs w:val="28"/>
              </w:rPr>
              <w:t>万元，包括工资福利支出5</w:t>
            </w: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rPr>
              <w:t>7.</w:t>
            </w:r>
            <w:r>
              <w:rPr>
                <w:rFonts w:hint="eastAsia" w:ascii="仿宋_GB2312" w:hAnsi="仿宋_GB2312" w:eastAsia="仿宋_GB2312" w:cs="仿宋_GB2312"/>
                <w:bCs/>
                <w:sz w:val="28"/>
                <w:szCs w:val="28"/>
                <w:lang w:val="en-US" w:eastAsia="zh-CN"/>
              </w:rPr>
              <w:t>42</w:t>
            </w:r>
            <w:r>
              <w:rPr>
                <w:rFonts w:hint="eastAsia" w:ascii="仿宋_GB2312" w:hAnsi="仿宋_GB2312" w:eastAsia="仿宋_GB2312" w:cs="仿宋_GB2312"/>
                <w:bCs/>
                <w:sz w:val="28"/>
                <w:szCs w:val="28"/>
              </w:rPr>
              <w:t>万元，对个人和家庭的补助支出</w:t>
            </w:r>
            <w:r>
              <w:rPr>
                <w:rFonts w:hint="eastAsia" w:ascii="仿宋_GB2312" w:hAnsi="仿宋_GB2312" w:eastAsia="仿宋_GB2312" w:cs="仿宋_GB2312"/>
                <w:bCs/>
                <w:sz w:val="28"/>
                <w:szCs w:val="28"/>
                <w:lang w:val="en-US" w:eastAsia="zh-CN"/>
              </w:rPr>
              <w:t>47.07</w:t>
            </w:r>
            <w:r>
              <w:rPr>
                <w:rFonts w:hint="eastAsia" w:ascii="仿宋_GB2312" w:hAnsi="仿宋_GB2312" w:eastAsia="仿宋_GB2312" w:cs="仿宋_GB2312"/>
                <w:bCs/>
                <w:sz w:val="28"/>
                <w:szCs w:val="28"/>
              </w:rPr>
              <w:t>万元。日常公用经费支出</w:t>
            </w:r>
            <w:r>
              <w:rPr>
                <w:rFonts w:hint="eastAsia" w:ascii="仿宋_GB2312" w:hAnsi="仿宋_GB2312" w:eastAsia="仿宋_GB2312" w:cs="仿宋_GB2312"/>
                <w:bCs/>
                <w:sz w:val="28"/>
                <w:szCs w:val="28"/>
                <w:lang w:val="en-US" w:eastAsia="zh-CN"/>
              </w:rPr>
              <w:t>28.84</w:t>
            </w:r>
            <w:r>
              <w:rPr>
                <w:rFonts w:hint="eastAsia" w:ascii="仿宋_GB2312" w:hAnsi="仿宋_GB2312" w:eastAsia="仿宋_GB2312" w:cs="仿宋_GB2312"/>
                <w:bCs/>
                <w:sz w:val="28"/>
                <w:szCs w:val="28"/>
              </w:rPr>
              <w:t>万元。2021年“三公”经费</w:t>
            </w:r>
            <w:r>
              <w:rPr>
                <w:rFonts w:hint="eastAsia" w:ascii="仿宋_GB2312" w:hAnsi="仿宋_GB2312" w:eastAsia="仿宋_GB2312" w:cs="仿宋_GB2312"/>
                <w:bCs/>
                <w:sz w:val="28"/>
                <w:szCs w:val="28"/>
                <w:lang w:val="en-US" w:eastAsia="zh-CN"/>
              </w:rPr>
              <w:t>支出0.00万元</w:t>
            </w:r>
            <w:r>
              <w:rPr>
                <w:rFonts w:hint="eastAsia" w:ascii="仿宋_GB2312" w:hAnsi="仿宋_GB2312" w:eastAsia="仿宋_GB2312" w:cs="仿宋_GB2312"/>
                <w:bCs/>
                <w:sz w:val="28"/>
                <w:szCs w:val="28"/>
              </w:rPr>
              <w:t>，本单位无</w:t>
            </w:r>
            <w:r>
              <w:rPr>
                <w:rFonts w:hint="eastAsia" w:ascii="仿宋_GB2312" w:hAnsi="仿宋_GB2312" w:eastAsia="仿宋_GB2312" w:cs="仿宋_GB2312"/>
                <w:bCs/>
                <w:sz w:val="28"/>
                <w:szCs w:val="28"/>
                <w:lang w:val="en-US" w:eastAsia="zh-CN"/>
              </w:rPr>
              <w:t>公务接待费、</w:t>
            </w:r>
            <w:r>
              <w:rPr>
                <w:rFonts w:hint="eastAsia" w:ascii="仿宋_GB2312" w:hAnsi="仿宋_GB2312" w:eastAsia="仿宋_GB2312" w:cs="仿宋_GB2312"/>
                <w:bCs/>
                <w:sz w:val="28"/>
                <w:szCs w:val="28"/>
              </w:rPr>
              <w:t>公务用车购置费</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公务用车</w:t>
            </w:r>
            <w:r>
              <w:rPr>
                <w:rFonts w:hint="eastAsia" w:ascii="仿宋_GB2312" w:hAnsi="仿宋_GB2312" w:eastAsia="仿宋_GB2312" w:cs="仿宋_GB2312"/>
                <w:bCs/>
                <w:sz w:val="28"/>
                <w:szCs w:val="28"/>
              </w:rPr>
              <w:t>运维费</w:t>
            </w:r>
            <w:r>
              <w:rPr>
                <w:rFonts w:hint="eastAsia" w:ascii="仿宋_GB2312" w:hAnsi="仿宋_GB2312" w:eastAsia="仿宋_GB2312" w:cs="仿宋_GB2312"/>
                <w:bCs/>
                <w:sz w:val="28"/>
                <w:szCs w:val="28"/>
                <w:lang w:val="en-US" w:eastAsia="zh-CN"/>
              </w:rPr>
              <w:t>及</w:t>
            </w:r>
            <w:r>
              <w:rPr>
                <w:rFonts w:hint="eastAsia" w:ascii="仿宋_GB2312" w:hAnsi="仿宋_GB2312" w:eastAsia="仿宋_GB2312" w:cs="仿宋_GB2312"/>
                <w:bCs/>
                <w:sz w:val="28"/>
                <w:szCs w:val="28"/>
              </w:rPr>
              <w:t>因公出国（境）费。</w:t>
            </w:r>
          </w:p>
          <w:p>
            <w:pPr>
              <w:pStyle w:val="6"/>
              <w:spacing w:before="0" w:beforeAutospacing="0" w:after="0" w:afterAutospacing="0" w:line="240" w:lineRule="auto"/>
              <w:ind w:firstLine="560" w:firstLineChars="200"/>
              <w:jc w:val="both"/>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我单位2021年度专项</w:t>
            </w:r>
            <w:r>
              <w:rPr>
                <w:rFonts w:hint="eastAsia" w:ascii="仿宋_GB2312" w:hAnsi="仿宋_GB2312" w:eastAsia="仿宋_GB2312" w:cs="仿宋_GB2312"/>
                <w:bCs/>
                <w:sz w:val="28"/>
                <w:szCs w:val="28"/>
              </w:rPr>
              <w:t>支出</w:t>
            </w:r>
            <w:r>
              <w:rPr>
                <w:rFonts w:hint="eastAsia" w:ascii="仿宋_GB2312" w:hAnsi="仿宋_GB2312" w:eastAsia="仿宋_GB2312" w:cs="仿宋_GB2312"/>
                <w:bCs/>
                <w:sz w:val="28"/>
                <w:szCs w:val="28"/>
                <w:lang w:val="en-US" w:eastAsia="zh-CN"/>
              </w:rPr>
              <w:t>859.40</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val="en-US" w:eastAsia="zh-CN"/>
              </w:rPr>
              <w:t>主要为企业人员和三性用工人员工资社保支出及非税收入返还。我单位2021年度税金及附加费用支出292.55万元，基础设施建设支出40.48万元，其他商品和服务支出526.37万元。</w:t>
            </w:r>
          </w:p>
          <w:p>
            <w:pPr>
              <w:spacing w:line="240" w:lineRule="auto"/>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pStyle w:val="6"/>
              <w:spacing w:before="0" w:beforeAutospacing="0" w:after="0" w:afterAutospacing="0" w:line="240" w:lineRule="auto"/>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我单位</w:t>
            </w:r>
            <w:r>
              <w:rPr>
                <w:rFonts w:hint="eastAsia" w:ascii="仿宋_GB2312" w:hAnsi="仿宋_GB2312" w:eastAsia="仿宋_GB2312" w:cs="仿宋_GB2312"/>
                <w:bCs/>
                <w:sz w:val="28"/>
                <w:szCs w:val="28"/>
              </w:rPr>
              <w:t>按照专项资金的管理要求，建立了相关的管理制度，本单位无50万以上的专项。</w:t>
            </w:r>
          </w:p>
          <w:p>
            <w:pPr>
              <w:keepNext w:val="0"/>
              <w:keepLines w:val="0"/>
              <w:pageBreakBefore w:val="0"/>
              <w:kinsoku/>
              <w:wordWrap/>
              <w:overflowPunct/>
              <w:topLinePunct w:val="0"/>
              <w:autoSpaceDE/>
              <w:bidi w:val="0"/>
              <w:adjustRightInd/>
              <w:snapToGrid/>
              <w:spacing w:line="300" w:lineRule="auto"/>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keepNext w:val="0"/>
              <w:keepLines w:val="0"/>
              <w:pageBreakBefore w:val="0"/>
              <w:widowControl w:val="0"/>
              <w:kinsoku/>
              <w:wordWrap/>
              <w:overflowPunct/>
              <w:topLinePunct w:val="0"/>
              <w:autoSpaceDE/>
              <w:autoSpaceDN w:val="0"/>
              <w:bidi w:val="0"/>
              <w:adjustRightInd/>
              <w:snapToGrid/>
              <w:spacing w:line="300" w:lineRule="auto"/>
              <w:ind w:firstLine="562"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1</w:t>
            </w:r>
            <w:r>
              <w:rPr>
                <w:rFonts w:hint="eastAsia" w:ascii="仿宋_GB2312" w:hAnsi="仿宋_GB2312" w:eastAsia="仿宋_GB2312" w:cs="仿宋_GB2312"/>
                <w:b/>
                <w:bCs/>
                <w:color w:val="000000"/>
                <w:sz w:val="28"/>
                <w:szCs w:val="28"/>
                <w:lang w:eastAsia="zh-CN"/>
              </w:rPr>
              <w:t>、</w:t>
            </w:r>
            <w:r>
              <w:rPr>
                <w:rFonts w:hint="eastAsia" w:ascii="仿宋_GB2312" w:hAnsi="仿宋_GB2312" w:eastAsia="仿宋_GB2312" w:cs="仿宋_GB2312"/>
                <w:b/>
                <w:bCs/>
                <w:color w:val="000000"/>
                <w:sz w:val="28"/>
                <w:szCs w:val="28"/>
              </w:rPr>
              <w:t>强化队伍建设，凝聚向心力。</w:t>
            </w:r>
          </w:p>
          <w:p>
            <w:pPr>
              <w:keepNext w:val="0"/>
              <w:keepLines w:val="0"/>
              <w:pageBreakBefore w:val="0"/>
              <w:widowControl w:val="0"/>
              <w:kinsoku/>
              <w:wordWrap/>
              <w:overflowPunct/>
              <w:topLinePunct w:val="0"/>
              <w:autoSpaceDE/>
              <w:autoSpaceDN w:val="0"/>
              <w:bidi w:val="0"/>
              <w:adjustRightInd/>
              <w:snapToGrid/>
              <w:spacing w:line="300" w:lineRule="auto"/>
              <w:ind w:firstLine="560"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sz w:val="28"/>
                <w:szCs w:val="28"/>
              </w:rPr>
              <w:t>我中心是2020年加入楼区的一支新队伍，下沉后因多方原因造成部分人员思想波动，干事创业出现离心力。前期，主要是引导职工保持良好心态，提升职业操守，把心思和精力凝聚到干事创业上。通过沟通交流，赢得理解、建立信任，团队逐渐默契，凝聚力明显增强。</w:t>
            </w:r>
          </w:p>
          <w:p>
            <w:pPr>
              <w:keepNext w:val="0"/>
              <w:keepLines w:val="0"/>
              <w:pageBreakBefore w:val="0"/>
              <w:widowControl w:val="0"/>
              <w:numPr>
                <w:ilvl w:val="0"/>
                <w:numId w:val="1"/>
              </w:numPr>
              <w:kinsoku/>
              <w:wordWrap/>
              <w:overflowPunct/>
              <w:topLinePunct w:val="0"/>
              <w:autoSpaceDE/>
              <w:autoSpaceDN w:val="0"/>
              <w:bidi w:val="0"/>
              <w:adjustRightInd/>
              <w:snapToGrid/>
              <w:spacing w:line="300" w:lineRule="auto"/>
              <w:ind w:firstLine="562"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推进项目建设，提升市场品质。</w:t>
            </w:r>
          </w:p>
          <w:p>
            <w:pPr>
              <w:keepNext w:val="0"/>
              <w:keepLines w:val="0"/>
              <w:pageBreakBefore w:val="0"/>
              <w:widowControl w:val="0"/>
              <w:numPr>
                <w:ilvl w:val="0"/>
                <w:numId w:val="0"/>
              </w:numPr>
              <w:kinsoku/>
              <w:wordWrap/>
              <w:overflowPunct/>
              <w:topLinePunct w:val="0"/>
              <w:autoSpaceDE/>
              <w:autoSpaceDN w:val="0"/>
              <w:bidi w:val="0"/>
              <w:adjustRightInd/>
              <w:snapToGrid/>
              <w:spacing w:line="300" w:lineRule="auto"/>
              <w:ind w:firstLine="560"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sz w:val="28"/>
                <w:szCs w:val="28"/>
              </w:rPr>
              <w:t>在推进项目建设，提升市场品质方面。一是认真抓好四个市场的提质改造。为认真落实区政府关于菜市场提质改造三年攻坚行动部署，中心成立了专门班子，启动所属五里牌农贸市场、城陵矶农贸市场、龙源菜市场、洪家洲菜市场的提质改造建设项目。四个项目总投资1200万元，拟于2021年12月竣工。二是抓好市场安全隐患整治。我们在充分调研、多方沟通的基础上，取得区政府支持，完成了对五里牌、庙前街、骆加坡市场突出安全隐患问题的整治工程。三是全力配合完成两个整治项目。巴陵大桥农贸市场零补偿拆除通告发布后，市场67户经营户反映强烈、密集上访，对此，我中心高度重视，迅速成立专班，全力配合东茅岭办事处做好经营户的释疑疏导稳控工作，圆满完成所属43个门面、22个摊位的拆除工作。针对洪家洲市场外围违建严重，通道不畅情况，我们配合城陵矶街道办事处进行摸底调研及拆违，有力推进了该市场整治进程。</w:t>
            </w:r>
          </w:p>
          <w:p>
            <w:pPr>
              <w:keepNext w:val="0"/>
              <w:keepLines w:val="0"/>
              <w:pageBreakBefore w:val="0"/>
              <w:numPr>
                <w:ilvl w:val="0"/>
                <w:numId w:val="1"/>
              </w:numPr>
              <w:kinsoku/>
              <w:wordWrap/>
              <w:overflowPunct/>
              <w:topLinePunct w:val="0"/>
              <w:autoSpaceDE/>
              <w:autoSpaceDN w:val="0"/>
              <w:bidi w:val="0"/>
              <w:adjustRightInd/>
              <w:snapToGrid/>
              <w:spacing w:line="300" w:lineRule="auto"/>
              <w:ind w:left="0" w:leftChars="0" w:firstLine="562" w:firstLineChars="200"/>
              <w:jc w:val="left"/>
              <w:textAlignment w:val="center"/>
              <w:rPr>
                <w:rFonts w:hint="eastAsia" w:ascii="仿宋_GB2312" w:hAnsi="仿宋_GB2312" w:eastAsia="仿宋_GB2312" w:cs="仿宋_GB2312"/>
                <w:color w:val="000000"/>
                <w:sz w:val="28"/>
                <w:szCs w:val="28"/>
              </w:rPr>
            </w:pPr>
            <w:r>
              <w:rPr>
                <w:rFonts w:hint="eastAsia" w:ascii="仿宋_GB2312" w:hAnsi="仿宋_GB2312" w:eastAsia="仿宋_GB2312" w:cs="仿宋_GB2312"/>
                <w:b/>
                <w:bCs/>
                <w:color w:val="000000"/>
                <w:sz w:val="28"/>
                <w:szCs w:val="28"/>
              </w:rPr>
              <w:t>严格资产管理，化解经营风险。</w:t>
            </w:r>
          </w:p>
          <w:p>
            <w:pPr>
              <w:keepNext w:val="0"/>
              <w:keepLines w:val="0"/>
              <w:pageBreakBefore w:val="0"/>
              <w:widowControl w:val="0"/>
              <w:numPr>
                <w:ilvl w:val="0"/>
                <w:numId w:val="0"/>
              </w:numPr>
              <w:kinsoku/>
              <w:wordWrap/>
              <w:overflowPunct/>
              <w:topLinePunct w:val="0"/>
              <w:autoSpaceDE/>
              <w:autoSpaceDN w:val="0"/>
              <w:bidi w:val="0"/>
              <w:adjustRightInd/>
              <w:snapToGrid/>
              <w:spacing w:line="300" w:lineRule="auto"/>
              <w:ind w:firstLine="560"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sz w:val="28"/>
                <w:szCs w:val="28"/>
              </w:rPr>
              <w:t>资产管理方面，在深入调研并取得区政府、区财政局同意的前提下，对已逾期的庙前街越洋幼儿园、开源索兰图茶楼、五里牌天祥电脑城及四楼几个大型整体租赁合同，采取协商方式予以续签，最大限度化解经营风险，确保国有资产的保值增值。2021年中心物业管理收入目标任务457万元，截止12月26日，中心已完成物业收入452.98万元，剔除因巴陵大桥农贸市场整治拆除短收的21.53万元，中心已超额完成物业管理收入目标任务。</w:t>
            </w:r>
          </w:p>
          <w:p>
            <w:pPr>
              <w:keepNext w:val="0"/>
              <w:keepLines w:val="0"/>
              <w:pageBreakBefore w:val="0"/>
              <w:widowControl w:val="0"/>
              <w:numPr>
                <w:ilvl w:val="0"/>
                <w:numId w:val="1"/>
              </w:numPr>
              <w:kinsoku/>
              <w:wordWrap/>
              <w:overflowPunct/>
              <w:topLinePunct w:val="0"/>
              <w:autoSpaceDE/>
              <w:autoSpaceDN w:val="0"/>
              <w:bidi w:val="0"/>
              <w:adjustRightInd/>
              <w:snapToGrid/>
              <w:spacing w:line="300" w:lineRule="auto"/>
              <w:ind w:left="0" w:leftChars="0" w:firstLine="562"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加速遗留问题处理，减少发展阻力。</w:t>
            </w:r>
          </w:p>
          <w:p>
            <w:pPr>
              <w:keepNext w:val="0"/>
              <w:keepLines w:val="0"/>
              <w:pageBreakBefore w:val="0"/>
              <w:kinsoku/>
              <w:wordWrap/>
              <w:overflowPunct/>
              <w:topLinePunct w:val="0"/>
              <w:autoSpaceDE/>
              <w:autoSpaceDN w:val="0"/>
              <w:bidi w:val="0"/>
              <w:adjustRightInd/>
              <w:snapToGrid/>
              <w:spacing w:line="300" w:lineRule="auto"/>
              <w:ind w:firstLine="560"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sz w:val="28"/>
                <w:szCs w:val="28"/>
              </w:rPr>
              <w:t>下沉后的系列遗留问题对我们的工作开展形成一定上行阻力。为此，唐露尧、邓建华副区长多次主持专题会议进行调度，中心各相关科室积极对接、加速理顺关系，目前，停薪留职、内退人员已完成返岗，企业人员、历史欠税问题已妥善解决。</w:t>
            </w:r>
          </w:p>
          <w:p>
            <w:pPr>
              <w:keepNext w:val="0"/>
              <w:keepLines w:val="0"/>
              <w:pageBreakBefore w:val="0"/>
              <w:widowControl w:val="0"/>
              <w:numPr>
                <w:ilvl w:val="0"/>
                <w:numId w:val="1"/>
              </w:numPr>
              <w:kinsoku/>
              <w:wordWrap/>
              <w:overflowPunct/>
              <w:topLinePunct w:val="0"/>
              <w:autoSpaceDE/>
              <w:autoSpaceDN w:val="0"/>
              <w:bidi w:val="0"/>
              <w:adjustRightInd/>
              <w:snapToGrid/>
              <w:spacing w:line="300" w:lineRule="auto"/>
              <w:ind w:left="0" w:leftChars="0" w:firstLine="562"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健全组织制度，提升服务水平</w:t>
            </w:r>
            <w:r>
              <w:rPr>
                <w:rFonts w:hint="eastAsia" w:ascii="仿宋_GB2312" w:hAnsi="仿宋_GB2312" w:eastAsia="仿宋_GB2312" w:cs="仿宋_GB2312"/>
                <w:b/>
                <w:bCs/>
                <w:color w:val="000000"/>
                <w:sz w:val="28"/>
                <w:szCs w:val="28"/>
                <w:lang w:eastAsia="zh-CN"/>
              </w:rPr>
              <w:t>。</w:t>
            </w:r>
            <w:bookmarkStart w:id="1" w:name="_GoBack"/>
            <w:bookmarkEnd w:id="1"/>
          </w:p>
          <w:p>
            <w:pPr>
              <w:keepNext w:val="0"/>
              <w:keepLines w:val="0"/>
              <w:pageBreakBefore w:val="0"/>
              <w:kinsoku/>
              <w:wordWrap/>
              <w:overflowPunct/>
              <w:topLinePunct w:val="0"/>
              <w:autoSpaceDE/>
              <w:autoSpaceDN w:val="0"/>
              <w:bidi w:val="0"/>
              <w:adjustRightInd/>
              <w:snapToGrid/>
              <w:spacing w:line="300" w:lineRule="auto"/>
              <w:ind w:firstLine="560"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sz w:val="28"/>
                <w:szCs w:val="28"/>
              </w:rPr>
              <w:t>我们进一步明确财务报账制度及流程、严格请销假管理手续、建立政府集中采购管理制度。按程序成立了中心工会委员会，选举产生第一届工会委员会班子成员，为丰富单位活动建立了好的平台。</w:t>
            </w:r>
          </w:p>
          <w:p>
            <w:pPr>
              <w:keepNext w:val="0"/>
              <w:keepLines w:val="0"/>
              <w:pageBreakBefore w:val="0"/>
              <w:widowControl w:val="0"/>
              <w:numPr>
                <w:ilvl w:val="0"/>
                <w:numId w:val="1"/>
              </w:numPr>
              <w:kinsoku/>
              <w:wordWrap/>
              <w:overflowPunct/>
              <w:topLinePunct w:val="0"/>
              <w:autoSpaceDE/>
              <w:autoSpaceDN w:val="0"/>
              <w:bidi w:val="0"/>
              <w:adjustRightInd/>
              <w:snapToGrid/>
              <w:spacing w:line="300" w:lineRule="auto"/>
              <w:ind w:left="0" w:leftChars="0" w:firstLine="562"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围绕中心工作，做好日常管理。</w:t>
            </w:r>
          </w:p>
          <w:p>
            <w:pPr>
              <w:keepNext w:val="0"/>
              <w:keepLines w:val="0"/>
              <w:pageBreakBefore w:val="0"/>
              <w:kinsoku/>
              <w:wordWrap/>
              <w:overflowPunct/>
              <w:topLinePunct w:val="0"/>
              <w:autoSpaceDE/>
              <w:autoSpaceDN w:val="0"/>
              <w:bidi w:val="0"/>
              <w:adjustRightInd/>
              <w:snapToGrid/>
              <w:spacing w:line="300" w:lineRule="auto"/>
              <w:ind w:firstLine="560" w:firstLineChars="200"/>
              <w:jc w:val="left"/>
              <w:textAlignment w:val="center"/>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sz w:val="28"/>
                <w:szCs w:val="28"/>
              </w:rPr>
              <w:t>作为市场管理方，我们时刻绷紧疫情防控弦，积极落实各项防疫措施，筑牢市场安全屏障。对安全生产、日常管理的督查加大力度、改进方法，量化指标，发现问题，及时督促整改到位。建设单位职工食堂，解决了员工就餐问题。完成机关办公条件改善工程及单位标识统一工作，进一步提升了单位整体形象。</w:t>
            </w:r>
          </w:p>
          <w:p>
            <w:pPr>
              <w:keepNext w:val="0"/>
              <w:keepLines w:val="0"/>
              <w:pageBreakBefore w:val="0"/>
              <w:widowControl w:val="0"/>
              <w:kinsoku/>
              <w:wordWrap/>
              <w:overflowPunct/>
              <w:topLinePunct w:val="0"/>
              <w:autoSpaceDE/>
              <w:bidi w:val="0"/>
              <w:adjustRightInd/>
              <w:snapToGrid/>
              <w:spacing w:line="300" w:lineRule="auto"/>
              <w:ind w:firstLine="562"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lang w:val="en-US" w:eastAsia="zh-CN"/>
              </w:rPr>
              <w:t>7</w:t>
            </w:r>
            <w:r>
              <w:rPr>
                <w:rFonts w:hint="eastAsia" w:ascii="仿宋_GB2312" w:hAnsi="仿宋_GB2312" w:eastAsia="仿宋_GB2312" w:cs="仿宋_GB2312"/>
                <w:b/>
                <w:bCs/>
                <w:color w:val="000000"/>
                <w:sz w:val="28"/>
                <w:szCs w:val="28"/>
                <w:lang w:eastAsia="zh-CN"/>
              </w:rPr>
              <w:t>、</w:t>
            </w:r>
            <w:r>
              <w:rPr>
                <w:rFonts w:hint="eastAsia" w:ascii="仿宋_GB2312" w:hAnsi="仿宋_GB2312" w:eastAsia="仿宋_GB2312" w:cs="仿宋_GB2312"/>
                <w:b/>
                <w:bCs/>
                <w:color w:val="000000"/>
                <w:sz w:val="28"/>
                <w:szCs w:val="28"/>
              </w:rPr>
              <w:t>开展系列活动，推动党史学习走心走实。</w:t>
            </w:r>
          </w:p>
          <w:p>
            <w:pPr>
              <w:keepNext w:val="0"/>
              <w:keepLines w:val="0"/>
              <w:pageBreakBefore w:val="0"/>
              <w:widowControl w:val="0"/>
              <w:kinsoku/>
              <w:wordWrap/>
              <w:overflowPunct/>
              <w:topLinePunct w:val="0"/>
              <w:autoSpaceDE/>
              <w:bidi w:val="0"/>
              <w:adjustRightInd/>
              <w:snapToGrid/>
              <w:spacing w:line="300" w:lineRule="auto"/>
              <w:ind w:firstLine="560" w:firstLineChars="200"/>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sz w:val="28"/>
                <w:szCs w:val="28"/>
              </w:rPr>
              <w:t>我们坚持把党史学习教育作为一项重要政治任务，认真组织学习习近平总书记重要讲话精神、十九届六中全会精神，开展党员示范岗创建、爱心助学、瞻仰何长工纪念馆等系列活动，积极引导广大干群知史爱党、务实力行。</w:t>
            </w:r>
          </w:p>
          <w:p>
            <w:pPr>
              <w:keepNext w:val="0"/>
              <w:keepLines w:val="0"/>
              <w:pageBreakBefore w:val="0"/>
              <w:numPr>
                <w:ilvl w:val="0"/>
                <w:numId w:val="2"/>
              </w:numPr>
              <w:kinsoku/>
              <w:wordWrap/>
              <w:overflowPunct/>
              <w:topLinePunct w:val="0"/>
              <w:autoSpaceDE/>
              <w:bidi w:val="0"/>
              <w:adjustRightInd/>
              <w:snapToGrid/>
              <w:spacing w:line="300" w:lineRule="auto"/>
              <w:ind w:firstLine="560" w:firstLineChars="200"/>
              <w:rPr>
                <w:rFonts w:hint="eastAsia" w:ascii="黑体" w:hAnsi="黑体" w:eastAsia="黑体" w:cs="黑体"/>
                <w:bCs/>
                <w:sz w:val="28"/>
                <w:szCs w:val="28"/>
              </w:rPr>
            </w:pPr>
            <w:r>
              <w:rPr>
                <w:rFonts w:hint="eastAsia" w:ascii="黑体" w:hAnsi="黑体" w:eastAsia="黑体" w:cs="黑体"/>
                <w:bCs/>
                <w:sz w:val="28"/>
                <w:szCs w:val="28"/>
              </w:rPr>
              <w:t>存在的主要问题</w:t>
            </w:r>
          </w:p>
          <w:p>
            <w:pPr>
              <w:pStyle w:val="6"/>
              <w:keepNext w:val="0"/>
              <w:keepLines w:val="0"/>
              <w:pageBreakBefore w:val="0"/>
              <w:widowControl/>
              <w:numPr>
                <w:ilvl w:val="0"/>
                <w:numId w:val="3"/>
              </w:numPr>
              <w:kinsoku/>
              <w:wordWrap/>
              <w:overflowPunct/>
              <w:topLinePunct w:val="0"/>
              <w:autoSpaceDE/>
              <w:autoSpaceDN/>
              <w:bidi w:val="0"/>
              <w:adjustRightInd/>
              <w:snapToGrid/>
              <w:spacing w:before="0" w:beforeAutospacing="0" w:after="0" w:afterAutospacing="0" w:line="300" w:lineRule="auto"/>
              <w:ind w:left="0" w:leftChars="0" w:firstLine="560" w:firstLineChars="200"/>
              <w:jc w:val="both"/>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单位</w:t>
            </w:r>
            <w:r>
              <w:rPr>
                <w:rFonts w:hint="eastAsia" w:ascii="仿宋_GB2312" w:hAnsi="仿宋_GB2312" w:eastAsia="仿宋_GB2312" w:cs="仿宋_GB2312"/>
                <w:bCs/>
                <w:sz w:val="28"/>
                <w:szCs w:val="28"/>
              </w:rPr>
              <w:t>绩效考核意识有待进一步加强，内部绩效管理制度还不够完善，评价体系有待进一步健全。</w:t>
            </w:r>
          </w:p>
          <w:p>
            <w:pPr>
              <w:pStyle w:val="6"/>
              <w:keepNext w:val="0"/>
              <w:keepLines w:val="0"/>
              <w:pageBreakBefore w:val="0"/>
              <w:numPr>
                <w:ilvl w:val="0"/>
                <w:numId w:val="3"/>
              </w:numPr>
              <w:kinsoku/>
              <w:wordWrap/>
              <w:overflowPunct/>
              <w:topLinePunct w:val="0"/>
              <w:autoSpaceDE/>
              <w:bidi w:val="0"/>
              <w:adjustRightInd/>
              <w:snapToGrid/>
              <w:spacing w:before="0" w:beforeAutospacing="0" w:after="0" w:afterAutospacing="0" w:line="300" w:lineRule="auto"/>
              <w:ind w:left="700" w:leftChars="0" w:firstLine="0" w:firstLineChars="0"/>
              <w:jc w:val="both"/>
              <w:rPr>
                <w:rFonts w:hint="eastAsia" w:ascii="黑体" w:hAnsi="黑体" w:eastAsia="黑体" w:cs="黑体"/>
                <w:bCs/>
                <w:sz w:val="28"/>
                <w:szCs w:val="28"/>
              </w:rPr>
            </w:pPr>
            <w:r>
              <w:rPr>
                <w:rFonts w:hint="eastAsia" w:ascii="仿宋_GB2312" w:hAnsi="仿宋_GB2312" w:eastAsia="仿宋_GB2312" w:cs="仿宋_GB2312"/>
                <w:bCs/>
                <w:sz w:val="28"/>
                <w:szCs w:val="28"/>
                <w:lang w:val="en-US" w:eastAsia="zh-CN"/>
              </w:rPr>
              <w:t>单位年初</w:t>
            </w:r>
            <w:r>
              <w:rPr>
                <w:rFonts w:hint="eastAsia" w:ascii="仿宋_GB2312" w:hAnsi="仿宋_GB2312" w:eastAsia="仿宋_GB2312" w:cs="仿宋_GB2312"/>
                <w:bCs/>
                <w:sz w:val="28"/>
                <w:szCs w:val="28"/>
              </w:rPr>
              <w:t>预算编制工作</w:t>
            </w:r>
            <w:r>
              <w:rPr>
                <w:rFonts w:hint="eastAsia" w:ascii="仿宋_GB2312" w:hAnsi="仿宋_GB2312" w:eastAsia="仿宋_GB2312" w:cs="仿宋_GB2312"/>
                <w:bCs/>
                <w:sz w:val="28"/>
                <w:szCs w:val="28"/>
                <w:lang w:val="en-US" w:eastAsia="zh-CN"/>
              </w:rPr>
              <w:t>不够全面，细致程度有待提高</w:t>
            </w:r>
            <w:r>
              <w:rPr>
                <w:rFonts w:hint="eastAsia" w:ascii="仿宋_GB2312" w:hAnsi="仿宋_GB2312" w:eastAsia="仿宋_GB2312" w:cs="仿宋_GB2312"/>
                <w:bCs/>
                <w:sz w:val="28"/>
                <w:szCs w:val="28"/>
              </w:rPr>
              <w:t>。</w:t>
            </w:r>
          </w:p>
          <w:p>
            <w:pPr>
              <w:keepNext w:val="0"/>
              <w:keepLines w:val="0"/>
              <w:pageBreakBefore w:val="0"/>
              <w:kinsoku/>
              <w:wordWrap/>
              <w:overflowPunct/>
              <w:topLinePunct w:val="0"/>
              <w:autoSpaceDE/>
              <w:bidi w:val="0"/>
              <w:adjustRightInd/>
              <w:snapToGrid/>
              <w:spacing w:line="300" w:lineRule="auto"/>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pStyle w:val="6"/>
              <w:keepNext w:val="0"/>
              <w:keepLines w:val="0"/>
              <w:pageBreakBefore w:val="0"/>
              <w:kinsoku/>
              <w:wordWrap/>
              <w:overflowPunct/>
              <w:topLinePunct w:val="0"/>
              <w:autoSpaceDE/>
              <w:bidi w:val="0"/>
              <w:adjustRightInd/>
              <w:snapToGrid/>
              <w:spacing w:before="0" w:beforeAutospacing="0" w:after="0" w:afterAutospacing="0" w:line="300" w:lineRule="auto"/>
              <w:ind w:firstLine="560" w:firstLineChars="200"/>
              <w:jc w:val="both"/>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1、</w:t>
            </w:r>
            <w:r>
              <w:rPr>
                <w:rFonts w:hint="eastAsia" w:ascii="仿宋_GB2312" w:hAnsi="仿宋_GB2312" w:eastAsia="仿宋_GB2312" w:cs="仿宋_GB2312"/>
                <w:bCs/>
                <w:sz w:val="28"/>
                <w:szCs w:val="28"/>
                <w:lang w:val="en-US" w:eastAsia="zh-CN"/>
              </w:rPr>
              <w:t>完善单位年初预算的制定，年度预算制定需细化至具体事项，细分至末级科目</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做到预算有依据，依据符合单位实际。</w:t>
            </w:r>
          </w:p>
          <w:p>
            <w:pPr>
              <w:pStyle w:val="6"/>
              <w:keepNext w:val="0"/>
              <w:keepLines w:val="0"/>
              <w:pageBreakBefore w:val="0"/>
              <w:kinsoku/>
              <w:wordWrap/>
              <w:overflowPunct/>
              <w:topLinePunct w:val="0"/>
              <w:autoSpaceDE/>
              <w:bidi w:val="0"/>
              <w:adjustRightInd/>
              <w:snapToGrid/>
              <w:spacing w:before="0" w:beforeAutospacing="0" w:after="0" w:afterAutospacing="0" w:line="300" w:lineRule="auto"/>
              <w:ind w:firstLine="560" w:firstLineChars="200"/>
              <w:jc w:val="both"/>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2、加强单位内部的绩效管理，完善单位内部绩效管理制度，严格按照制度执行单位绩效管理工作。</w:t>
            </w:r>
          </w:p>
          <w:p>
            <w:pPr>
              <w:pStyle w:val="6"/>
              <w:keepNext w:val="0"/>
              <w:keepLines w:val="0"/>
              <w:pageBreakBefore w:val="0"/>
              <w:kinsoku/>
              <w:wordWrap/>
              <w:overflowPunct/>
              <w:topLinePunct w:val="0"/>
              <w:autoSpaceDE/>
              <w:bidi w:val="0"/>
              <w:adjustRightInd/>
              <w:snapToGrid/>
              <w:spacing w:before="0" w:beforeAutospacing="0" w:after="0" w:afterAutospacing="0" w:line="300" w:lineRule="auto"/>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rPr>
              <w:t>、严格执行财务预算管理制度，重视日常财务收支管理，建立健全各项财务制度，对一切开支严格按财务制度办理。</w:t>
            </w:r>
          </w:p>
          <w:p>
            <w:pPr>
              <w:pStyle w:val="7"/>
              <w:keepNext w:val="0"/>
              <w:keepLines w:val="0"/>
              <w:pageBreakBefore w:val="0"/>
              <w:kinsoku/>
              <w:wordWrap/>
              <w:overflowPunct/>
              <w:topLinePunct w:val="0"/>
              <w:autoSpaceDE/>
              <w:bidi w:val="0"/>
              <w:adjustRightInd/>
              <w:snapToGrid/>
              <w:spacing w:line="300" w:lineRule="auto"/>
              <w:ind w:firstLine="560" w:firstLineChars="200"/>
              <w:rPr>
                <w:rFonts w:hint="default" w:ascii="仿宋_GB2312" w:hAnsi="仿宋_GB2312" w:cs="仿宋_GB2312"/>
                <w:bCs/>
                <w:sz w:val="28"/>
                <w:szCs w:val="28"/>
                <w:lang w:val="en-US"/>
              </w:rPr>
            </w:pPr>
            <w:r>
              <w:rPr>
                <w:rFonts w:hint="eastAsia" w:ascii="仿宋_GB2312" w:hAnsi="仿宋_GB2312" w:cs="仿宋_GB2312"/>
                <w:bCs/>
                <w:sz w:val="28"/>
                <w:szCs w:val="28"/>
                <w:lang w:val="en-US" w:eastAsia="zh-CN"/>
              </w:rPr>
              <w:t>4、完善资金管理制度，强化监督管理，做到专项资金专用，不挪用，不截留，提高专项资金的使用效率。</w:t>
            </w:r>
          </w:p>
          <w:p>
            <w:pPr>
              <w:pStyle w:val="7"/>
              <w:keepNext w:val="0"/>
              <w:keepLines w:val="0"/>
              <w:pageBreakBefore w:val="0"/>
              <w:kinsoku/>
              <w:wordWrap/>
              <w:overflowPunct/>
              <w:topLinePunct w:val="0"/>
              <w:autoSpaceDE/>
              <w:bidi w:val="0"/>
              <w:adjustRightInd/>
              <w:snapToGrid/>
              <w:spacing w:line="288" w:lineRule="auto"/>
              <w:rPr>
                <w:rFonts w:hint="default" w:ascii="仿宋_GB2312" w:hAnsi="仿宋_GB2312" w:eastAsia="仿宋_GB2312" w:cs="仿宋_GB2312"/>
                <w:bCs/>
                <w:sz w:val="28"/>
                <w:szCs w:val="28"/>
                <w:lang w:val="en-US" w:eastAsia="zh-CN"/>
              </w:rPr>
            </w:pPr>
          </w:p>
          <w:p>
            <w:pPr>
              <w:rPr>
                <w:rFonts w:eastAsia="楷体_GB2312"/>
                <w:bCs/>
                <w:sz w:val="28"/>
                <w:szCs w:val="28"/>
              </w:rPr>
            </w:pPr>
          </w:p>
        </w:tc>
      </w:tr>
    </w:tbl>
    <w:p>
      <w:pPr>
        <w:spacing w:line="348" w:lineRule="auto"/>
        <w:rPr>
          <w:rFonts w:hint="eastAsia" w:eastAsia="黑体" w:cs="黑体"/>
          <w:bCs/>
          <w:sz w:val="32"/>
          <w:szCs w:val="32"/>
        </w:rPr>
      </w:pPr>
      <w:r>
        <w:rPr>
          <w:rFonts w:hint="eastAsia" w:eastAsia="黑体" w:cs="黑体"/>
          <w:bCs/>
          <w:sz w:val="32"/>
          <w:szCs w:val="32"/>
        </w:rPr>
        <w:t>附件</w:t>
      </w:r>
      <w:r>
        <w:rPr>
          <w:rFonts w:hint="eastAsia" w:eastAsia="黑体" w:cs="黑体"/>
          <w:bCs/>
          <w:sz w:val="32"/>
          <w:szCs w:val="32"/>
          <w:lang w:val="en-US" w:eastAsia="zh-CN"/>
        </w:rPr>
        <w:t>2</w:t>
      </w:r>
      <w:r>
        <w:rPr>
          <w:rFonts w:hint="eastAsia" w:eastAsia="黑体" w:cs="黑体"/>
          <w:bCs/>
          <w:sz w:val="32"/>
          <w:szCs w:val="32"/>
        </w:rPr>
        <w:t>-2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8"/>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有部分调整</w:t>
            </w: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政府采购执行率未达到100%</w:t>
            </w: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制度执行</w:t>
            </w:r>
            <w:r>
              <w:rPr>
                <w:rFonts w:hint="eastAsia" w:ascii="仿宋_GB2312" w:hAnsi="宋体" w:eastAsia="仿宋_GB2312" w:cs="宋体"/>
                <w:kern w:val="0"/>
                <w:sz w:val="18"/>
                <w:szCs w:val="18"/>
                <w:lang w:val="en-US" w:eastAsia="zh-CN"/>
              </w:rPr>
              <w:t>力存在提升空间</w:t>
            </w:r>
          </w:p>
        </w:tc>
      </w:tr>
    </w:tbl>
    <w:p/>
    <w:tbl>
      <w:tblPr>
        <w:tblStyle w:val="8"/>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存在被投诉现象</w:t>
            </w: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adjustRightInd w:val="0"/>
        <w:snapToGrid w:val="0"/>
        <w:spacing w:before="156" w:beforeLines="50"/>
        <w:contextualSpacing/>
      </w:pPr>
    </w:p>
    <w:sectPr>
      <w:headerReference r:id="rId5" w:type="default"/>
      <w:footerReference r:id="rId6"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18030">
    <w:altName w:val="Times New Roman"/>
    <w:panose1 w:val="00000000000000000000"/>
    <w:charset w:val="00"/>
    <w:family w:val="auto"/>
    <w:pitch w:val="default"/>
    <w:sig w:usb0="00000000" w:usb1="00000000" w:usb2="00000000" w:usb3="00000000" w:csb0="00000001" w:csb1="00000000"/>
  </w:font>
  <w:font w:name="方正小标宋简体">
    <w:altName w:val="黑体"/>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20</w:t>
    </w:r>
    <w:r>
      <w:rPr>
        <w:b/>
        <w:bCs/>
        <w:sz w:val="24"/>
        <w:szCs w:val="24"/>
      </w:rPr>
      <w:fldChar w:fldCharType="end"/>
    </w:r>
    <w:r>
      <w:rPr>
        <w:lang w:val="zh-CN" w:eastAsia="zh-CN"/>
      </w:rPr>
      <w:t xml:space="preserve"> </w:t>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03D47C"/>
    <w:multiLevelType w:val="singleLevel"/>
    <w:tmpl w:val="CA03D47C"/>
    <w:lvl w:ilvl="0" w:tentative="0">
      <w:start w:val="5"/>
      <w:numFmt w:val="chineseCounting"/>
      <w:suff w:val="nothing"/>
      <w:lvlText w:val="%1、"/>
      <w:lvlJc w:val="left"/>
      <w:rPr>
        <w:rFonts w:hint="eastAsia"/>
      </w:rPr>
    </w:lvl>
  </w:abstractNum>
  <w:abstractNum w:abstractNumId="1">
    <w:nsid w:val="0D88A749"/>
    <w:multiLevelType w:val="singleLevel"/>
    <w:tmpl w:val="0D88A749"/>
    <w:lvl w:ilvl="0" w:tentative="0">
      <w:start w:val="2"/>
      <w:numFmt w:val="decimal"/>
      <w:suff w:val="nothing"/>
      <w:lvlText w:val="%1、"/>
      <w:lvlJc w:val="left"/>
    </w:lvl>
  </w:abstractNum>
  <w:abstractNum w:abstractNumId="2">
    <w:nsid w:val="16B8FFCC"/>
    <w:multiLevelType w:val="singleLevel"/>
    <w:tmpl w:val="16B8FFCC"/>
    <w:lvl w:ilvl="0" w:tentative="0">
      <w:start w:val="1"/>
      <w:numFmt w:val="decimal"/>
      <w:suff w:val="nothing"/>
      <w:lvlText w:val="%1、"/>
      <w:lvlJc w:val="left"/>
      <w:pPr>
        <w:ind w:left="700" w:leftChars="0" w:firstLine="0" w:firstLineChars="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VjMTBlYTQxYjNkZjg2OGRlYzFjYzkwMWQwYWY5NWMifQ=="/>
  </w:docVars>
  <w:rsids>
    <w:rsidRoot w:val="00000000"/>
    <w:rsid w:val="030E7E36"/>
    <w:rsid w:val="047F31F1"/>
    <w:rsid w:val="04E52D81"/>
    <w:rsid w:val="05285D8F"/>
    <w:rsid w:val="056E733B"/>
    <w:rsid w:val="0A460B21"/>
    <w:rsid w:val="0A481E7F"/>
    <w:rsid w:val="0AE73161"/>
    <w:rsid w:val="11E732AA"/>
    <w:rsid w:val="13856C6E"/>
    <w:rsid w:val="13BF07FF"/>
    <w:rsid w:val="13FB1D5D"/>
    <w:rsid w:val="1C6438EF"/>
    <w:rsid w:val="1DDC0E05"/>
    <w:rsid w:val="21745C53"/>
    <w:rsid w:val="256C5B20"/>
    <w:rsid w:val="2C4A0180"/>
    <w:rsid w:val="2D095720"/>
    <w:rsid w:val="2E0F16E3"/>
    <w:rsid w:val="315A40C3"/>
    <w:rsid w:val="31C777F7"/>
    <w:rsid w:val="33A90982"/>
    <w:rsid w:val="345F4979"/>
    <w:rsid w:val="352927C0"/>
    <w:rsid w:val="354F4683"/>
    <w:rsid w:val="368D28FB"/>
    <w:rsid w:val="36BE03BE"/>
    <w:rsid w:val="397C5542"/>
    <w:rsid w:val="405A6A69"/>
    <w:rsid w:val="40A421D9"/>
    <w:rsid w:val="41094E7E"/>
    <w:rsid w:val="417322E9"/>
    <w:rsid w:val="418C6D5B"/>
    <w:rsid w:val="426052B1"/>
    <w:rsid w:val="42AB0C22"/>
    <w:rsid w:val="446D4F64"/>
    <w:rsid w:val="45FB2FDD"/>
    <w:rsid w:val="46EA7494"/>
    <w:rsid w:val="47C36A0E"/>
    <w:rsid w:val="48040B11"/>
    <w:rsid w:val="4A7D5D73"/>
    <w:rsid w:val="4EE75CEA"/>
    <w:rsid w:val="53D01045"/>
    <w:rsid w:val="54DC15B5"/>
    <w:rsid w:val="57257945"/>
    <w:rsid w:val="575D65E4"/>
    <w:rsid w:val="59623863"/>
    <w:rsid w:val="5C9B3B3E"/>
    <w:rsid w:val="5EA266B8"/>
    <w:rsid w:val="5FE135E5"/>
    <w:rsid w:val="5FED41D0"/>
    <w:rsid w:val="605775B8"/>
    <w:rsid w:val="62B20909"/>
    <w:rsid w:val="64CB2439"/>
    <w:rsid w:val="656F34DF"/>
    <w:rsid w:val="67363F2A"/>
    <w:rsid w:val="689111B0"/>
    <w:rsid w:val="69135E04"/>
    <w:rsid w:val="69263A39"/>
    <w:rsid w:val="6CAA7016"/>
    <w:rsid w:val="6EE2027D"/>
    <w:rsid w:val="711D6396"/>
    <w:rsid w:val="73B84905"/>
    <w:rsid w:val="75010C6F"/>
    <w:rsid w:val="76255B97"/>
    <w:rsid w:val="7CC93AB5"/>
    <w:rsid w:val="7D6C607B"/>
    <w:rsid w:val="7F1557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semiHidden/>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rPr>
      <w:rFonts w:eastAsia="仿宋_GB2312"/>
      <w:sz w:val="32"/>
      <w:szCs w:val="24"/>
    </w:rPr>
  </w:style>
  <w:style w:type="paragraph" w:customStyle="1" w:styleId="3">
    <w:name w:val="xl27"/>
    <w:basedOn w:val="1"/>
    <w:qFormat/>
    <w:uiPriority w:val="0"/>
    <w:pPr>
      <w:widowControl/>
      <w:pBdr>
        <w:top w:val="single" w:color="auto" w:sz="4" w:space="0"/>
        <w:left w:val="single" w:color="auto" w:sz="8" w:space="0"/>
        <w:bottom w:val="single" w:color="auto" w:sz="4" w:space="0"/>
        <w:right w:val="single" w:color="auto" w:sz="4" w:space="0"/>
      </w:pBdr>
      <w:spacing w:beforeAutospacing="1" w:afterAutospacing="1"/>
      <w:jc w:val="center"/>
    </w:pPr>
    <w:rPr>
      <w:rFonts w:ascii="???-18030" w:hAnsi="???-18030" w:cs="???-18030"/>
      <w:kern w:val="0"/>
    </w:rPr>
  </w:style>
  <w:style w:type="paragraph" w:styleId="4">
    <w:name w:val="footer"/>
    <w:basedOn w:val="1"/>
    <w:unhideWhenUsed/>
    <w:qFormat/>
    <w:uiPriority w:val="99"/>
    <w:pPr>
      <w:tabs>
        <w:tab w:val="center" w:pos="4153"/>
        <w:tab w:val="right" w:pos="8306"/>
      </w:tabs>
      <w:snapToGrid w:val="0"/>
      <w:jc w:val="left"/>
    </w:pPr>
    <w:rPr>
      <w:kern w:val="0"/>
      <w:sz w:val="18"/>
      <w:szCs w:val="18"/>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7">
    <w:name w:val="Body Text First Indent"/>
    <w:basedOn w:val="2"/>
    <w:qFormat/>
    <w:uiPriority w:val="0"/>
    <w:pPr>
      <w:ind w:firstLine="420" w:firstLineChars="1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7714</Words>
  <Characters>8134</Characters>
  <Lines>0</Lines>
  <Paragraphs>0</Paragraphs>
  <TotalTime>70</TotalTime>
  <ScaleCrop>false</ScaleCrop>
  <LinksUpToDate>false</LinksUpToDate>
  <CharactersWithSpaces>8669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2022-05-13T02:51:00Z</dcterms:created>
  <dc:creator>37504</dc:creator>
  <cp:lastModifiedBy>37504</cp:lastModifiedBy>
  <cp:lastPrinted>2022-05-19T07:25:00Z</cp:lastPrinted>
  <dcterms:modified xsi:type="dcterms:W3CDTF">2022-10-24T07:20:11Z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C155B8C19FC5427D9D5E008855F0CD4F</vt:lpwstr>
  </property>
</Properties>
</file>