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ascii="黑体" w:hAnsi="黑体" w:eastAsia="黑体" w:cs="黑体"/>
          <w:bCs/>
          <w:sz w:val="32"/>
          <w:szCs w:val="32"/>
        </w:rPr>
      </w:pPr>
      <w:bookmarkStart w:id="0" w:name="OLE_LINK1"/>
      <w:r>
        <w:rPr>
          <w:rFonts w:hint="eastAsia" w:ascii="黑体" w:hAnsi="黑体" w:eastAsia="黑体" w:cs="黑体"/>
          <w:bCs/>
          <w:sz w:val="32"/>
          <w:szCs w:val="32"/>
        </w:rPr>
        <w:t>附件2-1</w:t>
      </w:r>
    </w:p>
    <w:p>
      <w:pPr>
        <w:spacing w:line="348" w:lineRule="auto"/>
        <w:jc w:val="center"/>
        <w:rPr>
          <w:rFonts w:eastAsia="方正小标宋简体"/>
          <w:bCs/>
          <w:sz w:val="42"/>
          <w:szCs w:val="42"/>
        </w:rPr>
      </w:pPr>
    </w:p>
    <w:p>
      <w:pPr>
        <w:spacing w:line="800" w:lineRule="exact"/>
        <w:jc w:val="center"/>
        <w:rPr>
          <w:rFonts w:eastAsia="方正小标宋简体"/>
          <w:bCs/>
          <w:sz w:val="46"/>
          <w:szCs w:val="46"/>
        </w:rPr>
      </w:pPr>
      <w:r>
        <w:rPr>
          <w:rFonts w:hint="eastAsia" w:eastAsia="方正小标宋简体"/>
          <w:bCs/>
          <w:sz w:val="46"/>
          <w:szCs w:val="46"/>
        </w:rPr>
        <w:t>岳阳楼区2021年度部门（单位）整体支出</w:t>
      </w:r>
    </w:p>
    <w:p>
      <w:pPr>
        <w:spacing w:line="800" w:lineRule="exact"/>
        <w:jc w:val="center"/>
        <w:rPr>
          <w:rFonts w:eastAsia="方正小标宋简体"/>
          <w:bCs/>
          <w:sz w:val="46"/>
          <w:szCs w:val="46"/>
        </w:rPr>
      </w:pPr>
      <w:r>
        <w:rPr>
          <w:rFonts w:hint="eastAsia" w:eastAsia="方正小标宋简体"/>
          <w:bCs/>
          <w:sz w:val="46"/>
          <w:szCs w:val="46"/>
        </w:rPr>
        <w:t>绩效评价自评报告</w:t>
      </w:r>
    </w:p>
    <w:p>
      <w:pPr>
        <w:rPr>
          <w:rFonts w:eastAsia="仿宋_GB2312"/>
          <w:b/>
          <w:sz w:val="32"/>
        </w:rPr>
      </w:pPr>
    </w:p>
    <w:p>
      <w:pPr>
        <w:rPr>
          <w:rFonts w:eastAsia="仿宋_GB2312"/>
          <w:b/>
          <w:sz w:val="32"/>
        </w:rPr>
      </w:pPr>
    </w:p>
    <w:p>
      <w:pPr>
        <w:rPr>
          <w:rFonts w:eastAsia="仿宋_GB2312"/>
          <w:b/>
          <w:sz w:val="32"/>
        </w:rPr>
      </w:pPr>
    </w:p>
    <w:p>
      <w:pPr>
        <w:spacing w:before="301" w:beforeLines="50" w:line="348" w:lineRule="auto"/>
        <w:ind w:firstLine="476" w:firstLineChars="150"/>
        <w:rPr>
          <w:rFonts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w:t>
      </w:r>
      <w:r>
        <w:rPr>
          <w:rFonts w:hint="eastAsia" w:eastAsia="仿宋_GB2312"/>
          <w:spacing w:val="20"/>
          <w:sz w:val="32"/>
          <w:szCs w:val="32"/>
          <w:u w:val="single"/>
        </w:rPr>
        <w:t>岳阳楼区拆迁安置服务中</w:t>
      </w:r>
      <w:r>
        <w:rPr>
          <w:rFonts w:hint="eastAsia" w:eastAsia="仿宋_GB2312"/>
          <w:sz w:val="32"/>
          <w:szCs w:val="32"/>
          <w:u w:val="single"/>
        </w:rPr>
        <w:t xml:space="preserve">心         </w:t>
      </w:r>
    </w:p>
    <w:p>
      <w:pPr>
        <w:spacing w:before="301" w:beforeLines="50" w:line="348" w:lineRule="auto"/>
        <w:ind w:firstLine="476" w:firstLineChars="150"/>
        <w:rPr>
          <w:rFonts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w:t>
      </w:r>
      <w:r>
        <w:rPr>
          <w:rFonts w:eastAsia="仿宋_GB2312"/>
          <w:spacing w:val="20"/>
          <w:sz w:val="32"/>
          <w:szCs w:val="32"/>
          <w:u w:val="single"/>
        </w:rPr>
        <w:t xml:space="preserve">409001 </w:t>
      </w:r>
      <w:r>
        <w:rPr>
          <w:rFonts w:hint="eastAsia" w:eastAsia="仿宋_GB2312"/>
          <w:spacing w:val="20"/>
          <w:sz w:val="32"/>
          <w:szCs w:val="32"/>
          <w:u w:val="single"/>
        </w:rPr>
        <w:t xml:space="preserve">                   </w:t>
      </w:r>
    </w:p>
    <w:p>
      <w:pPr>
        <w:spacing w:before="301" w:beforeLines="50" w:line="348" w:lineRule="auto"/>
        <w:ind w:firstLine="476" w:firstLineChars="150"/>
        <w:rPr>
          <w:rFonts w:eastAsia="仿宋_GB2312"/>
          <w:sz w:val="32"/>
          <w:szCs w:val="32"/>
        </w:rPr>
      </w:pPr>
      <w:r>
        <w:rPr>
          <w:rFonts w:hint="eastAsia" w:eastAsia="仿宋_GB2312"/>
          <w:sz w:val="32"/>
          <w:szCs w:val="32"/>
        </w:rPr>
        <w:t>评价方式：部门（单位）绩效自评</w:t>
      </w:r>
    </w:p>
    <w:p>
      <w:pPr>
        <w:spacing w:before="301" w:beforeLines="50" w:line="348" w:lineRule="auto"/>
        <w:ind w:firstLine="476" w:firstLineChars="150"/>
        <w:rPr>
          <w:rFonts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eastAsia="仿宋_GB2312"/>
          <w:sz w:val="32"/>
        </w:rPr>
      </w:pPr>
    </w:p>
    <w:p>
      <w:pPr>
        <w:spacing w:line="348" w:lineRule="auto"/>
        <w:ind w:firstLine="2188" w:firstLineChars="690"/>
        <w:rPr>
          <w:rFonts w:eastAsia="仿宋_GB2312"/>
          <w:sz w:val="32"/>
        </w:rPr>
      </w:pPr>
    </w:p>
    <w:p>
      <w:pPr>
        <w:spacing w:line="348" w:lineRule="auto"/>
        <w:jc w:val="center"/>
        <w:rPr>
          <w:rFonts w:eastAsia="仿宋_GB2312"/>
          <w:sz w:val="32"/>
        </w:rPr>
      </w:pPr>
      <w:r>
        <w:rPr>
          <w:rFonts w:hint="eastAsia" w:eastAsia="仿宋_GB2312"/>
          <w:sz w:val="32"/>
        </w:rPr>
        <w:t>报告日期：2022年 5月 4日</w:t>
      </w:r>
    </w:p>
    <w:p>
      <w:pPr>
        <w:autoSpaceDN w:val="0"/>
        <w:jc w:val="center"/>
        <w:textAlignment w:val="center"/>
        <w:rPr>
          <w:rFonts w:eastAsia="仿宋_GB2312"/>
          <w:sz w:val="32"/>
          <w:szCs w:val="32"/>
        </w:rPr>
      </w:pPr>
      <w:r>
        <w:rPr>
          <w:rFonts w:hint="eastAsia" w:eastAsia="仿宋_GB2312"/>
          <w:sz w:val="32"/>
        </w:rPr>
        <w:t>岳阳楼区财政</w:t>
      </w:r>
      <w:r>
        <w:rPr>
          <w:rFonts w:hint="eastAsia" w:eastAsia="仿宋_GB2312"/>
          <w:sz w:val="32"/>
          <w:szCs w:val="32"/>
        </w:rPr>
        <w:t>局（制）</w:t>
      </w:r>
    </w:p>
    <w:p>
      <w:pPr>
        <w:autoSpaceDN w:val="0"/>
        <w:jc w:val="both"/>
        <w:textAlignment w:val="center"/>
        <w:rPr>
          <w:rFonts w:eastAsia="仿宋_GB2312"/>
          <w:sz w:val="32"/>
          <w:szCs w:val="32"/>
        </w:rPr>
      </w:pPr>
      <w:bookmarkStart w:id="1" w:name="_GoBack"/>
      <w:bookmarkEnd w:id="1"/>
    </w:p>
    <w:p>
      <w:pPr>
        <w:autoSpaceDN w:val="0"/>
        <w:jc w:val="center"/>
        <w:textAlignment w:val="center"/>
        <w:rPr>
          <w:rFonts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p>
    <w:tbl>
      <w:tblPr>
        <w:tblStyle w:val="7"/>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808"/>
        <w:gridCol w:w="1479"/>
        <w:gridCol w:w="226"/>
        <w:gridCol w:w="196"/>
        <w:gridCol w:w="259"/>
        <w:gridCol w:w="1080"/>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向旭</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55人</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52人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27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vAlign w:val="center"/>
          </w:tcPr>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1、贯彻落实国家、省、市征收安置法律、法规及其有关政策，向被征收人宣传、解释相关征收安置政策，保障征收人和被征收人的合法利益。</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2、负责国家建设用地的征地及征收资金管理工作。</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3、负责各类建设项目征地的协调。</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4、经相关部门授权，承担土地征收方案、征收资金概算、征地公告、征地补偿安置公告的编制，经送审后上报及组织发布。</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5、负责房屋征收安置、保障性住房建设、政策法规和归口管理范围内的档案整理工作。</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6、负责征收过程中及各类保障性住房建设信访案件的初信回复。</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7、负责起草归口项目资金结算调度方案，办理项目资金结算、汇总，办理项目竣工结算和财务结算。</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414"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vAlign w:val="center"/>
          </w:tcPr>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ind w:firstLine="480" w:firstLineChars="200"/>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任务1：结束G240棚户区改造项目、白水二期项目征收拆迁工作，并启动四化建棚改二期项目、岳阳楼景区北扩、己内酰胺片区征拆工作项目征收补偿工作。</w:t>
            </w:r>
          </w:p>
          <w:p>
            <w:pPr>
              <w:autoSpaceDN w:val="0"/>
              <w:spacing w:line="320" w:lineRule="exact"/>
              <w:ind w:firstLine="480" w:firstLineChars="200"/>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任务2：积极对接市直相关部门加快待办证安置房小区办证手续。</w:t>
            </w:r>
          </w:p>
          <w:p>
            <w:pPr>
              <w:autoSpaceDN w:val="0"/>
              <w:spacing w:line="320" w:lineRule="exact"/>
              <w:ind w:firstLine="480" w:firstLineChars="200"/>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任务3：启动雷锋山安置房二期房屋主体建设工作,完成向阳水岸安置房、南辅道主体建设和安置房分配工作，力争全面化解所有安置遗留问题。</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23"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5"/>
            <w:vAlign w:val="center"/>
          </w:tcPr>
          <w:p>
            <w:pPr>
              <w:autoSpaceDN w:val="0"/>
              <w:spacing w:line="320" w:lineRule="exact"/>
              <w:ind w:firstLine="480" w:firstLineChars="200"/>
              <w:jc w:val="left"/>
              <w:textAlignment w:val="center"/>
              <w:rPr>
                <w:rFonts w:ascii="仿宋_GB2312" w:hAnsi="仿宋_GB2312" w:eastAsia="仿宋_GB2312" w:cs="仿宋_GB2312"/>
                <w:color w:val="000000"/>
                <w:sz w:val="24"/>
              </w:rPr>
            </w:pPr>
          </w:p>
          <w:p>
            <w:pPr>
              <w:autoSpaceDN w:val="0"/>
              <w:spacing w:line="320" w:lineRule="exact"/>
              <w:ind w:firstLine="480" w:firstLineChars="200"/>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G240项目完成征拆11.7万平方米，西环线如期全面通车。白水二期4个项目征拆工作已完成，四化建棚改二期项目征拆工作正在清零扫尾，岳阳楼景区北扩、己内酰胺片区征拆工作有序推进。全区国有土地上签约1128户，涉及征拆面积8.8万平方米。</w:t>
            </w:r>
          </w:p>
          <w:p>
            <w:pPr>
              <w:autoSpaceDN w:val="0"/>
              <w:spacing w:line="320" w:lineRule="exact"/>
              <w:ind w:firstLine="480" w:firstLineChars="200"/>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2、收集待办证安置房小区资料14个，未办证3186户，正在积极对接市直相关部门，加快手续办理当中，可化解蔡家安置房、芭蕉湖安置房、东津湾安置房、洛王安置房等4个项目总证办理工作。</w:t>
            </w:r>
          </w:p>
          <w:p>
            <w:pPr>
              <w:autoSpaceDN w:val="0"/>
              <w:spacing w:line="320" w:lineRule="exact"/>
              <w:ind w:firstLine="480" w:firstLineChars="200"/>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3、已建成的向阳水岸和南辅道两个项目需安置房源658套，在南辅道分房工作中，共收集选房意向表600多份，收集各类意见建议50多条，政策解释多达2000多人次。截至目前，两个项目分房工作已经完成了634套安置房分配工作。</w:t>
            </w:r>
          </w:p>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3"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5" w:hRule="atLeast"/>
          <w:jc w:val="center"/>
        </w:trPr>
        <w:tc>
          <w:tcPr>
            <w:tcW w:w="1700" w:type="dxa"/>
            <w:gridSpan w:val="3"/>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00" w:hRule="atLeast"/>
          <w:jc w:val="center"/>
        </w:trPr>
        <w:tc>
          <w:tcPr>
            <w:tcW w:w="1700" w:type="dxa"/>
            <w:gridSpan w:val="3"/>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38" w:hRule="atLeast"/>
          <w:jc w:val="center"/>
        </w:trPr>
        <w:tc>
          <w:tcPr>
            <w:tcW w:w="170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ascii="仿宋_GB2312" w:hAnsi="仿宋_GB2312" w:eastAsia="仿宋_GB2312" w:cs="仿宋_GB2312"/>
                <w:color w:val="000000"/>
                <w:sz w:val="24"/>
              </w:rPr>
              <w:t>749</w:t>
            </w:r>
            <w:r>
              <w:rPr>
                <w:rFonts w:hint="eastAsia" w:ascii="仿宋_GB2312" w:hAnsi="仿宋_GB2312" w:eastAsia="仿宋_GB2312" w:cs="仿宋_GB2312"/>
                <w:color w:val="000000"/>
                <w:sz w:val="24"/>
              </w:rPr>
              <w:t>.</w:t>
            </w:r>
            <w:r>
              <w:rPr>
                <w:rFonts w:ascii="仿宋_GB2312" w:hAnsi="仿宋_GB2312" w:eastAsia="仿宋_GB2312" w:cs="仿宋_GB2312"/>
                <w:color w:val="000000"/>
                <w:sz w:val="24"/>
              </w:rPr>
              <w:t>8</w:t>
            </w:r>
            <w:r>
              <w:rPr>
                <w:rFonts w:hint="eastAsia" w:ascii="仿宋_GB2312" w:hAnsi="仿宋_GB2312" w:eastAsia="仿宋_GB2312" w:cs="仿宋_GB2312"/>
                <w:color w:val="000000"/>
                <w:sz w:val="24"/>
              </w:rPr>
              <w:t>2</w:t>
            </w: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ascii="仿宋_GB2312" w:hAnsi="仿宋_GB2312" w:eastAsia="仿宋_GB2312" w:cs="仿宋_GB2312"/>
                <w:color w:val="000000"/>
                <w:sz w:val="24"/>
              </w:rPr>
              <w:t>749</w:t>
            </w:r>
            <w:r>
              <w:rPr>
                <w:rFonts w:hint="eastAsia" w:ascii="仿宋_GB2312" w:hAnsi="仿宋_GB2312" w:eastAsia="仿宋_GB2312" w:cs="仿宋_GB2312"/>
                <w:color w:val="000000"/>
                <w:sz w:val="24"/>
              </w:rPr>
              <w:t>.</w:t>
            </w:r>
            <w:r>
              <w:rPr>
                <w:rFonts w:ascii="仿宋_GB2312" w:hAnsi="仿宋_GB2312" w:eastAsia="仿宋_GB2312" w:cs="仿宋_GB2312"/>
                <w:color w:val="000000"/>
                <w:sz w:val="24"/>
              </w:rPr>
              <w:t>8</w:t>
            </w:r>
            <w:r>
              <w:rPr>
                <w:rFonts w:hint="eastAsia" w:ascii="仿宋_GB2312" w:hAnsi="仿宋_GB2312" w:eastAsia="仿宋_GB2312" w:cs="仿宋_GB2312"/>
                <w:color w:val="000000"/>
                <w:sz w:val="24"/>
              </w:rPr>
              <w:t>2</w:t>
            </w:r>
          </w:p>
        </w:tc>
        <w:tc>
          <w:tcPr>
            <w:tcW w:w="1705"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c>
          <w:tcPr>
            <w:tcW w:w="18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c>
          <w:tcPr>
            <w:tcW w:w="108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55" w:hRule="atLeast"/>
          <w:jc w:val="center"/>
        </w:trPr>
        <w:tc>
          <w:tcPr>
            <w:tcW w:w="1700" w:type="dxa"/>
            <w:gridSpan w:val="3"/>
            <w:vMerge w:val="restart"/>
            <w:vAlign w:val="center"/>
          </w:tcPr>
          <w:p>
            <w:pPr>
              <w:snapToGrid w:val="0"/>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7"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6"/>
            <w:tcBorders>
              <w:top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8"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2"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ascii="仿宋_GB2312" w:hAnsi="仿宋_GB2312" w:eastAsia="仿宋_GB2312" w:cs="仿宋_GB2312"/>
                <w:color w:val="000000"/>
                <w:sz w:val="24"/>
              </w:rPr>
              <w:t>749.8</w:t>
            </w:r>
            <w:r>
              <w:rPr>
                <w:rFonts w:hint="eastAsia" w:ascii="仿宋_GB2312" w:hAnsi="仿宋_GB2312" w:eastAsia="仿宋_GB2312" w:cs="仿宋_GB2312"/>
                <w:color w:val="000000"/>
                <w:sz w:val="24"/>
              </w:rPr>
              <w:t>2</w:t>
            </w: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ascii="仿宋_GB2312" w:hAnsi="仿宋_GB2312" w:eastAsia="仿宋_GB2312" w:cs="仿宋_GB2312"/>
                <w:color w:val="000000"/>
                <w:sz w:val="24"/>
              </w:rPr>
              <w:t>749.8</w:t>
            </w:r>
            <w:r>
              <w:rPr>
                <w:rFonts w:hint="eastAsia" w:ascii="仿宋_GB2312" w:hAnsi="仿宋_GB2312" w:eastAsia="仿宋_GB2312" w:cs="仿宋_GB2312"/>
                <w:color w:val="000000"/>
                <w:sz w:val="24"/>
              </w:rPr>
              <w:t>2</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575.75</w:t>
            </w: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174.17</w:t>
            </w:r>
          </w:p>
        </w:tc>
        <w:tc>
          <w:tcPr>
            <w:tcW w:w="1080"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c>
          <w:tcPr>
            <w:tcW w:w="720" w:type="dxa"/>
            <w:gridSpan w:val="3"/>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c>
          <w:tcPr>
            <w:tcW w:w="625" w:type="dxa"/>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65" w:hRule="atLeast"/>
          <w:jc w:val="center"/>
        </w:trPr>
        <w:tc>
          <w:tcPr>
            <w:tcW w:w="1700" w:type="dxa"/>
            <w:gridSpan w:val="3"/>
            <w:vMerge w:val="restart"/>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8"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43" w:hRule="atLeast"/>
          <w:jc w:val="center"/>
        </w:trPr>
        <w:tc>
          <w:tcPr>
            <w:tcW w:w="1700" w:type="dxa"/>
            <w:gridSpan w:val="3"/>
            <w:vMerge w:val="restart"/>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6"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7"/>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30"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134.86</w:t>
            </w:r>
          </w:p>
        </w:tc>
        <w:tc>
          <w:tcPr>
            <w:tcW w:w="243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ascii="仿宋_GB2312" w:hAnsi="仿宋_GB2312" w:eastAsia="仿宋_GB2312" w:cs="仿宋_GB2312"/>
                <w:color w:val="000000"/>
                <w:sz w:val="24"/>
              </w:rPr>
              <w:t>134.86</w:t>
            </w:r>
          </w:p>
        </w:tc>
        <w:tc>
          <w:tcPr>
            <w:tcW w:w="364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c>
          <w:tcPr>
            <w:tcW w:w="941"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1" w:hRule="atLeast"/>
          <w:jc w:val="center"/>
        </w:trPr>
        <w:tc>
          <w:tcPr>
            <w:tcW w:w="1441" w:type="dxa"/>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9"/>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72"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3774" w:type="dxa"/>
            <w:gridSpan w:val="7"/>
            <w:vAlign w:val="center"/>
          </w:tcPr>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目标1：结束G240棚户区改造项目、白水二期4个项目征收拆迁工作，并启动四化建棚改二期项目、岳阳楼景区北扩、己内酰胺片区征拆工作项目征收补偿工作。</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目标2：积极对接市直相关部门加快待办证安置房小区办证手续。</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目标3：完成向阳水岸安置房、南辅道主体建设和安置房分配工作，力争全面化解所有安置遗留问题。</w:t>
            </w:r>
          </w:p>
          <w:p>
            <w:pPr>
              <w:autoSpaceDN w:val="0"/>
              <w:spacing w:line="320" w:lineRule="exact"/>
              <w:jc w:val="left"/>
              <w:textAlignment w:val="center"/>
              <w:rPr>
                <w:rFonts w:ascii="仿宋_GB2312" w:hAnsi="仿宋_GB2312" w:eastAsia="仿宋_GB2312" w:cs="仿宋_GB2312"/>
                <w:color w:val="000000"/>
                <w:sz w:val="24"/>
              </w:rPr>
            </w:pPr>
          </w:p>
        </w:tc>
        <w:tc>
          <w:tcPr>
            <w:tcW w:w="4585" w:type="dxa"/>
            <w:gridSpan w:val="9"/>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以上目标任务均已高效优质完成。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68"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（部门工作实绩，包含上级部门和区委区政府布置的重点工作、实事任务等，根据部门实际进行调整细化）</w:t>
            </w: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4"/>
          </w:tcPr>
          <w:p>
            <w:pPr>
              <w:jc w:val="center"/>
            </w:pPr>
            <w:r>
              <w:rPr>
                <w:rFonts w:hint="eastAsia"/>
              </w:rPr>
              <w:t>指标1：加大征收腾地交地工作力度。</w:t>
            </w:r>
          </w:p>
        </w:tc>
        <w:tc>
          <w:tcPr>
            <w:tcW w:w="2684" w:type="dxa"/>
            <w:gridSpan w:val="6"/>
          </w:tcPr>
          <w:p>
            <w:pPr>
              <w:jc w:val="center"/>
            </w:pPr>
            <w:r>
              <w:rPr>
                <w:rFonts w:hint="eastAsia"/>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79"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spacing w:line="320" w:lineRule="exact"/>
              <w:rPr>
                <w:rFonts w:ascii="仿宋_GB2312" w:hAnsi="仿宋_GB2312" w:eastAsia="仿宋_GB2312" w:cs="仿宋_GB2312"/>
                <w:sz w:val="24"/>
              </w:rPr>
            </w:pPr>
          </w:p>
        </w:tc>
        <w:tc>
          <w:tcPr>
            <w:tcW w:w="2709" w:type="dxa"/>
            <w:gridSpan w:val="4"/>
          </w:tcPr>
          <w:p>
            <w:pPr>
              <w:jc w:val="center"/>
            </w:pPr>
            <w:r>
              <w:rPr>
                <w:rFonts w:hint="eastAsia"/>
              </w:rPr>
              <w:t>指标2：指导各棚改项目依法依规开展清零工作。</w:t>
            </w:r>
          </w:p>
        </w:tc>
        <w:tc>
          <w:tcPr>
            <w:tcW w:w="2684" w:type="dxa"/>
            <w:gridSpan w:val="6"/>
          </w:tcPr>
          <w:p>
            <w:pPr>
              <w:jc w:val="center"/>
            </w:pPr>
            <w:r>
              <w:rPr>
                <w:rFonts w:hint="eastAsia"/>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93"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4"/>
          </w:tcPr>
          <w:p>
            <w:pPr>
              <w:jc w:val="center"/>
            </w:pPr>
            <w:r>
              <w:rPr>
                <w:rFonts w:hint="eastAsia"/>
              </w:rPr>
              <w:t>指标1：完成征收腾地工作。</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已签约1128户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9"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709" w:type="dxa"/>
            <w:gridSpan w:val="4"/>
          </w:tcPr>
          <w:p>
            <w:pPr>
              <w:jc w:val="center"/>
            </w:pPr>
            <w:r>
              <w:rPr>
                <w:rFonts w:hint="eastAsia"/>
              </w:rPr>
              <w:t>指标2：完成征收腾地面积。</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已签约8.8万平方米</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8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09" w:type="dxa"/>
            <w:gridSpan w:val="4"/>
          </w:tcPr>
          <w:p>
            <w:pPr>
              <w:jc w:val="center"/>
              <w:rPr>
                <w:highlight w:val="yellow"/>
              </w:rPr>
            </w:pPr>
            <w:r>
              <w:rPr>
                <w:rFonts w:hint="eastAsia"/>
              </w:rPr>
              <w:t>协助土地出让办完成土地出让工作。</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99"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709" w:type="dxa"/>
            <w:gridSpan w:val="4"/>
          </w:tcPr>
          <w:p>
            <w:pPr>
              <w:jc w:val="center"/>
              <w:rPr>
                <w:highlight w:val="yellow"/>
              </w:rPr>
            </w:pPr>
            <w:r>
              <w:rPr>
                <w:rFonts w:hint="eastAsia"/>
              </w:rPr>
              <w:t>指标1：已支付棚户区征收补偿款。</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棚户(旧城)区已拨付14272.5102万元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35"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709" w:type="dxa"/>
            <w:gridSpan w:val="4"/>
          </w:tcPr>
          <w:p>
            <w:pPr>
              <w:rPr>
                <w:highlight w:val="yellow"/>
              </w:rPr>
            </w:pPr>
            <w:r>
              <w:rPr>
                <w:rFonts w:hint="eastAsia"/>
              </w:rPr>
              <w:t>指标2：回笼购房款。</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555"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4"/>
            <w:vAlign w:val="center"/>
          </w:tcPr>
          <w:p>
            <w:pPr>
              <w:autoSpaceDN w:val="0"/>
              <w:spacing w:line="320" w:lineRule="exact"/>
              <w:jc w:val="center"/>
              <w:textAlignment w:val="center"/>
            </w:pPr>
            <w:r>
              <w:rPr>
                <w:rFonts w:hint="eastAsia"/>
              </w:rPr>
              <w:t>棚户区改造项目按上级要求紧张有序进行，得到征收补偿群众肯定。</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45"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709" w:type="dxa"/>
            <w:gridSpan w:val="4"/>
          </w:tcPr>
          <w:p>
            <w:pPr>
              <w:jc w:val="center"/>
            </w:pPr>
            <w:r>
              <w:rPr>
                <w:rFonts w:hint="eastAsia"/>
              </w:rPr>
              <w:t>回笼了白水及磨子山等项目购房款。</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完成中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8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709" w:type="dxa"/>
            <w:gridSpan w:val="4"/>
          </w:tcPr>
          <w:p>
            <w:pPr>
              <w:jc w:val="center"/>
            </w:pPr>
            <w:r>
              <w:rPr>
                <w:rFonts w:hint="eastAsia"/>
              </w:rPr>
              <w:t>在交房工作中解决了部分住房特殊困难户。</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完成中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709" w:type="dxa"/>
            <w:gridSpan w:val="4"/>
          </w:tcPr>
          <w:p>
            <w:pPr>
              <w:spacing w:line="720" w:lineRule="auto"/>
              <w:jc w:val="center"/>
            </w:pPr>
            <w:r>
              <w:rPr>
                <w:rFonts w:hint="eastAsia"/>
              </w:rPr>
              <w:t>社会公众满意度超过95%。</w:t>
            </w:r>
          </w:p>
        </w:tc>
        <w:tc>
          <w:tcPr>
            <w:tcW w:w="2684" w:type="dxa"/>
            <w:gridSpan w:val="6"/>
            <w:vAlign w:val="center"/>
          </w:tcPr>
          <w:p>
            <w:pPr>
              <w:autoSpaceDN w:val="0"/>
              <w:spacing w:line="720" w:lineRule="auto"/>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征收安置户95%满意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46" w:hRule="atLeast"/>
          <w:jc w:val="center"/>
        </w:trPr>
        <w:tc>
          <w:tcPr>
            <w:tcW w:w="2990"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95.5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16" w:hRule="atLeast"/>
          <w:jc w:val="center"/>
        </w:trPr>
        <w:tc>
          <w:tcPr>
            <w:tcW w:w="2990"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tcPr>
          <w:p>
            <w:pPr>
              <w:jc w:val="center"/>
            </w:pPr>
            <w:r>
              <w:rPr>
                <w:rFonts w:hint="eastAsia"/>
              </w:rPr>
              <w:t>杨国庆</w:t>
            </w:r>
          </w:p>
        </w:tc>
        <w:tc>
          <w:tcPr>
            <w:tcW w:w="3561" w:type="dxa"/>
            <w:gridSpan w:val="6"/>
          </w:tcPr>
          <w:p>
            <w:pPr>
              <w:jc w:val="center"/>
            </w:pPr>
            <w:r>
              <w:rPr>
                <w:rFonts w:hint="eastAsia"/>
              </w:rPr>
              <w:t>党组副书记、副主任</w:t>
            </w:r>
          </w:p>
        </w:tc>
        <w:tc>
          <w:tcPr>
            <w:tcW w:w="1479" w:type="dxa"/>
          </w:tcPr>
          <w:p>
            <w:pPr>
              <w:jc w:val="center"/>
            </w:pPr>
            <w:r>
              <w:rPr>
                <w:rFonts w:hint="eastAsia"/>
              </w:rPr>
              <w:t>岳阳楼区拆迁安置服务中心</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tcPr>
          <w:p>
            <w:pPr>
              <w:jc w:val="center"/>
            </w:pPr>
            <w:r>
              <w:rPr>
                <w:rFonts w:hint="eastAsia"/>
              </w:rPr>
              <w:t>张满平</w:t>
            </w:r>
          </w:p>
        </w:tc>
        <w:tc>
          <w:tcPr>
            <w:tcW w:w="3561" w:type="dxa"/>
            <w:gridSpan w:val="6"/>
          </w:tcPr>
          <w:p>
            <w:pPr>
              <w:jc w:val="center"/>
            </w:pPr>
            <w:r>
              <w:rPr>
                <w:rFonts w:hint="eastAsia"/>
              </w:rPr>
              <w:t>财务股长</w:t>
            </w:r>
          </w:p>
        </w:tc>
        <w:tc>
          <w:tcPr>
            <w:tcW w:w="1479" w:type="dxa"/>
          </w:tcPr>
          <w:p>
            <w:pPr>
              <w:jc w:val="center"/>
            </w:pPr>
            <w:r>
              <w:rPr>
                <w:rFonts w:hint="eastAsia"/>
              </w:rPr>
              <w:t>岳阳楼区拆迁安置服务中心</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向旭</w:t>
            </w: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财务会计</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岳阳楼区拆迁安置服务中心</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899" w:hRule="atLeast"/>
          <w:jc w:val="center"/>
        </w:trPr>
        <w:tc>
          <w:tcPr>
            <w:tcW w:w="9800" w:type="dxa"/>
            <w:gridSpan w:val="17"/>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vAlign w:val="center"/>
          </w:tcPr>
          <w:p>
            <w:pPr>
              <w:spacing w:line="320" w:lineRule="exact"/>
              <w:rPr>
                <w:rFonts w:eastAsia="仿宋_GB2312"/>
                <w:sz w:val="24"/>
              </w:rPr>
            </w:pPr>
            <w:r>
              <w:rPr>
                <w:rFonts w:hint="eastAsia" w:eastAsia="仿宋_GB2312"/>
                <w:sz w:val="24"/>
              </w:rPr>
              <w:t>财政部门归口业务科室意见：</w:t>
            </w: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r>
              <w:rPr>
                <w:rFonts w:hint="eastAsia" w:eastAsia="仿宋_GB2312"/>
                <w:sz w:val="24"/>
              </w:rPr>
              <w:t xml:space="preserve">                                  财政部门归口业务科室负责人（签章）：</w:t>
            </w:r>
          </w:p>
          <w:p>
            <w:pPr>
              <w:autoSpaceDN w:val="0"/>
              <w:spacing w:line="320" w:lineRule="exact"/>
              <w:jc w:val="left"/>
              <w:textAlignment w:val="center"/>
              <w:rPr>
                <w:rFonts w:ascii="仿宋_GB2312" w:hAnsi="仿宋_GB2312" w:eastAsia="仿宋_GB2312" w:cs="仿宋_GB2312"/>
                <w:color w:val="000000"/>
                <w:sz w:val="24"/>
              </w:rPr>
            </w:pPr>
            <w:r>
              <w:rPr>
                <w:rFonts w:hint="eastAsia" w:eastAsia="仿宋_GB2312"/>
                <w:sz w:val="24"/>
              </w:rPr>
              <w:t xml:space="preserve">                                                                 年    月   日</w:t>
            </w:r>
          </w:p>
        </w:tc>
      </w:tr>
    </w:tbl>
    <w:p>
      <w:pPr>
        <w:rPr>
          <w:rFonts w:eastAsia="仿宋_GB2312" w:cs="仿宋_GB2312"/>
          <w:bCs/>
          <w:sz w:val="28"/>
          <w:szCs w:val="28"/>
        </w:rPr>
      </w:pPr>
      <w:r>
        <w:rPr>
          <w:rFonts w:hint="eastAsia" w:eastAsia="仿宋_GB2312" w:cs="仿宋_GB2312"/>
          <w:bCs/>
          <w:sz w:val="28"/>
          <w:szCs w:val="28"/>
        </w:rPr>
        <w:t>填报人（签名）：                          联系电话：</w:t>
      </w: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558" w:type="dxa"/>
          </w:tcPr>
          <w:p>
            <w:pPr>
              <w:jc w:val="center"/>
              <w:rPr>
                <w:rFonts w:ascii="黑体" w:hAnsi="黑体" w:eastAsia="黑体" w:cs="黑体"/>
                <w:bCs/>
                <w:sz w:val="28"/>
                <w:szCs w:val="28"/>
              </w:rPr>
            </w:pPr>
            <w:r>
              <w:rPr>
                <w:rFonts w:hint="eastAsia" w:ascii="黑体" w:hAnsi="黑体" w:eastAsia="黑体" w:cs="黑体"/>
                <w:bCs/>
                <w:sz w:val="28"/>
                <w:szCs w:val="28"/>
              </w:rPr>
              <w:t>五、评价报告综述（文字部分）</w:t>
            </w:r>
          </w:p>
          <w:p>
            <w:pPr>
              <w:spacing w:line="440" w:lineRule="exact"/>
              <w:ind w:firstLine="640" w:firstLineChars="200"/>
              <w:rPr>
                <w:rFonts w:eastAsia="仿宋_GB2312"/>
                <w:sz w:val="32"/>
                <w:szCs w:val="32"/>
              </w:rPr>
            </w:pP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一、部门（单位）概况</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（一）部门（单位）基本情况: 单位基本情况：岳阳楼区拆迁安置服务中心主要工作职责：贯彻落实国家、省、市征收安置法律、法规及其有关政策，向被征收人宣传、解释相关征收安置政策，保障征收人和被征收人的合法利益。负责国家建设用地的征地及征收资金管理工作。负责各类建设项目征地的协调。经相关部门授权，承担土地征收方案、征收资金概算、征地公告、征地补偿安置公告的编制，经送审后上报及组织发布。负责房屋征收安置、保障性住房建设、政策法规和归口管理范围内的档案整理工作。负责征收过程中及各类保障性住房建设信访案件的初信回复。负责起草归口项目资金结算调度方案，办理项目资金结算、汇总，办理项目竣工结算和财务结算。共设置全额拨款事业编制50名，在职全额事业编48人，其中主任1名，副主任3名，正股级职数7名。内设机构八个，分别为办公室、征收管理股、安置保障股、财务统计股、政策法规股、政工人事股、资料审核股、信访室等机构。</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（二）部门（单位）整体支出规模、使用方向和主要内容、涉及范围等。2021年度我中心机关支出合计</w:t>
            </w:r>
            <w:r>
              <w:rPr>
                <w:rFonts w:ascii="仿宋_GB2312" w:hAnsi="仿宋_GB2312" w:eastAsia="仿宋_GB2312" w:cs="仿宋_GB2312"/>
                <w:bCs/>
                <w:sz w:val="28"/>
                <w:szCs w:val="28"/>
              </w:rPr>
              <w:t>749.8</w:t>
            </w:r>
            <w:r>
              <w:rPr>
                <w:rFonts w:hint="eastAsia" w:ascii="仿宋_GB2312" w:hAnsi="仿宋_GB2312" w:eastAsia="仿宋_GB2312" w:cs="仿宋_GB2312"/>
                <w:bCs/>
                <w:sz w:val="28"/>
                <w:szCs w:val="28"/>
              </w:rPr>
              <w:t>2元，其中工资福利支出567.25万元，商品和服务支出118.30万元，安置遗留问题处理54.03万元。</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二、部门（单位）整体支出管理及使用情况</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（一）基本支出</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我中心建立了预算资金管理和支付制度。一方面，我中心认真做好预算执行，加快预算支出进度，促进资金及时足额拨付。财政拨款到位后及时进行了项目开展和资金投入。另一方面，我中心注重提高资金项目的安全性，严格执行“收支两条线”的规定，防止截留、坐支、挪用和私设“小金库”，防止数据不实、虚假立项、骗取套取、挤占挪用财政资金等行为。今年“三公</w:t>
            </w:r>
            <w:r>
              <w:rPr>
                <w:rFonts w:ascii="仿宋_GB2312" w:hAnsi="仿宋_GB2312" w:eastAsia="仿宋_GB2312" w:cs="仿宋_GB2312"/>
                <w:bCs/>
                <w:sz w:val="28"/>
                <w:szCs w:val="28"/>
              </w:rPr>
              <w:t>”</w:t>
            </w:r>
            <w:r>
              <w:rPr>
                <w:rFonts w:hint="eastAsia" w:ascii="仿宋_GB2312" w:hAnsi="仿宋_GB2312" w:eastAsia="仿宋_GB2312" w:cs="仿宋_GB2312"/>
                <w:bCs/>
                <w:sz w:val="28"/>
                <w:szCs w:val="28"/>
              </w:rPr>
              <w:t>经费使用为零。</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（二）专项支出</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由于全区征收拆迁安置遗留问题突出，安置欠账较多，矛盾突出影响社会稳定，区委区政府成立该项目实施安置问题清零专项行动，并逐一化解。该项目在2021支出合计</w:t>
            </w:r>
            <w:r>
              <w:rPr>
                <w:rFonts w:ascii="仿宋_GB2312" w:hAnsi="仿宋_GB2312" w:eastAsia="仿宋_GB2312" w:cs="仿宋_GB2312"/>
                <w:bCs/>
                <w:sz w:val="28"/>
                <w:szCs w:val="28"/>
              </w:rPr>
              <w:t>54.0</w:t>
            </w:r>
            <w:r>
              <w:rPr>
                <w:rFonts w:hint="eastAsia" w:ascii="仿宋_GB2312" w:hAnsi="仿宋_GB2312" w:eastAsia="仿宋_GB2312" w:cs="仿宋_GB2312"/>
                <w:bCs/>
                <w:sz w:val="28"/>
                <w:szCs w:val="28"/>
              </w:rPr>
              <w:t>3万元。</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三、部门（单位）专项组织实施情况</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由于全区征收拆迁安置遗留问题突出，安置欠账较多，矛盾突出影响社会稳定，区委区政府成立该项目实施安置问题清零专项行动，并逐一化解。该项目在2021年支出合计</w:t>
            </w:r>
            <w:r>
              <w:rPr>
                <w:rFonts w:ascii="仿宋_GB2312" w:hAnsi="仿宋_GB2312" w:eastAsia="仿宋_GB2312" w:cs="仿宋_GB2312"/>
                <w:bCs/>
                <w:sz w:val="28"/>
                <w:szCs w:val="28"/>
              </w:rPr>
              <w:t>54.0</w:t>
            </w:r>
            <w:r>
              <w:rPr>
                <w:rFonts w:hint="eastAsia" w:ascii="仿宋_GB2312" w:hAnsi="仿宋_GB2312" w:eastAsia="仿宋_GB2312" w:cs="仿宋_GB2312"/>
                <w:bCs/>
                <w:sz w:val="28"/>
                <w:szCs w:val="28"/>
              </w:rPr>
              <w:t>3万元,支出明细如下：工资福利费用0.54万元，商品和服务费用53.49万元。资金账户设立在区拆迁安置服务中心。</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四、部门（单位）整体支出绩效情况</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2021年，我中心通过加强预算收支管理，不断健全内部管理制度，梳理内部管理流程，部门整体支出管理情况得到了提升。预算资金中涉及的政府采购、经费拨付事项，我中心均严格按照要求进行了集中采购和请示报告</w:t>
            </w:r>
          </w:p>
          <w:p>
            <w:pPr>
              <w:spacing w:line="520" w:lineRule="exact"/>
              <w:ind w:firstLine="560" w:firstLineChars="200"/>
              <w:rPr>
                <w:rFonts w:ascii="黑体" w:hAnsi="黑体" w:eastAsia="黑体" w:cs="仿宋_GB2312"/>
                <w:bCs/>
                <w:sz w:val="28"/>
                <w:szCs w:val="28"/>
              </w:rPr>
            </w:pPr>
            <w:r>
              <w:rPr>
                <w:rFonts w:hint="eastAsia" w:ascii="黑体" w:hAnsi="黑体" w:eastAsia="黑体" w:cs="仿宋_GB2312"/>
                <w:bCs/>
                <w:sz w:val="28"/>
                <w:szCs w:val="28"/>
              </w:rPr>
              <w:t>五、存在的主要问题</w:t>
            </w:r>
          </w:p>
          <w:p>
            <w:pPr>
              <w:spacing w:line="520" w:lineRule="exact"/>
              <w:ind w:firstLine="560" w:firstLineChars="200"/>
              <w:rPr>
                <w:rFonts w:ascii="仿宋" w:hAnsi="仿宋" w:eastAsia="仿宋" w:cs="仿宋_GB2312"/>
                <w:bCs/>
                <w:sz w:val="28"/>
                <w:szCs w:val="28"/>
              </w:rPr>
            </w:pPr>
            <w:r>
              <w:rPr>
                <w:rFonts w:hint="eastAsia" w:ascii="仿宋" w:hAnsi="仿宋" w:eastAsia="仿宋" w:cs="仿宋_GB2312"/>
                <w:bCs/>
                <w:sz w:val="28"/>
                <w:szCs w:val="28"/>
              </w:rPr>
              <w:t>通过对我中心整体支出情况的分析，反映出目前在整体支出的预算编制、执行和管理过程中，仍存在一些问题和不足。</w:t>
            </w:r>
            <w:r>
              <w:rPr>
                <w:rFonts w:hint="eastAsia" w:ascii="仿宋" w:hAnsi="仿宋" w:eastAsia="仿宋" w:cs="楷体_GB2312"/>
                <w:bCs/>
                <w:color w:val="000000"/>
                <w:sz w:val="28"/>
                <w:szCs w:val="28"/>
              </w:rPr>
              <w:t>财务工作人员业务水平仍需提高。</w:t>
            </w:r>
            <w:r>
              <w:rPr>
                <w:rFonts w:hint="eastAsia" w:ascii="仿宋" w:hAnsi="仿宋" w:eastAsia="仿宋" w:cs="仿宋_GB2312"/>
                <w:bCs/>
                <w:sz w:val="28"/>
                <w:szCs w:val="28"/>
              </w:rPr>
              <w:t>加强财务专业学习培训，多组织一些实用性和操作性较强的培训活动，多组织进行业务交流。</w:t>
            </w:r>
          </w:p>
          <w:p>
            <w:pPr>
              <w:spacing w:line="520" w:lineRule="exact"/>
              <w:ind w:firstLine="560" w:firstLineChars="200"/>
              <w:rPr>
                <w:rFonts w:ascii="黑体" w:hAnsi="黑体" w:eastAsia="黑体" w:cs="黑体"/>
                <w:bCs/>
                <w:sz w:val="28"/>
                <w:szCs w:val="28"/>
              </w:rPr>
            </w:pPr>
            <w:r>
              <w:rPr>
                <w:rFonts w:hint="eastAsia" w:ascii="黑体" w:hAnsi="黑体" w:eastAsia="黑体" w:cs="黑体"/>
                <w:bCs/>
                <w:sz w:val="28"/>
                <w:szCs w:val="28"/>
              </w:rPr>
              <w:t>六、改进措施和有关建议</w:t>
            </w:r>
          </w:p>
          <w:p>
            <w:pPr>
              <w:spacing w:line="520" w:lineRule="exact"/>
              <w:ind w:firstLine="560" w:firstLineChars="200"/>
              <w:rPr>
                <w:rFonts w:ascii="仿宋" w:hAnsi="仿宋" w:eastAsia="仿宋" w:cs="黑体"/>
                <w:bCs/>
                <w:sz w:val="28"/>
                <w:szCs w:val="28"/>
              </w:rPr>
            </w:pPr>
            <w:r>
              <w:rPr>
                <w:rFonts w:hint="eastAsia" w:ascii="仿宋" w:hAnsi="仿宋" w:eastAsia="仿宋" w:cs="楷体_GB2312"/>
                <w:sz w:val="28"/>
                <w:szCs w:val="28"/>
              </w:rPr>
              <w:t>1、细化预算编制工作。</w:t>
            </w:r>
            <w:r>
              <w:rPr>
                <w:rFonts w:hint="eastAsia" w:ascii="仿宋" w:hAnsi="仿宋" w:eastAsia="仿宋" w:cs="仿宋_GB2312"/>
                <w:bCs/>
                <w:sz w:val="28"/>
                <w:szCs w:val="28"/>
              </w:rPr>
              <w:t>进一步加强预算编制和管理意识，严格按照预算编制的相关制度和要求，本着“勤俭节约、保障运转”的原则进行预算编制；编制范围尽可能的全面、不漏项，进一步提高预算编制的科学性、合理性和可控性。</w:t>
            </w:r>
          </w:p>
          <w:p>
            <w:pPr>
              <w:spacing w:line="520" w:lineRule="exact"/>
              <w:ind w:firstLine="560" w:firstLineChars="200"/>
              <w:rPr>
                <w:rFonts w:ascii="仿宋" w:hAnsi="仿宋" w:eastAsia="仿宋" w:cs="黑体"/>
                <w:bCs/>
                <w:sz w:val="28"/>
                <w:szCs w:val="28"/>
              </w:rPr>
            </w:pPr>
            <w:r>
              <w:rPr>
                <w:rFonts w:hint="eastAsia" w:ascii="仿宋" w:hAnsi="仿宋" w:eastAsia="仿宋" w:cs="楷体_GB2312"/>
                <w:sz w:val="28"/>
                <w:szCs w:val="28"/>
              </w:rPr>
              <w:t>2、加强财务管理工作。</w:t>
            </w:r>
            <w:r>
              <w:rPr>
                <w:rFonts w:hint="eastAsia" w:ascii="仿宋" w:hAnsi="仿宋" w:eastAsia="仿宋" w:cs="仿宋_GB2312"/>
                <w:bCs/>
                <w:sz w:val="28"/>
                <w:szCs w:val="28"/>
              </w:rPr>
              <w:t>在费用支付时，按照预算规定的费用项目和用途进行资金的审核，严格按照费用的实际使用用途进行资金支付项目的列报，严格按照实际的费用支出内容进行财务核算，严格控制超支现象发生。</w:t>
            </w:r>
          </w:p>
          <w:p>
            <w:pPr>
              <w:spacing w:line="560" w:lineRule="exact"/>
              <w:ind w:firstLine="560" w:firstLineChars="200"/>
              <w:rPr>
                <w:rFonts w:ascii="黑体" w:hAnsi="黑体" w:eastAsia="黑体" w:cs="黑体"/>
                <w:bCs/>
                <w:sz w:val="28"/>
                <w:szCs w:val="28"/>
              </w:rPr>
            </w:pPr>
            <w:r>
              <w:rPr>
                <w:rFonts w:hint="eastAsia" w:ascii="仿宋" w:hAnsi="仿宋" w:eastAsia="仿宋" w:cs="楷体_GB2312"/>
                <w:sz w:val="28"/>
                <w:szCs w:val="28"/>
              </w:rPr>
              <w:t>3、加强三公经费管理。</w:t>
            </w:r>
            <w:r>
              <w:rPr>
                <w:rFonts w:hint="eastAsia" w:ascii="仿宋" w:hAnsi="仿宋" w:eastAsia="仿宋" w:cs="仿宋_GB2312"/>
                <w:bCs/>
                <w:sz w:val="28"/>
                <w:szCs w:val="28"/>
              </w:rPr>
              <w:t>进一步严控三公经费，严格控制三公经费的规模和比例，严格三公经费支出的审核流程，杜绝挪用和挤占其他预算资金行为。</w:t>
            </w:r>
          </w:p>
          <w:p>
            <w:pPr>
              <w:spacing w:line="560" w:lineRule="exact"/>
              <w:ind w:firstLine="560" w:firstLineChars="200"/>
              <w:rPr>
                <w:rFonts w:eastAsia="楷体_GB2312"/>
                <w:bCs/>
                <w:sz w:val="28"/>
                <w:szCs w:val="28"/>
              </w:rPr>
            </w:pPr>
          </w:p>
        </w:tc>
      </w:tr>
    </w:tbl>
    <w:p>
      <w:pPr>
        <w:spacing w:line="348" w:lineRule="auto"/>
        <w:rPr>
          <w:rFonts w:eastAsia="黑体" w:cs="黑体"/>
          <w:bCs/>
          <w:sz w:val="32"/>
          <w:szCs w:val="32"/>
        </w:rPr>
      </w:pPr>
      <w:r>
        <w:rPr>
          <w:rFonts w:hint="eastAsia" w:eastAsia="黑体" w:cs="黑体"/>
          <w:bCs/>
          <w:sz w:val="32"/>
          <w:szCs w:val="32"/>
        </w:rPr>
        <w:t>附件2-2</w:t>
      </w:r>
    </w:p>
    <w:p>
      <w:pPr>
        <w:spacing w:before="312" w:beforeLines="100" w:after="312" w:afterLines="100" w:line="400" w:lineRule="exact"/>
        <w:jc w:val="center"/>
        <w:rPr>
          <w:rFonts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7"/>
        <w:tblW w:w="0" w:type="auto"/>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2</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2</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tbl>
      <w:tblPr>
        <w:tblStyle w:val="7"/>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此项指标根据区综合绩效考核领导小组办公室2018年对各部门的部门工作实绩考核分数折算考核内容设置。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96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bookmarkEnd w:id="0"/>
    </w:tbl>
    <w:p>
      <w:pPr>
        <w:rPr>
          <w:rFonts w:ascii="黑体" w:hAnsi="黑体" w:eastAsia="黑体"/>
          <w:sz w:val="32"/>
          <w:szCs w:val="32"/>
        </w:rPr>
      </w:pPr>
    </w:p>
    <w:sectPr>
      <w:headerReference r:id="rId5" w:type="default"/>
      <w:footerReference r:id="rId6" w:type="default"/>
      <w:pgSz w:w="11906" w:h="16838"/>
      <w:pgMar w:top="1701" w:right="1701" w:bottom="1701" w:left="170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方正小标宋简体">
    <w:altName w:val="方正舒体"/>
    <w:panose1 w:val="03000509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舒体">
    <w:panose1 w:val="02010601030101010101"/>
    <w:charset w:val="86"/>
    <w:family w:val="auto"/>
    <w:pitch w:val="default"/>
    <w:sig w:usb0="00000003"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1</w:t>
    </w:r>
    <w:r>
      <w:fldChar w:fldCharType="end"/>
    </w:r>
  </w:p>
  <w:p>
    <w:pPr>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6</w:t>
    </w:r>
    <w:r>
      <w:rPr>
        <w:b/>
        <w:bCs/>
        <w:sz w:val="24"/>
        <w:szCs w:val="24"/>
      </w:rPr>
      <w:fldChar w:fldCharType="end"/>
    </w:r>
    <w:r>
      <w:rPr>
        <w:lang w:val="zh-CN"/>
      </w:rPr>
      <w:t xml:space="preserve"> </w:t>
    </w:r>
  </w:p>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ExM2I1Y2E5MTg1NzJhN2FkNjlmNDg5OTI5OGY3ZTQifQ=="/>
  </w:docVars>
  <w:rsids>
    <w:rsidRoot w:val="00540C92"/>
    <w:rsid w:val="000108EC"/>
    <w:rsid w:val="00023F79"/>
    <w:rsid w:val="00025287"/>
    <w:rsid w:val="000E3457"/>
    <w:rsid w:val="000F4BAE"/>
    <w:rsid w:val="00111BD3"/>
    <w:rsid w:val="001132AD"/>
    <w:rsid w:val="0014149F"/>
    <w:rsid w:val="00163AD6"/>
    <w:rsid w:val="00196BA9"/>
    <w:rsid w:val="00230357"/>
    <w:rsid w:val="00235021"/>
    <w:rsid w:val="0026544F"/>
    <w:rsid w:val="00265677"/>
    <w:rsid w:val="002A1A39"/>
    <w:rsid w:val="0031083A"/>
    <w:rsid w:val="0032314B"/>
    <w:rsid w:val="00327ED5"/>
    <w:rsid w:val="00356717"/>
    <w:rsid w:val="00371093"/>
    <w:rsid w:val="003711B6"/>
    <w:rsid w:val="00392D45"/>
    <w:rsid w:val="003939F2"/>
    <w:rsid w:val="003A729A"/>
    <w:rsid w:val="003D372F"/>
    <w:rsid w:val="003D5479"/>
    <w:rsid w:val="00412BD9"/>
    <w:rsid w:val="00415CE8"/>
    <w:rsid w:val="00467FF4"/>
    <w:rsid w:val="004C1A3E"/>
    <w:rsid w:val="004F0C95"/>
    <w:rsid w:val="00540C92"/>
    <w:rsid w:val="005F31C7"/>
    <w:rsid w:val="0060065E"/>
    <w:rsid w:val="00642A1A"/>
    <w:rsid w:val="006C7065"/>
    <w:rsid w:val="006D4BA3"/>
    <w:rsid w:val="006D7AD1"/>
    <w:rsid w:val="006F3A1D"/>
    <w:rsid w:val="0070182D"/>
    <w:rsid w:val="00713B6E"/>
    <w:rsid w:val="007921B1"/>
    <w:rsid w:val="007B210B"/>
    <w:rsid w:val="007D012E"/>
    <w:rsid w:val="00811FF2"/>
    <w:rsid w:val="00826667"/>
    <w:rsid w:val="00831207"/>
    <w:rsid w:val="008932E5"/>
    <w:rsid w:val="00893B22"/>
    <w:rsid w:val="008969B7"/>
    <w:rsid w:val="0092036C"/>
    <w:rsid w:val="0094693A"/>
    <w:rsid w:val="00957298"/>
    <w:rsid w:val="0097779F"/>
    <w:rsid w:val="009C2D0E"/>
    <w:rsid w:val="00A67E0C"/>
    <w:rsid w:val="00A87F57"/>
    <w:rsid w:val="00B079A3"/>
    <w:rsid w:val="00B2164F"/>
    <w:rsid w:val="00B57254"/>
    <w:rsid w:val="00B65542"/>
    <w:rsid w:val="00B72FB7"/>
    <w:rsid w:val="00BE64D5"/>
    <w:rsid w:val="00BF0611"/>
    <w:rsid w:val="00C01ABD"/>
    <w:rsid w:val="00C2394C"/>
    <w:rsid w:val="00C46A46"/>
    <w:rsid w:val="00C67FCA"/>
    <w:rsid w:val="00CE0C42"/>
    <w:rsid w:val="00CE663A"/>
    <w:rsid w:val="00D116AB"/>
    <w:rsid w:val="00D27888"/>
    <w:rsid w:val="00D35103"/>
    <w:rsid w:val="00D918CB"/>
    <w:rsid w:val="00DB563A"/>
    <w:rsid w:val="00DE2E52"/>
    <w:rsid w:val="00E20E8F"/>
    <w:rsid w:val="00E47BE6"/>
    <w:rsid w:val="00E577F3"/>
    <w:rsid w:val="00ED57C1"/>
    <w:rsid w:val="00F23845"/>
    <w:rsid w:val="00F64075"/>
    <w:rsid w:val="00F8268F"/>
    <w:rsid w:val="00FD5CA6"/>
    <w:rsid w:val="3CAD02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nhideWhenUsed="0" w:uiPriority="0"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8">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Date"/>
    <w:basedOn w:val="1"/>
    <w:next w:val="1"/>
    <w:link w:val="12"/>
    <w:unhideWhenUsed/>
    <w:qFormat/>
    <w:uiPriority w:val="99"/>
    <w:pPr>
      <w:ind w:left="100" w:leftChars="2500"/>
    </w:pPr>
    <w:rPr>
      <w:rFonts w:asciiTheme="minorHAnsi" w:hAnsiTheme="minorHAnsi" w:eastAsiaTheme="minorEastAsia" w:cstheme="minorBidi"/>
    </w:rPr>
  </w:style>
  <w:style w:type="paragraph" w:styleId="3">
    <w:name w:val="Body Text Indent 2"/>
    <w:basedOn w:val="1"/>
    <w:link w:val="10"/>
    <w:uiPriority w:val="0"/>
    <w:pPr>
      <w:ind w:firstLine="588" w:firstLineChars="200"/>
    </w:pPr>
    <w:rPr>
      <w:rFonts w:ascii="仿宋_GB2312" w:hAnsi="Times New Roman" w:eastAsia="仿宋_GB2312" w:cstheme="minorBidi"/>
      <w:sz w:val="32"/>
      <w:szCs w:val="24"/>
    </w:rPr>
  </w:style>
  <w:style w:type="paragraph" w:styleId="4">
    <w:name w:val="Balloon Text"/>
    <w:basedOn w:val="1"/>
    <w:link w:val="15"/>
    <w:unhideWhenUsed/>
    <w:qFormat/>
    <w:uiPriority w:val="99"/>
    <w:rPr>
      <w:rFonts w:asciiTheme="minorHAnsi" w:hAnsiTheme="minorHAnsi" w:eastAsiaTheme="minorEastAsia" w:cstheme="minorBidi"/>
      <w:sz w:val="18"/>
      <w:szCs w:val="18"/>
    </w:rPr>
  </w:style>
  <w:style w:type="paragraph" w:styleId="5">
    <w:name w:val="footer"/>
    <w:basedOn w:val="1"/>
    <w:link w:val="14"/>
    <w:unhideWhenUsed/>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6">
    <w:name w:val="header"/>
    <w:basedOn w:val="1"/>
    <w:link w:val="13"/>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customStyle="1" w:styleId="9">
    <w:name w:val="标题 3 Char Char"/>
    <w:uiPriority w:val="0"/>
    <w:rPr>
      <w:rFonts w:eastAsia="楷体_GB2312"/>
      <w:b/>
      <w:kern w:val="2"/>
      <w:sz w:val="32"/>
      <w:szCs w:val="24"/>
      <w:lang w:val="en-US" w:eastAsia="zh-CN" w:bidi="ar-SA"/>
    </w:rPr>
  </w:style>
  <w:style w:type="character" w:customStyle="1" w:styleId="10">
    <w:name w:val="正文文本缩进 2 Char"/>
    <w:link w:val="3"/>
    <w:uiPriority w:val="0"/>
    <w:rPr>
      <w:rFonts w:ascii="仿宋_GB2312" w:hAnsi="Times New Roman" w:eastAsia="仿宋_GB2312"/>
      <w:sz w:val="32"/>
      <w:szCs w:val="24"/>
    </w:rPr>
  </w:style>
  <w:style w:type="character" w:customStyle="1" w:styleId="11">
    <w:name w:val="正文文本缩进 2 Char1"/>
    <w:basedOn w:val="8"/>
    <w:semiHidden/>
    <w:uiPriority w:val="99"/>
    <w:rPr>
      <w:rFonts w:ascii="Calibri" w:hAnsi="Calibri" w:eastAsia="宋体" w:cs="Times New Roman"/>
    </w:rPr>
  </w:style>
  <w:style w:type="character" w:customStyle="1" w:styleId="12">
    <w:name w:val="日期 Char"/>
    <w:link w:val="2"/>
    <w:uiPriority w:val="99"/>
  </w:style>
  <w:style w:type="character" w:customStyle="1" w:styleId="13">
    <w:name w:val="页眉 Char"/>
    <w:link w:val="6"/>
    <w:uiPriority w:val="99"/>
    <w:rPr>
      <w:sz w:val="18"/>
      <w:szCs w:val="18"/>
    </w:rPr>
  </w:style>
  <w:style w:type="character" w:customStyle="1" w:styleId="14">
    <w:name w:val="页脚 Char"/>
    <w:link w:val="5"/>
    <w:uiPriority w:val="99"/>
    <w:rPr>
      <w:sz w:val="18"/>
      <w:szCs w:val="18"/>
    </w:rPr>
  </w:style>
  <w:style w:type="character" w:customStyle="1" w:styleId="15">
    <w:name w:val="批注框文本 Char"/>
    <w:link w:val="4"/>
    <w:uiPriority w:val="99"/>
    <w:rPr>
      <w:sz w:val="18"/>
      <w:szCs w:val="18"/>
    </w:rPr>
  </w:style>
  <w:style w:type="character" w:customStyle="1" w:styleId="16">
    <w:name w:val="页眉 Char1"/>
    <w:basedOn w:val="8"/>
    <w:semiHidden/>
    <w:uiPriority w:val="99"/>
    <w:rPr>
      <w:rFonts w:ascii="Calibri" w:hAnsi="Calibri" w:eastAsia="宋体" w:cs="Times New Roman"/>
      <w:sz w:val="18"/>
      <w:szCs w:val="18"/>
    </w:rPr>
  </w:style>
  <w:style w:type="character" w:customStyle="1" w:styleId="17">
    <w:name w:val="页脚 Char1"/>
    <w:basedOn w:val="8"/>
    <w:semiHidden/>
    <w:qFormat/>
    <w:uiPriority w:val="99"/>
    <w:rPr>
      <w:rFonts w:ascii="Calibri" w:hAnsi="Calibri" w:eastAsia="宋体" w:cs="Times New Roman"/>
      <w:sz w:val="18"/>
      <w:szCs w:val="18"/>
    </w:rPr>
  </w:style>
  <w:style w:type="character" w:customStyle="1" w:styleId="18">
    <w:name w:val="日期 Char1"/>
    <w:basedOn w:val="8"/>
    <w:semiHidden/>
    <w:uiPriority w:val="99"/>
    <w:rPr>
      <w:rFonts w:ascii="Calibri" w:hAnsi="Calibri" w:eastAsia="宋体" w:cs="Times New Roman"/>
    </w:rPr>
  </w:style>
  <w:style w:type="character" w:customStyle="1" w:styleId="19">
    <w:name w:val="批注框文本 Char1"/>
    <w:basedOn w:val="8"/>
    <w:semiHidden/>
    <w:uiPriority w:val="99"/>
    <w:rPr>
      <w:rFonts w:ascii="Calibri" w:hAnsi="Calibri" w:eastAsia="宋体" w:cs="Times New Roman"/>
      <w:sz w:val="18"/>
      <w:szCs w:val="18"/>
    </w:rPr>
  </w:style>
  <w:style w:type="paragraph" w:styleId="20">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6B9329-E825-4D4A-B1BC-FAAC4985A5D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10</Pages>
  <Words>4793</Words>
  <Characters>5063</Characters>
  <Lines>43</Lines>
  <Paragraphs>12</Paragraphs>
  <TotalTime>19</TotalTime>
  <ScaleCrop>false</ScaleCrop>
  <LinksUpToDate>false</LinksUpToDate>
  <CharactersWithSpaces>5572</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2022-10-24T08:28:00Z</dcterms:created>
  <dc:creator>MM</dc:creator>
  <cp:lastModifiedBy>necrolyte</cp:lastModifiedBy>
  <cp:lastPrinted>2022-05-19T02:33:00Z</cp:lastPrinted>
  <dcterms:modified xsi:type="dcterms:W3CDTF">2023-04-20T02:31:42Z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9F45E9F2A776431681C1DC81657209D7_12</vt:lpwstr>
  </property>
</Properties>
</file>