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岳阳市岳阳楼区光荣院</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480" w:lineRule="exact"/>
        <w:jc w:val="center"/>
        <w:rPr>
          <w:b/>
          <w:sz w:val="36"/>
          <w:szCs w:val="28"/>
        </w:rPr>
      </w:pPr>
      <w:r>
        <w:rPr>
          <w:rFonts w:hint="eastAsia"/>
          <w:b/>
          <w:sz w:val="36"/>
          <w:szCs w:val="28"/>
        </w:rPr>
        <w:t>目录</w:t>
      </w:r>
    </w:p>
    <w:p>
      <w:pPr>
        <w:pStyle w:val="10"/>
        <w:spacing w:line="480" w:lineRule="exact"/>
        <w:rPr>
          <w:rFonts w:ascii="仿宋_GB2312" w:hAnsi="仿宋_GB2312" w:cs="仿宋_GB2312"/>
          <w:b/>
          <w:sz w:val="28"/>
          <w:szCs w:val="28"/>
        </w:rPr>
      </w:pPr>
      <w:r>
        <w:rPr>
          <w:rFonts w:hint="eastAsia"/>
          <w:b/>
          <w:sz w:val="28"/>
          <w:szCs w:val="28"/>
        </w:rPr>
        <w:t>第一部分岳阳市岳阳楼区光荣院部门概况</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480" w:lineRule="exact"/>
        <w:rPr>
          <w:rFonts w:ascii="仿宋_GB2312" w:hAnsi="仿宋_GB2312" w:cs="仿宋_GB2312"/>
          <w:b/>
          <w:sz w:val="28"/>
          <w:szCs w:val="28"/>
        </w:rPr>
      </w:pPr>
      <w:r>
        <w:rPr>
          <w:rFonts w:hint="eastAsia" w:hAnsi="仿宋_GB2312"/>
          <w:b/>
          <w:sz w:val="28"/>
          <w:szCs w:val="28"/>
        </w:rPr>
        <w:t xml:space="preserve">第二部分  </w:t>
      </w:r>
      <w:bookmarkStart w:id="0" w:name="_Hlk130235306"/>
      <w:r>
        <w:rPr>
          <w:rFonts w:hAnsi="仿宋_GB2312"/>
          <w:b/>
          <w:sz w:val="28"/>
          <w:szCs w:val="28"/>
        </w:rPr>
        <w:t>20</w:t>
      </w:r>
      <w:r>
        <w:rPr>
          <w:rFonts w:hint="eastAsia" w:hAnsi="仿宋_GB2312"/>
          <w:b/>
          <w:sz w:val="28"/>
          <w:szCs w:val="28"/>
        </w:rPr>
        <w:t>21年度</w:t>
      </w:r>
      <w:bookmarkEnd w:id="0"/>
      <w:r>
        <w:rPr>
          <w:rFonts w:hint="eastAsia" w:hAnsi="仿宋_GB2312"/>
          <w:b/>
          <w:sz w:val="28"/>
          <w:szCs w:val="28"/>
        </w:rPr>
        <w:t>部门决算表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48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480" w:lineRule="exact"/>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21年度部门决算情况说明</w:t>
      </w:r>
    </w:p>
    <w:p>
      <w:pPr>
        <w:pStyle w:val="10"/>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jc w:val="left"/>
        <w:rPr>
          <w:rFonts w:ascii="仿宋_GB2312" w:hAnsi="仿宋_GB2312" w:cs="仿宋_GB2312"/>
          <w:color w:val="000000"/>
          <w:kern w:val="0"/>
          <w:sz w:val="28"/>
          <w:szCs w:val="28"/>
        </w:rPr>
      </w:pPr>
      <w:r>
        <w:rPr>
          <w:rFonts w:hint="eastAsia" w:ascii="宋体" w:hAnsi="Times New Roman" w:eastAsia="宋体" w:cs="宋体"/>
          <w:color w:val="000000"/>
          <w:kern w:val="0"/>
          <w:sz w:val="28"/>
          <w:szCs w:val="28"/>
        </w:rPr>
        <w:t>九、国有资本经营预算财政拨款支出决算情况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hAnsi="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pPr>
        <w:pStyle w:val="10"/>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0"/>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48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rPr>
        <w:t xml:space="preserve">  </w:t>
      </w:r>
      <w:r>
        <w:rPr>
          <w:rFonts w:ascii="黑体" w:hAnsi="黑体" w:eastAsia="黑体" w:cs="黑体"/>
          <w:b/>
          <w:color w:val="000000"/>
          <w:kern w:val="0"/>
          <w:sz w:val="28"/>
          <w:szCs w:val="28"/>
        </w:rPr>
        <w:t>名词解释</w:t>
      </w:r>
    </w:p>
    <w:p>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  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岳阳市岳阳楼区光荣院</w:t>
      </w:r>
    </w:p>
    <w:p>
      <w:pPr>
        <w:pStyle w:val="10"/>
        <w:jc w:val="center"/>
        <w:rPr>
          <w:sz w:val="84"/>
          <w:szCs w:val="84"/>
        </w:rPr>
      </w:pPr>
      <w:r>
        <w:rPr>
          <w:rFonts w:hint="eastAsia"/>
          <w:sz w:val="84"/>
          <w:szCs w:val="84"/>
        </w:rPr>
        <w:t>部门概况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5"/>
        <w:widowControl/>
        <w:spacing w:beforeAutospacing="0" w:after="1" w:afterAutospacing="0"/>
        <w:ind w:firstLine="641"/>
        <w:textAlignment w:val="center"/>
      </w:pPr>
      <w:r>
        <w:rPr>
          <w:rFonts w:hint="eastAsia" w:ascii="宋体" w:hAnsi="宋体" w:eastAsia="宋体" w:cs="宋体"/>
          <w:color w:val="000000"/>
          <w:sz w:val="32"/>
          <w:szCs w:val="32"/>
          <w:shd w:val="clear" w:color="auto" w:fill="FFFFFF"/>
        </w:rPr>
        <w:t>（一）保障孤老优抚对象的生活，全方位为孤老优抚对象服务。</w:t>
      </w:r>
    </w:p>
    <w:p>
      <w:pPr>
        <w:pStyle w:val="5"/>
        <w:widowControl/>
        <w:spacing w:beforeAutospacing="0" w:after="1" w:afterAutospacing="0"/>
        <w:ind w:firstLine="641"/>
        <w:textAlignment w:val="center"/>
      </w:pPr>
      <w:r>
        <w:rPr>
          <w:rFonts w:hint="eastAsia" w:ascii="宋体" w:hAnsi="宋体" w:eastAsia="宋体" w:cs="宋体"/>
          <w:color w:val="000000"/>
          <w:sz w:val="32"/>
          <w:szCs w:val="32"/>
          <w:shd w:val="clear" w:color="auto" w:fill="FFFFFF"/>
        </w:rPr>
        <w:t>（二）加快孤老优抚对象养老服务设施建设；加快孤老优抚对象养老服务业发展，推进孤老优抚对象健康快速发展。</w:t>
      </w:r>
    </w:p>
    <w:p>
      <w:pPr>
        <w:pStyle w:val="5"/>
        <w:widowControl/>
        <w:spacing w:beforeAutospacing="0" w:after="1" w:afterAutospacing="0"/>
        <w:ind w:firstLine="641"/>
        <w:textAlignment w:val="center"/>
        <w:rPr>
          <w:rFonts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（三）确保院内老人的生活保障。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asciiTheme="minorEastAsia" w:hAnsiTheme="minorEastAsia"/>
          <w:bCs/>
          <w:color w:val="FF0000"/>
          <w:kern w:val="0"/>
          <w:sz w:val="32"/>
          <w:szCs w:val="32"/>
        </w:rPr>
      </w:pPr>
      <w:r>
        <w:rPr>
          <w:rFonts w:hint="eastAsia" w:ascii="宋体" w:hAnsi="宋体" w:eastAsia="宋体" w:cs="宋体"/>
          <w:color w:val="000000"/>
          <w:sz w:val="32"/>
          <w:szCs w:val="32"/>
          <w:shd w:val="clear" w:color="auto" w:fill="FFFFFF"/>
        </w:rPr>
        <w:t>岳阳市岳阳楼区光荣院内设机构包括：本部门共有编制人数4人，实有人数4人。无内设股室。</w:t>
      </w:r>
    </w:p>
    <w:p>
      <w:pPr>
        <w:widowControl/>
        <w:numPr>
          <w:ilvl w:val="0"/>
          <w:numId w:val="2"/>
        </w:numPr>
        <w:spacing w:line="600" w:lineRule="exact"/>
        <w:rPr>
          <w:rFonts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spacing w:line="600" w:lineRule="exact"/>
        <w:ind w:firstLine="640" w:firstLineChars="200"/>
        <w:rPr>
          <w:rFonts w:asciiTheme="minorEastAsia" w:hAnsiTheme="minorEastAsia"/>
          <w:bCs/>
          <w:kern w:val="0"/>
          <w:sz w:val="32"/>
          <w:szCs w:val="32"/>
        </w:rPr>
      </w:pPr>
      <w:r>
        <w:rPr>
          <w:rFonts w:hint="eastAsia" w:ascii="宋体" w:hAnsi="宋体" w:eastAsia="宋体" w:cs="宋体"/>
          <w:color w:val="000000"/>
          <w:sz w:val="32"/>
          <w:szCs w:val="32"/>
          <w:shd w:val="clear" w:color="auto" w:fill="FFFFFF"/>
        </w:rPr>
        <w:t>岳阳市岳阳楼区光荣院</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w:t>
      </w:r>
      <w:r>
        <w:rPr>
          <w:rFonts w:hint="eastAsia" w:ascii="宋体" w:hAnsi="宋体" w:eastAsia="宋体" w:cs="宋体"/>
          <w:color w:val="000000"/>
          <w:sz w:val="32"/>
          <w:szCs w:val="32"/>
          <w:shd w:val="clear" w:color="auto" w:fill="FFFFFF"/>
        </w:rPr>
        <w:t>岳阳市岳阳楼区光荣院本级。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2021年度部门决算表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仿宋" w:hAnsi="仿宋" w:eastAsia="仿宋"/>
          <w:b/>
          <w:color w:val="FF0000"/>
          <w:kern w:val="0"/>
          <w:sz w:val="32"/>
          <w:szCs w:val="32"/>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jc w:val="both"/>
        <w:rPr>
          <w:rFonts w:asciiTheme="minorEastAsia" w:hAnsiTheme="minorEastAsia" w:eastAsiaTheme="minorEastAsia"/>
          <w:color w:val="00B050"/>
          <w:sz w:val="32"/>
          <w:szCs w:val="32"/>
        </w:rPr>
      </w:pPr>
      <w:r>
        <w:rPr>
          <w:rFonts w:hint="eastAsia" w:asciiTheme="minorEastAsia" w:hAnsiTheme="minorEastAsia" w:eastAsiaTheme="minorEastAsia"/>
          <w:sz w:val="32"/>
          <w:szCs w:val="32"/>
        </w:rPr>
        <w:t>2021年度收、支总计均为50.17万元。与上年相比，减少</w:t>
      </w:r>
      <w:r>
        <w:rPr>
          <w:rFonts w:hint="eastAsia" w:ascii="宋体" w:hAnsi="宋体" w:eastAsia="宋体" w:cs="宋体"/>
          <w:sz w:val="32"/>
          <w:szCs w:val="32"/>
          <w:shd w:val="clear" w:color="auto" w:fill="FFFFFF"/>
        </w:rPr>
        <w:t>15.73</w:t>
      </w:r>
      <w:r>
        <w:rPr>
          <w:rFonts w:hint="eastAsia" w:asciiTheme="minorEastAsia" w:hAnsiTheme="minorEastAsia" w:eastAsiaTheme="minorEastAsia"/>
          <w:sz w:val="32"/>
          <w:szCs w:val="32"/>
        </w:rPr>
        <w:t>万元，减少</w:t>
      </w:r>
      <w:r>
        <w:rPr>
          <w:rFonts w:hint="eastAsia" w:ascii="宋体" w:hAnsi="宋体" w:eastAsia="宋体" w:cs="宋体"/>
          <w:sz w:val="32"/>
          <w:szCs w:val="32"/>
          <w:shd w:val="clear" w:color="auto" w:fill="FFFFFF"/>
        </w:rPr>
        <w:t>23.87</w:t>
      </w:r>
      <w:r>
        <w:rPr>
          <w:rFonts w:hint="eastAsia" w:asciiTheme="minorEastAsia" w:hAnsiTheme="minorEastAsia" w:eastAsiaTheme="minorEastAsia"/>
          <w:sz w:val="32"/>
          <w:szCs w:val="32"/>
        </w:rPr>
        <w:t>%，主要是因为</w:t>
      </w:r>
      <w:r>
        <w:rPr>
          <w:rFonts w:hint="eastAsia" w:ascii="宋体" w:hAnsi="宋体" w:eastAsia="宋体" w:cs="宋体"/>
          <w:sz w:val="32"/>
          <w:szCs w:val="32"/>
          <w:shd w:val="clear" w:color="auto" w:fill="FFFFFF"/>
        </w:rPr>
        <w:t>人员减少。</w:t>
      </w:r>
    </w:p>
    <w:p>
      <w:pPr>
        <w:pStyle w:val="10"/>
        <w:jc w:val="both"/>
        <w:rPr>
          <w:rFonts w:hAnsi="黑体"/>
          <w:b/>
          <w:sz w:val="32"/>
          <w:szCs w:val="32"/>
        </w:rPr>
      </w:pPr>
      <w:r>
        <w:rPr>
          <w:rFonts w:hint="eastAsia" w:hAnsi="黑体"/>
          <w:b/>
          <w:sz w:val="32"/>
          <w:szCs w:val="32"/>
        </w:rPr>
        <w:t>二、收入决算情况说明</w:t>
      </w:r>
    </w:p>
    <w:p>
      <w:pPr>
        <w:pStyle w:val="10"/>
        <w:ind w:firstLine="640" w:firstLineChars="200"/>
        <w:jc w:val="both"/>
        <w:rPr>
          <w:rFonts w:asciiTheme="minorEastAsia" w:hAnsiTheme="minorEastAsia" w:eastAsiaTheme="minorEastAsia"/>
          <w:sz w:val="36"/>
          <w:szCs w:val="36"/>
        </w:rPr>
      </w:pPr>
      <w:r>
        <w:rPr>
          <w:rFonts w:hint="eastAsia" w:asciiTheme="minorEastAsia" w:hAnsiTheme="minorEastAsia" w:eastAsiaTheme="minorEastAsia"/>
          <w:sz w:val="32"/>
          <w:szCs w:val="32"/>
        </w:rPr>
        <w:t>2021年度收入合计</w:t>
      </w:r>
      <w:r>
        <w:rPr>
          <w:rFonts w:hint="eastAsia" w:ascii="宋体" w:hAnsi="宋体" w:eastAsia="宋体" w:cs="宋体"/>
          <w:sz w:val="32"/>
          <w:szCs w:val="32"/>
          <w:shd w:val="clear" w:color="auto" w:fill="FFFFFF"/>
        </w:rPr>
        <w:t>50.17</w:t>
      </w:r>
      <w:r>
        <w:rPr>
          <w:rFonts w:hint="eastAsia" w:asciiTheme="minorEastAsia" w:hAnsiTheme="minorEastAsia" w:eastAsiaTheme="minorEastAsia"/>
          <w:sz w:val="32"/>
          <w:szCs w:val="32"/>
        </w:rPr>
        <w:t>万元，其中：财政拨款收入</w:t>
      </w:r>
      <w:r>
        <w:rPr>
          <w:rFonts w:hint="eastAsia" w:ascii="宋体" w:hAnsi="宋体" w:eastAsia="宋体" w:cs="宋体"/>
          <w:sz w:val="32"/>
          <w:szCs w:val="32"/>
          <w:shd w:val="clear" w:color="auto" w:fill="FFFFFF"/>
        </w:rPr>
        <w:t>48.37</w:t>
      </w:r>
      <w:r>
        <w:rPr>
          <w:rFonts w:hint="eastAsia" w:asciiTheme="minorEastAsia" w:hAnsiTheme="minorEastAsia" w:eastAsiaTheme="minorEastAsia"/>
          <w:sz w:val="32"/>
          <w:szCs w:val="32"/>
        </w:rPr>
        <w:t>万元，占</w:t>
      </w:r>
      <w:r>
        <w:rPr>
          <w:rFonts w:hint="eastAsia" w:ascii="宋体" w:hAnsi="宋体" w:eastAsia="宋体" w:cs="宋体"/>
          <w:sz w:val="32"/>
          <w:szCs w:val="32"/>
          <w:shd w:val="clear" w:color="auto" w:fill="FFFFFF"/>
        </w:rPr>
        <w:t>96.41</w:t>
      </w:r>
      <w:r>
        <w:rPr>
          <w:rFonts w:hint="eastAsia" w:asciiTheme="minorEastAsia" w:hAnsiTheme="minorEastAsia" w:eastAsiaTheme="minorEastAsia"/>
          <w:sz w:val="32"/>
          <w:szCs w:val="32"/>
        </w:rPr>
        <w:t>%；上级补助收入0万元，占0%；事业收入0万元，占0%；经营收入0万元，占0%；附属单位上缴收入0万元，占0%；其他收入</w:t>
      </w:r>
      <w:r>
        <w:rPr>
          <w:rFonts w:hint="eastAsia" w:ascii="宋体" w:hAnsi="宋体" w:eastAsia="宋体" w:cs="宋体"/>
          <w:sz w:val="32"/>
          <w:szCs w:val="32"/>
          <w:shd w:val="clear" w:color="auto" w:fill="FFFFFF"/>
        </w:rPr>
        <w:t>1.80万元，占3.59%</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宋体" w:hAnsi="宋体" w:eastAsia="宋体" w:cs="宋体"/>
          <w:sz w:val="32"/>
          <w:szCs w:val="32"/>
          <w:shd w:val="clear" w:color="auto" w:fill="FFFFFF"/>
        </w:rPr>
        <w:t>50.17</w:t>
      </w:r>
      <w:r>
        <w:rPr>
          <w:rFonts w:hint="eastAsia" w:asciiTheme="minorEastAsia" w:hAnsiTheme="minorEastAsia" w:eastAsiaTheme="minorEastAsia"/>
          <w:sz w:val="32"/>
          <w:szCs w:val="32"/>
        </w:rPr>
        <w:t>万元，其中：基本支出</w:t>
      </w:r>
      <w:r>
        <w:rPr>
          <w:rFonts w:hint="eastAsia" w:ascii="宋体" w:hAnsi="宋体" w:eastAsia="宋体" w:cs="宋体"/>
          <w:sz w:val="32"/>
          <w:szCs w:val="32"/>
          <w:shd w:val="clear" w:color="auto" w:fill="FFFFFF"/>
        </w:rPr>
        <w:t>50.17</w:t>
      </w:r>
      <w:r>
        <w:rPr>
          <w:rFonts w:hint="eastAsia" w:asciiTheme="minorEastAsia" w:hAnsiTheme="minorEastAsia" w:eastAsiaTheme="minorEastAsia"/>
          <w:sz w:val="32"/>
          <w:szCs w:val="32"/>
        </w:rPr>
        <w:t>万元，占100</w:t>
      </w:r>
      <w:r>
        <w:rPr>
          <w:rFonts w:asciiTheme="minorEastAsia" w:hAnsiTheme="minorEastAsia" w:eastAsiaTheme="minorEastAsia"/>
          <w:sz w:val="32"/>
          <w:szCs w:val="32"/>
        </w:rPr>
        <w:t>.00</w:t>
      </w:r>
      <w:r>
        <w:rPr>
          <w:rFonts w:hint="eastAsia" w:asciiTheme="minorEastAsia" w:hAnsiTheme="minorEastAsia" w:eastAsiaTheme="minorEastAsia"/>
          <w:sz w:val="32"/>
          <w:szCs w:val="32"/>
        </w:rPr>
        <w:t>%；项目支出0万元，占0%；上缴上级支出0万元，占0%；经营支出0万元，占0%；对附属单位补助支出0万元，占0%。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jc w:val="both"/>
        <w:rPr>
          <w:rFonts w:asciiTheme="minorEastAsia" w:hAnsiTheme="minorEastAsia" w:eastAsiaTheme="minorEastAsia"/>
          <w:color w:val="00B050"/>
          <w:sz w:val="32"/>
          <w:szCs w:val="32"/>
        </w:rPr>
      </w:pPr>
      <w:r>
        <w:rPr>
          <w:rFonts w:hint="eastAsia" w:asciiTheme="minorEastAsia" w:hAnsiTheme="minorEastAsia" w:eastAsiaTheme="minorEastAsia"/>
          <w:sz w:val="32"/>
          <w:szCs w:val="32"/>
        </w:rPr>
        <w:t>2021年度财政拨款收、支总计均为</w:t>
      </w:r>
      <w:r>
        <w:rPr>
          <w:rFonts w:hint="eastAsia" w:ascii="宋体" w:hAnsi="宋体" w:eastAsia="宋体" w:cs="宋体"/>
          <w:sz w:val="32"/>
          <w:szCs w:val="32"/>
          <w:shd w:val="clear" w:color="auto" w:fill="FFFFFF"/>
        </w:rPr>
        <w:t>48.37</w:t>
      </w:r>
      <w:r>
        <w:rPr>
          <w:rFonts w:hint="eastAsia" w:asciiTheme="minorEastAsia" w:hAnsiTheme="minorEastAsia" w:eastAsiaTheme="minorEastAsia"/>
          <w:sz w:val="32"/>
          <w:szCs w:val="32"/>
        </w:rPr>
        <w:t>万元，与上年相比，</w:t>
      </w:r>
      <w:r>
        <w:rPr>
          <w:rFonts w:hint="eastAsia" w:ascii="宋体" w:hAnsi="宋体" w:eastAsia="宋体" w:cs="宋体"/>
          <w:sz w:val="32"/>
          <w:szCs w:val="32"/>
          <w:shd w:val="clear" w:color="auto" w:fill="FFFFFF"/>
        </w:rPr>
        <w:t>减少17.53万元，</w:t>
      </w:r>
      <w:r>
        <w:rPr>
          <w:rFonts w:hint="eastAsia" w:asciiTheme="minorEastAsia" w:hAnsiTheme="minorEastAsia" w:eastAsiaTheme="minorEastAsia"/>
          <w:sz w:val="32"/>
          <w:szCs w:val="32"/>
        </w:rPr>
        <w:t>减少</w:t>
      </w:r>
      <w:r>
        <w:rPr>
          <w:rFonts w:hint="eastAsia" w:ascii="宋体" w:hAnsi="宋体" w:eastAsia="宋体" w:cs="宋体"/>
          <w:sz w:val="32"/>
          <w:szCs w:val="32"/>
          <w:shd w:val="clear" w:color="auto" w:fill="FFFFFF"/>
        </w:rPr>
        <w:t>6.6</w:t>
      </w:r>
      <w:r>
        <w:rPr>
          <w:rFonts w:ascii="宋体" w:hAnsi="宋体" w:eastAsia="宋体" w:cs="宋体"/>
          <w:sz w:val="32"/>
          <w:szCs w:val="32"/>
          <w:shd w:val="clear" w:color="auto" w:fill="FFFFFF"/>
        </w:rPr>
        <w:t>0</w:t>
      </w:r>
      <w:r>
        <w:rPr>
          <w:rFonts w:hint="eastAsia" w:ascii="宋体" w:hAnsi="宋体" w:eastAsia="宋体" w:cs="宋体"/>
          <w:sz w:val="32"/>
          <w:szCs w:val="32"/>
          <w:shd w:val="clear" w:color="auto" w:fill="FFFFFF"/>
        </w:rPr>
        <w:t>%。主要是因为人员减少</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2021年度财政拨款支出48.37万元，占本年支出合计的96.41%，与上年相比，财政拨款支出减少</w:t>
      </w:r>
      <w:r>
        <w:rPr>
          <w:rFonts w:asciiTheme="minorEastAsia" w:hAnsiTheme="minorEastAsia" w:eastAsiaTheme="minorEastAsia"/>
          <w:sz w:val="32"/>
          <w:szCs w:val="32"/>
        </w:rPr>
        <w:t>17.53</w:t>
      </w:r>
      <w:r>
        <w:rPr>
          <w:rFonts w:hint="eastAsia" w:asciiTheme="minorEastAsia" w:hAnsiTheme="minorEastAsia" w:eastAsiaTheme="minorEastAsia"/>
          <w:sz w:val="32"/>
          <w:szCs w:val="32"/>
        </w:rPr>
        <w:t>万元，减少</w:t>
      </w:r>
      <w:r>
        <w:rPr>
          <w:rFonts w:asciiTheme="minorEastAsia" w:hAnsiTheme="minorEastAsia" w:eastAsiaTheme="minorEastAsia"/>
          <w:sz w:val="32"/>
          <w:szCs w:val="32"/>
        </w:rPr>
        <w:t>26.6</w:t>
      </w:r>
      <w:r>
        <w:rPr>
          <w:rFonts w:hint="eastAsia" w:asciiTheme="minorEastAsia" w:hAnsiTheme="minorEastAsia" w:eastAsiaTheme="minorEastAsia"/>
          <w:sz w:val="32"/>
          <w:szCs w:val="32"/>
        </w:rPr>
        <w:t>%。主要是因为人员减少。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jc w:val="both"/>
        <w:rPr>
          <w:rFonts w:asciiTheme="minorEastAsia" w:hAnsiTheme="minorEastAsia" w:eastAsiaTheme="minorEastAsia"/>
          <w:iCs/>
          <w:sz w:val="32"/>
          <w:szCs w:val="32"/>
        </w:rPr>
      </w:pPr>
      <w:r>
        <w:rPr>
          <w:rFonts w:hint="eastAsia" w:asciiTheme="minorEastAsia" w:hAnsiTheme="minorEastAsia" w:eastAsiaTheme="minorEastAsia"/>
          <w:sz w:val="32"/>
          <w:szCs w:val="32"/>
        </w:rPr>
        <w:t>2021年度财政拨款支出</w:t>
      </w:r>
      <w:r>
        <w:rPr>
          <w:rFonts w:hint="eastAsia" w:ascii="宋体" w:hAnsi="宋体" w:eastAsia="宋体" w:cs="宋体"/>
          <w:sz w:val="32"/>
          <w:szCs w:val="32"/>
          <w:shd w:val="clear" w:color="auto" w:fill="FFFFFF"/>
        </w:rPr>
        <w:t>48.37</w:t>
      </w:r>
      <w:r>
        <w:rPr>
          <w:rFonts w:hint="eastAsia" w:asciiTheme="minorEastAsia" w:hAnsiTheme="minorEastAsia" w:eastAsiaTheme="minorEastAsia"/>
          <w:sz w:val="32"/>
          <w:szCs w:val="32"/>
        </w:rPr>
        <w:t>万元，主要用于以下方面：</w:t>
      </w:r>
      <w:r>
        <w:rPr>
          <w:rFonts w:hint="eastAsia" w:ascii="宋体" w:hAnsi="宋体" w:eastAsia="宋体" w:cs="宋体"/>
          <w:sz w:val="32"/>
          <w:szCs w:val="32"/>
          <w:shd w:val="clear" w:color="auto" w:fill="FFFFFF"/>
        </w:rPr>
        <w:t>社会保障和就业支出48.37万元，占100</w:t>
      </w:r>
      <w:r>
        <w:rPr>
          <w:rFonts w:ascii="宋体" w:hAnsi="宋体" w:eastAsia="宋体" w:cs="宋体"/>
          <w:sz w:val="32"/>
          <w:szCs w:val="32"/>
          <w:shd w:val="clear" w:color="auto" w:fill="FFFFFF"/>
        </w:rPr>
        <w:t>.00</w:t>
      </w:r>
      <w:r>
        <w:rPr>
          <w:rFonts w:hint="eastAsia" w:ascii="宋体" w:hAnsi="宋体" w:eastAsia="宋体" w:cs="宋体"/>
          <w:sz w:val="32"/>
          <w:szCs w:val="32"/>
          <w:shd w:val="clear" w:color="auto" w:fill="FFFFFF"/>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宋体" w:hAnsi="宋体" w:eastAsia="宋体" w:cs="宋体"/>
          <w:sz w:val="32"/>
          <w:szCs w:val="32"/>
          <w:shd w:val="clear" w:color="auto" w:fill="FFFFFF"/>
        </w:rPr>
        <w:t>76.47</w:t>
      </w:r>
      <w:r>
        <w:rPr>
          <w:rFonts w:hint="eastAsia" w:asciiTheme="minorEastAsia" w:hAnsiTheme="minorEastAsia" w:eastAsiaTheme="minorEastAsia"/>
          <w:sz w:val="32"/>
          <w:szCs w:val="32"/>
        </w:rPr>
        <w:t>万元，支出决算数为</w:t>
      </w:r>
      <w:r>
        <w:rPr>
          <w:rFonts w:hint="eastAsia" w:ascii="宋体" w:hAnsi="宋体" w:eastAsia="宋体" w:cs="宋体"/>
          <w:sz w:val="32"/>
          <w:szCs w:val="32"/>
          <w:shd w:val="clear" w:color="auto" w:fill="FFFFFF"/>
        </w:rPr>
        <w:t>48.37</w:t>
      </w:r>
      <w:r>
        <w:rPr>
          <w:rFonts w:hint="eastAsia" w:asciiTheme="minorEastAsia" w:hAnsiTheme="minorEastAsia" w:eastAsiaTheme="minorEastAsia"/>
          <w:sz w:val="32"/>
          <w:szCs w:val="32"/>
        </w:rPr>
        <w:t>万元，完成年初预算的</w:t>
      </w:r>
      <w:r>
        <w:rPr>
          <w:rFonts w:hint="eastAsia" w:ascii="宋体" w:hAnsi="宋体" w:eastAsia="宋体" w:cs="宋体"/>
          <w:sz w:val="32"/>
          <w:szCs w:val="32"/>
        </w:rPr>
        <w:t>63.25</w:t>
      </w:r>
      <w:r>
        <w:rPr>
          <w:rFonts w:hint="eastAsia" w:asciiTheme="minorEastAsia" w:hAnsiTheme="minorEastAsia" w:eastAsiaTheme="minorEastAsia"/>
          <w:sz w:val="32"/>
          <w:szCs w:val="32"/>
        </w:rPr>
        <w:t>%，其中：</w:t>
      </w:r>
    </w:p>
    <w:p>
      <w:pPr>
        <w:pStyle w:val="5"/>
        <w:widowControl/>
        <w:spacing w:beforeAutospacing="0" w:after="1" w:afterAutospacing="0"/>
        <w:ind w:firstLine="641"/>
        <w:textAlignment w:val="center"/>
        <w:rPr>
          <w:rFonts w:ascii="微软雅黑" w:hAnsi="微软雅黑" w:eastAsia="微软雅黑" w:cs="微软雅黑"/>
          <w:color w:val="333333"/>
          <w:sz w:val="19"/>
          <w:szCs w:val="19"/>
        </w:rPr>
      </w:pPr>
      <w:r>
        <w:rPr>
          <w:rFonts w:hint="eastAsia" w:ascii="宋体" w:hAnsi="宋体" w:eastAsia="宋体" w:cs="宋体"/>
          <w:b/>
          <w:bCs/>
          <w:color w:val="000000"/>
          <w:sz w:val="32"/>
          <w:szCs w:val="32"/>
        </w:rPr>
        <w:t>1、社会保障和就业支出（类）社会福利（款）社会福利事业单位（项）</w:t>
      </w:r>
    </w:p>
    <w:p>
      <w:pPr>
        <w:pStyle w:val="5"/>
        <w:widowControl/>
        <w:spacing w:beforeAutospacing="0" w:after="1" w:afterAutospacing="0"/>
        <w:ind w:firstLine="641"/>
        <w:textAlignment w:val="center"/>
        <w:rPr>
          <w:rFonts w:cs="黑体" w:asciiTheme="minorEastAsia" w:hAnsiTheme="minorEastAsia"/>
          <w:color w:val="000000"/>
          <w:sz w:val="32"/>
          <w:szCs w:val="32"/>
        </w:rPr>
      </w:pPr>
      <w:r>
        <w:rPr>
          <w:rFonts w:hint="eastAsia" w:cs="黑体" w:asciiTheme="minorEastAsia" w:hAnsiTheme="minorEastAsia"/>
          <w:color w:val="000000"/>
          <w:sz w:val="32"/>
          <w:szCs w:val="32"/>
        </w:rPr>
        <w:t>年初预算为</w:t>
      </w:r>
      <w:r>
        <w:rPr>
          <w:rFonts w:cs="黑体" w:asciiTheme="minorEastAsia" w:hAnsiTheme="minorEastAsia"/>
          <w:color w:val="000000"/>
          <w:sz w:val="32"/>
          <w:szCs w:val="32"/>
        </w:rPr>
        <w:t>74.64</w:t>
      </w:r>
      <w:r>
        <w:rPr>
          <w:rFonts w:hint="eastAsia" w:cs="黑体" w:asciiTheme="minorEastAsia" w:hAnsiTheme="minorEastAsia"/>
          <w:color w:val="000000"/>
          <w:sz w:val="32"/>
          <w:szCs w:val="32"/>
        </w:rPr>
        <w:t>万元，支出决算为</w:t>
      </w:r>
      <w:r>
        <w:rPr>
          <w:rFonts w:cs="黑体" w:asciiTheme="minorEastAsia" w:hAnsiTheme="minorEastAsia"/>
          <w:color w:val="000000"/>
          <w:sz w:val="32"/>
          <w:szCs w:val="32"/>
        </w:rPr>
        <w:t>69.5</w:t>
      </w:r>
      <w:r>
        <w:rPr>
          <w:rFonts w:hint="eastAsia" w:cs="黑体" w:asciiTheme="minorEastAsia" w:hAnsiTheme="minorEastAsia"/>
          <w:color w:val="000000"/>
          <w:sz w:val="32"/>
          <w:szCs w:val="32"/>
        </w:rPr>
        <w:t>万元，完成年初预算的</w:t>
      </w:r>
      <w:r>
        <w:rPr>
          <w:rFonts w:cs="黑体" w:asciiTheme="minorEastAsia" w:hAnsiTheme="minorEastAsia"/>
          <w:color w:val="000000"/>
          <w:sz w:val="32"/>
          <w:szCs w:val="32"/>
        </w:rPr>
        <w:t>93.11</w:t>
      </w:r>
      <w:r>
        <w:rPr>
          <w:rFonts w:hint="eastAsia" w:cs="黑体" w:asciiTheme="minorEastAsia" w:hAnsiTheme="minorEastAsia"/>
          <w:color w:val="000000"/>
          <w:sz w:val="32"/>
          <w:szCs w:val="32"/>
        </w:rPr>
        <w:t>%。决算数小于年初预算数的主要原因是：工资减少。</w:t>
      </w:r>
    </w:p>
    <w:p>
      <w:pPr>
        <w:pStyle w:val="5"/>
        <w:widowControl/>
        <w:spacing w:beforeAutospacing="0" w:after="1" w:afterAutospacing="0"/>
        <w:ind w:firstLine="641"/>
        <w:textAlignment w:val="center"/>
        <w:rPr>
          <w:rFonts w:ascii="微软雅黑" w:hAnsi="微软雅黑" w:eastAsia="微软雅黑" w:cs="微软雅黑"/>
          <w:color w:val="333333"/>
          <w:sz w:val="19"/>
          <w:szCs w:val="19"/>
        </w:rPr>
      </w:pPr>
      <w:r>
        <w:rPr>
          <w:rFonts w:hint="eastAsia" w:ascii="宋体" w:hAnsi="宋体" w:eastAsia="宋体" w:cs="宋体"/>
          <w:b/>
          <w:bCs/>
          <w:color w:val="000000"/>
          <w:sz w:val="32"/>
          <w:szCs w:val="32"/>
        </w:rPr>
        <w:t>2、社会保障和就业支出（类）残疾人事业（款）其他残疾人事业支出（项）</w:t>
      </w:r>
    </w:p>
    <w:p>
      <w:pPr>
        <w:pStyle w:val="5"/>
        <w:widowControl/>
        <w:spacing w:beforeAutospacing="0" w:after="1" w:afterAutospacing="0"/>
        <w:ind w:firstLine="641"/>
        <w:textAlignment w:val="center"/>
        <w:rPr>
          <w:rFonts w:asciiTheme="minorEastAsia" w:hAnsiTheme="minorEastAsia"/>
          <w:sz w:val="32"/>
          <w:szCs w:val="32"/>
        </w:rPr>
      </w:pPr>
      <w:r>
        <w:rPr>
          <w:rFonts w:hint="eastAsia" w:ascii="宋体" w:hAnsi="宋体" w:eastAsia="宋体" w:cs="宋体"/>
          <w:color w:val="000000"/>
          <w:sz w:val="32"/>
          <w:szCs w:val="32"/>
        </w:rPr>
        <w:t>年初预算为0.16万元，支出决算为0.16万元，完成年初预算的100%。决算数与年初预算数一致，我单位严格按预算执行决算。</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jc w:val="both"/>
        <w:rPr>
          <w:rFonts w:asciiTheme="minorEastAsia" w:hAnsiTheme="minorEastAsia" w:eastAsiaTheme="minorEastAsia"/>
          <w:iCs/>
          <w:color w:val="FF0000"/>
          <w:sz w:val="32"/>
          <w:szCs w:val="32"/>
        </w:rPr>
      </w:pPr>
      <w:r>
        <w:rPr>
          <w:rFonts w:hint="eastAsia" w:asciiTheme="minorEastAsia" w:hAnsiTheme="minorEastAsia" w:eastAsiaTheme="minorEastAsia"/>
          <w:sz w:val="32"/>
          <w:szCs w:val="32"/>
        </w:rPr>
        <w:t>2021年度财政拨款基本支出</w:t>
      </w:r>
      <w:r>
        <w:rPr>
          <w:rFonts w:hint="eastAsia" w:ascii="宋体" w:hAnsi="宋体" w:eastAsia="宋体" w:cs="宋体"/>
          <w:sz w:val="32"/>
          <w:szCs w:val="32"/>
          <w:shd w:val="clear" w:color="auto" w:fill="FFFFFF"/>
        </w:rPr>
        <w:t>48.37</w:t>
      </w:r>
      <w:r>
        <w:rPr>
          <w:rFonts w:hint="eastAsia" w:asciiTheme="minorEastAsia" w:hAnsiTheme="minorEastAsia" w:eastAsiaTheme="minorEastAsia"/>
          <w:sz w:val="32"/>
          <w:szCs w:val="32"/>
        </w:rPr>
        <w:t>万元，其中：人员经费</w:t>
      </w:r>
      <w:r>
        <w:rPr>
          <w:rFonts w:hint="eastAsia" w:ascii="宋体" w:hAnsi="宋体" w:eastAsia="宋体" w:cs="宋体"/>
          <w:sz w:val="32"/>
          <w:szCs w:val="32"/>
          <w:shd w:val="clear" w:color="auto" w:fill="FFFFFF"/>
        </w:rPr>
        <w:t>19.05万元，占基本支出的39.38%</w:t>
      </w:r>
      <w:r>
        <w:rPr>
          <w:rFonts w:hint="eastAsia" w:asciiTheme="minorEastAsia" w:hAnsiTheme="minorEastAsia" w:eastAsiaTheme="minorEastAsia"/>
          <w:sz w:val="32"/>
          <w:szCs w:val="32"/>
        </w:rPr>
        <w:t>,主要包括基本工资、津贴补贴、</w:t>
      </w:r>
      <w:r>
        <w:rPr>
          <w:rFonts w:hint="eastAsia" w:asciiTheme="minorEastAsia" w:hAnsiTheme="minorEastAsia" w:eastAsiaTheme="minorEastAsia"/>
          <w:sz w:val="32"/>
          <w:szCs w:val="32"/>
          <w:lang w:val="zh-CN"/>
        </w:rPr>
        <w:t>奖金、机关事业单位基本养老保险缴费、其他社会保障缴、退休费、退职（役）费、对个人和家庭的补助、其他对个人和家庭的补助</w:t>
      </w:r>
      <w:r>
        <w:rPr>
          <w:rFonts w:hint="eastAsia" w:asciiTheme="minorEastAsia" w:hAnsiTheme="minorEastAsia" w:eastAsiaTheme="minorEastAsia"/>
          <w:sz w:val="32"/>
          <w:szCs w:val="32"/>
        </w:rPr>
        <w:t>；公用经费</w:t>
      </w:r>
      <w:r>
        <w:rPr>
          <w:rFonts w:hint="eastAsia" w:ascii="宋体" w:hAnsi="宋体" w:eastAsia="宋体" w:cs="宋体"/>
          <w:sz w:val="32"/>
          <w:szCs w:val="32"/>
          <w:shd w:val="clear" w:color="auto" w:fill="FFFFFF"/>
        </w:rPr>
        <w:t>29.32万元，占基本支出的60.62%，</w:t>
      </w:r>
      <w:r>
        <w:rPr>
          <w:rFonts w:hint="eastAsia" w:asciiTheme="minorEastAsia" w:hAnsiTheme="minorEastAsia" w:eastAsiaTheme="minorEastAsia"/>
          <w:sz w:val="32"/>
          <w:szCs w:val="32"/>
        </w:rPr>
        <w:t>主要包括办公费、印刷费、水费、电费、维修（护）费、劳务费、工会经费、其他交通费用、其他商品和服务支出。</w:t>
      </w:r>
    </w:p>
    <w:p>
      <w:pPr>
        <w:pStyle w:val="10"/>
        <w:jc w:val="both"/>
        <w:rPr>
          <w:rFonts w:hAnsi="黑体"/>
          <w:b/>
          <w:color w:val="auto"/>
          <w:sz w:val="32"/>
          <w:szCs w:val="32"/>
          <w:highlight w:val="none"/>
        </w:rPr>
      </w:pPr>
      <w:r>
        <w:rPr>
          <w:rFonts w:hint="eastAsia" w:hAnsi="黑体"/>
          <w:b/>
          <w:color w:val="auto"/>
          <w:sz w:val="32"/>
          <w:szCs w:val="32"/>
          <w:highlight w:val="none"/>
        </w:rPr>
        <w:t>七、一般公共预算财政拨款“三公”经费支出决算情况说明</w:t>
      </w:r>
    </w:p>
    <w:p>
      <w:pPr>
        <w:pStyle w:val="10"/>
        <w:ind w:firstLine="640" w:firstLineChars="200"/>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（一）“三公”经费财政拨款支出决算总体情况说明</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2021年度“三公”经费财政拨款支出预算为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%，其中：</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因公出国（境）费支出预算为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w:t>
      </w:r>
      <w:r>
        <w:rPr>
          <w:rFonts w:hint="eastAsia" w:ascii="宋体" w:hAnsi="宋体" w:eastAsia="宋体" w:cs="宋体"/>
          <w:color w:val="auto"/>
          <w:kern w:val="2"/>
          <w:sz w:val="32"/>
          <w:szCs w:val="32"/>
          <w:highlight w:val="none"/>
        </w:rPr>
        <w:t>决算数与预算数一致，我单位严格按预算执行决算，因公出国（境）费支出</w:t>
      </w:r>
      <w:r>
        <w:rPr>
          <w:rFonts w:hint="eastAsia" w:ascii="宋体" w:hAnsi="宋体" w:eastAsia="宋体" w:cs="宋体"/>
          <w:color w:val="auto"/>
          <w:kern w:val="2"/>
          <w:sz w:val="32"/>
          <w:szCs w:val="32"/>
          <w:highlight w:val="none"/>
          <w:lang w:val="en-US" w:eastAsia="zh-CN"/>
        </w:rPr>
        <w:t>决算数</w:t>
      </w:r>
      <w:r>
        <w:rPr>
          <w:rFonts w:hint="eastAsia" w:ascii="宋体" w:hAnsi="宋体" w:eastAsia="宋体" w:cs="宋体"/>
          <w:color w:val="auto"/>
          <w:kern w:val="2"/>
          <w:sz w:val="32"/>
          <w:szCs w:val="32"/>
          <w:highlight w:val="none"/>
        </w:rPr>
        <w:t>与上年持平。</w:t>
      </w:r>
    </w:p>
    <w:p>
      <w:pPr>
        <w:pStyle w:val="13"/>
        <w:spacing w:before="0" w:beforeAutospacing="0" w:after="1" w:afterAutospacing="0"/>
        <w:ind w:left="0" w:firstLine="640"/>
        <w:rPr>
          <w:rFonts w:hint="eastAsia" w:ascii="等线" w:hAnsi="等线" w:eastAsia="等线" w:cs="Times New Roman"/>
          <w:color w:val="auto"/>
          <w:kern w:val="2"/>
          <w:sz w:val="27"/>
          <w:szCs w:val="27"/>
          <w:highlight w:val="none"/>
        </w:rPr>
      </w:pPr>
      <w:r>
        <w:rPr>
          <w:rFonts w:hint="eastAsia" w:asciiTheme="minorEastAsia" w:hAnsiTheme="minorEastAsia" w:eastAsiaTheme="minorEastAsia"/>
          <w:color w:val="auto"/>
          <w:sz w:val="32"/>
          <w:szCs w:val="32"/>
          <w:highlight w:val="none"/>
        </w:rPr>
        <w:t>公务接待费支出预算为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w:t>
      </w:r>
      <w:r>
        <w:rPr>
          <w:rFonts w:hint="eastAsia" w:ascii="宋体" w:hAnsi="宋体" w:eastAsia="宋体" w:cs="宋体"/>
          <w:color w:val="auto"/>
          <w:kern w:val="2"/>
          <w:sz w:val="32"/>
          <w:szCs w:val="32"/>
          <w:highlight w:val="none"/>
        </w:rPr>
        <w:t>决算数</w:t>
      </w:r>
      <w:r>
        <w:rPr>
          <w:rFonts w:hint="eastAsia" w:ascii="宋体" w:hAnsi="宋体" w:eastAsia="宋体" w:cs="宋体"/>
          <w:color w:val="auto"/>
          <w:kern w:val="2"/>
          <w:sz w:val="32"/>
          <w:szCs w:val="32"/>
          <w:highlight w:val="none"/>
          <w:lang w:val="en-US" w:eastAsia="zh-CN"/>
        </w:rPr>
        <w:t>小于</w:t>
      </w:r>
      <w:r>
        <w:rPr>
          <w:rFonts w:hint="eastAsia" w:ascii="宋体" w:hAnsi="宋体" w:eastAsia="宋体" w:cs="宋体"/>
          <w:color w:val="auto"/>
          <w:kern w:val="2"/>
          <w:sz w:val="32"/>
          <w:szCs w:val="32"/>
          <w:highlight w:val="none"/>
        </w:rPr>
        <w:t>预算数</w:t>
      </w:r>
      <w:r>
        <w:rPr>
          <w:rFonts w:hint="eastAsia" w:ascii="宋体" w:hAnsi="宋体" w:eastAsia="宋体" w:cs="宋体"/>
          <w:color w:val="auto"/>
          <w:kern w:val="2"/>
          <w:sz w:val="32"/>
          <w:szCs w:val="32"/>
          <w:highlight w:val="none"/>
          <w:lang w:val="en-US" w:eastAsia="zh-CN"/>
        </w:rPr>
        <w:t>主要原因是</w:t>
      </w:r>
      <w:r>
        <w:rPr>
          <w:rFonts w:hint="eastAsia" w:ascii="宋体" w:hAnsi="宋体" w:eastAsia="宋体" w:cs="宋体"/>
          <w:color w:val="auto"/>
          <w:kern w:val="2"/>
          <w:sz w:val="32"/>
          <w:szCs w:val="32"/>
          <w:highlight w:val="none"/>
        </w:rPr>
        <w:t>相应国家号召，厉行节约，</w:t>
      </w:r>
      <w:r>
        <w:rPr>
          <w:rFonts w:hint="eastAsia" w:ascii="宋体" w:hAnsi="宋体" w:eastAsia="宋体" w:cs="宋体"/>
          <w:color w:val="auto"/>
          <w:kern w:val="2"/>
          <w:sz w:val="32"/>
          <w:szCs w:val="32"/>
          <w:highlight w:val="none"/>
          <w:lang w:val="en-US" w:eastAsia="zh-CN"/>
        </w:rPr>
        <w:t>发生接待方面开支有压减；公务接待费</w:t>
      </w:r>
      <w:r>
        <w:rPr>
          <w:rFonts w:hint="eastAsia" w:ascii="宋体" w:hAnsi="宋体" w:eastAsia="宋体" w:cs="宋体"/>
          <w:color w:val="auto"/>
          <w:kern w:val="2"/>
          <w:sz w:val="32"/>
          <w:szCs w:val="32"/>
          <w:highlight w:val="none"/>
        </w:rPr>
        <w:t>支出</w:t>
      </w:r>
      <w:r>
        <w:rPr>
          <w:rFonts w:hint="eastAsia" w:ascii="宋体" w:hAnsi="宋体" w:eastAsia="宋体" w:cs="宋体"/>
          <w:color w:val="auto"/>
          <w:kern w:val="2"/>
          <w:sz w:val="32"/>
          <w:szCs w:val="32"/>
          <w:highlight w:val="none"/>
          <w:lang w:val="en-US" w:eastAsia="zh-CN"/>
        </w:rPr>
        <w:t>决算数</w:t>
      </w:r>
      <w:r>
        <w:rPr>
          <w:rFonts w:hint="eastAsia" w:ascii="宋体" w:hAnsi="宋体" w:eastAsia="宋体" w:cs="宋体"/>
          <w:color w:val="auto"/>
          <w:kern w:val="2"/>
          <w:sz w:val="32"/>
          <w:szCs w:val="32"/>
          <w:highlight w:val="none"/>
        </w:rPr>
        <w:t>与上年持平。</w:t>
      </w:r>
    </w:p>
    <w:p>
      <w:pPr>
        <w:pStyle w:val="13"/>
        <w:spacing w:before="0" w:beforeAutospacing="0" w:after="1" w:afterAutospacing="0"/>
        <w:ind w:left="0" w:firstLine="64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公务用车购置费支出预算为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w:t>
      </w:r>
      <w:r>
        <w:rPr>
          <w:rFonts w:hint="eastAsia" w:ascii="宋体" w:hAnsi="宋体" w:eastAsia="宋体" w:cs="宋体"/>
          <w:color w:val="auto"/>
          <w:kern w:val="2"/>
          <w:sz w:val="32"/>
          <w:szCs w:val="32"/>
          <w:highlight w:val="none"/>
        </w:rPr>
        <w:t>决算数与预算数一致，我单位严格按预算执行决算，公务用车购置费支出</w:t>
      </w:r>
      <w:r>
        <w:rPr>
          <w:rFonts w:hint="eastAsia" w:ascii="宋体" w:hAnsi="宋体" w:eastAsia="宋体" w:cs="宋体"/>
          <w:color w:val="auto"/>
          <w:kern w:val="2"/>
          <w:sz w:val="32"/>
          <w:szCs w:val="32"/>
          <w:highlight w:val="none"/>
          <w:lang w:val="en-US" w:eastAsia="zh-CN"/>
        </w:rPr>
        <w:t>决算数</w:t>
      </w:r>
      <w:r>
        <w:rPr>
          <w:rFonts w:hint="eastAsia" w:ascii="宋体" w:hAnsi="宋体" w:eastAsia="宋体" w:cs="宋体"/>
          <w:color w:val="auto"/>
          <w:kern w:val="2"/>
          <w:sz w:val="32"/>
          <w:szCs w:val="32"/>
          <w:highlight w:val="none"/>
        </w:rPr>
        <w:t>与上年持平。</w:t>
      </w:r>
      <w:r>
        <w:rPr>
          <w:rFonts w:hint="eastAsia" w:ascii="等线" w:hAnsi="等线" w:eastAsia="等线" w:cs="Times New Roman"/>
          <w:color w:val="auto"/>
          <w:kern w:val="2"/>
          <w:sz w:val="27"/>
          <w:szCs w:val="27"/>
          <w:highlight w:val="none"/>
        </w:rPr>
        <w:t xml:space="preserve"> </w:t>
      </w:r>
    </w:p>
    <w:p>
      <w:pPr>
        <w:pStyle w:val="13"/>
        <w:spacing w:before="0" w:beforeAutospacing="0" w:after="1" w:afterAutospacing="0"/>
        <w:ind w:left="0" w:firstLine="64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公务用车运行维护费支出预算为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万元，完成预算的</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w:t>
      </w:r>
      <w:r>
        <w:rPr>
          <w:rFonts w:hint="eastAsia" w:ascii="宋体" w:hAnsi="宋体" w:eastAsia="宋体" w:cs="宋体"/>
          <w:color w:val="auto"/>
          <w:kern w:val="2"/>
          <w:sz w:val="32"/>
          <w:szCs w:val="32"/>
          <w:highlight w:val="none"/>
        </w:rPr>
        <w:t>决算数与预算数一致，我单位严格按预算执行决算，公务用车运行维护费支出</w:t>
      </w:r>
      <w:r>
        <w:rPr>
          <w:rFonts w:hint="eastAsia" w:ascii="宋体" w:hAnsi="宋体" w:eastAsia="宋体" w:cs="宋体"/>
          <w:color w:val="auto"/>
          <w:kern w:val="2"/>
          <w:sz w:val="32"/>
          <w:szCs w:val="32"/>
          <w:highlight w:val="none"/>
          <w:lang w:val="en-US" w:eastAsia="zh-CN"/>
        </w:rPr>
        <w:t>决算数</w:t>
      </w:r>
      <w:r>
        <w:rPr>
          <w:rFonts w:hint="eastAsia" w:ascii="宋体" w:hAnsi="宋体" w:eastAsia="宋体" w:cs="宋体"/>
          <w:color w:val="auto"/>
          <w:kern w:val="2"/>
          <w:sz w:val="32"/>
          <w:szCs w:val="32"/>
          <w:highlight w:val="none"/>
        </w:rPr>
        <w:t>与上年持平。</w:t>
      </w:r>
      <w:r>
        <w:rPr>
          <w:rFonts w:hint="eastAsia" w:ascii="等线" w:hAnsi="等线" w:eastAsia="等线" w:cs="Times New Roman"/>
          <w:color w:val="auto"/>
          <w:kern w:val="2"/>
          <w:sz w:val="27"/>
          <w:szCs w:val="27"/>
          <w:highlight w:val="none"/>
        </w:rPr>
        <w:t xml:space="preserve"> </w:t>
      </w:r>
    </w:p>
    <w:p>
      <w:pPr>
        <w:pStyle w:val="10"/>
        <w:ind w:firstLine="640" w:firstLineChars="200"/>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（二）“三公”经费财政拨款支出决算具体情况说明</w:t>
      </w:r>
    </w:p>
    <w:p>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2021年度“三公”经费财政拨款支出决算中，公务接待费支出决算</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%,因公出国（境）费支出决算</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%,公务用车购置费及运行维护费支出决算</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%。其中：</w:t>
      </w:r>
    </w:p>
    <w:p>
      <w:pPr>
        <w:pStyle w:val="13"/>
        <w:spacing w:before="0" w:beforeAutospacing="0" w:after="1" w:afterAutospacing="0"/>
        <w:ind w:left="0" w:firstLine="640"/>
        <w:rPr>
          <w:rFonts w:asciiTheme="minorEastAsia" w:hAnsiTheme="minorEastAsia" w:eastAsiaTheme="minorEastAsia"/>
          <w:iCs/>
          <w:color w:val="auto"/>
          <w:sz w:val="32"/>
          <w:szCs w:val="32"/>
          <w:highlight w:val="none"/>
        </w:rPr>
      </w:pPr>
      <w:r>
        <w:rPr>
          <w:rFonts w:hint="eastAsia" w:asciiTheme="minorEastAsia" w:hAnsiTheme="minorEastAsia" w:eastAsiaTheme="minorEastAsia"/>
          <w:color w:val="auto"/>
          <w:sz w:val="32"/>
          <w:szCs w:val="32"/>
          <w:highlight w:val="none"/>
        </w:rPr>
        <w:t>1、因公出国（境）费支出决算为</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万元，全年安排因公出国（境）团组</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个，累计</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人次</w:t>
      </w:r>
      <w:r>
        <w:rPr>
          <w:rFonts w:hint="eastAsia" w:asciiTheme="minorEastAsia" w:hAnsiTheme="minorEastAsia" w:eastAsiaTheme="minorEastAsia"/>
          <w:iCs/>
          <w:color w:val="auto"/>
          <w:sz w:val="32"/>
          <w:szCs w:val="32"/>
          <w:highlight w:val="none"/>
        </w:rPr>
        <w:t>,</w:t>
      </w:r>
      <w:r>
        <w:rPr>
          <w:rFonts w:hint="eastAsia" w:ascii="宋体" w:hAnsi="宋体" w:eastAsia="宋体" w:cs="宋体"/>
          <w:color w:val="auto"/>
          <w:kern w:val="2"/>
          <w:sz w:val="32"/>
          <w:szCs w:val="32"/>
          <w:highlight w:val="none"/>
        </w:rPr>
        <w:t>我单位2021年度无因公出国（境）费支出。</w:t>
      </w:r>
      <w:r>
        <w:rPr>
          <w:rFonts w:hint="eastAsia" w:ascii="等线" w:hAnsi="等线" w:eastAsia="等线" w:cs="Times New Roman"/>
          <w:color w:val="auto"/>
          <w:kern w:val="2"/>
          <w:sz w:val="27"/>
          <w:szCs w:val="27"/>
          <w:highlight w:val="none"/>
        </w:rPr>
        <w:t xml:space="preserve"> </w:t>
      </w:r>
    </w:p>
    <w:p>
      <w:pPr>
        <w:pStyle w:val="10"/>
        <w:ind w:firstLine="800" w:firstLineChars="250"/>
        <w:rPr>
          <w:rFonts w:asciiTheme="minorEastAsia" w:hAnsiTheme="minorEastAsia" w:eastAsiaTheme="minorEastAsia"/>
          <w:iCs/>
          <w:color w:val="auto"/>
          <w:sz w:val="32"/>
          <w:szCs w:val="32"/>
          <w:highlight w:val="none"/>
        </w:rPr>
      </w:pPr>
      <w:r>
        <w:rPr>
          <w:rFonts w:hint="eastAsia" w:asciiTheme="minorEastAsia" w:hAnsiTheme="minorEastAsia" w:eastAsiaTheme="minorEastAsia"/>
          <w:iCs/>
          <w:color w:val="auto"/>
          <w:sz w:val="32"/>
          <w:szCs w:val="32"/>
          <w:highlight w:val="none"/>
        </w:rPr>
        <w:t>2、公务接待费支出决算为</w:t>
      </w:r>
      <w:r>
        <w:rPr>
          <w:rFonts w:hint="eastAsia" w:asciiTheme="minorEastAsia" w:hAnsiTheme="minorEastAsia" w:eastAsiaTheme="minorEastAsia"/>
          <w:iCs/>
          <w:color w:val="auto"/>
          <w:sz w:val="32"/>
          <w:szCs w:val="32"/>
          <w:highlight w:val="none"/>
          <w:lang w:val="en-US" w:eastAsia="zh-CN"/>
        </w:rPr>
        <w:t>0.00</w:t>
      </w:r>
      <w:r>
        <w:rPr>
          <w:rFonts w:hint="eastAsia" w:asciiTheme="minorEastAsia" w:hAnsiTheme="minorEastAsia" w:eastAsiaTheme="minorEastAsia"/>
          <w:iCs/>
          <w:color w:val="auto"/>
          <w:sz w:val="32"/>
          <w:szCs w:val="32"/>
          <w:highlight w:val="none"/>
        </w:rPr>
        <w:t>万元，全年共接待来访团组</w:t>
      </w:r>
      <w:r>
        <w:rPr>
          <w:rFonts w:hint="eastAsia" w:asciiTheme="minorEastAsia" w:hAnsiTheme="minorEastAsia" w:eastAsiaTheme="minorEastAsia"/>
          <w:iCs/>
          <w:color w:val="auto"/>
          <w:sz w:val="32"/>
          <w:szCs w:val="32"/>
          <w:highlight w:val="none"/>
          <w:lang w:val="en-US" w:eastAsia="zh-CN"/>
        </w:rPr>
        <w:t>0</w:t>
      </w:r>
      <w:r>
        <w:rPr>
          <w:rFonts w:hint="eastAsia" w:asciiTheme="minorEastAsia" w:hAnsiTheme="minorEastAsia" w:eastAsiaTheme="minorEastAsia"/>
          <w:iCs/>
          <w:color w:val="auto"/>
          <w:sz w:val="32"/>
          <w:szCs w:val="32"/>
          <w:highlight w:val="none"/>
        </w:rPr>
        <w:t>个、来宾</w:t>
      </w:r>
      <w:r>
        <w:rPr>
          <w:rFonts w:hint="eastAsia" w:asciiTheme="minorEastAsia" w:hAnsiTheme="minorEastAsia" w:eastAsiaTheme="minorEastAsia"/>
          <w:iCs/>
          <w:color w:val="auto"/>
          <w:sz w:val="32"/>
          <w:szCs w:val="32"/>
          <w:highlight w:val="none"/>
          <w:lang w:val="en-US" w:eastAsia="zh-CN"/>
        </w:rPr>
        <w:t>0</w:t>
      </w:r>
      <w:r>
        <w:rPr>
          <w:rFonts w:hint="eastAsia" w:asciiTheme="minorEastAsia" w:hAnsiTheme="minorEastAsia" w:eastAsiaTheme="minorEastAsia"/>
          <w:iCs/>
          <w:color w:val="auto"/>
          <w:sz w:val="32"/>
          <w:szCs w:val="32"/>
          <w:highlight w:val="none"/>
        </w:rPr>
        <w:t>人次，</w:t>
      </w:r>
      <w:r>
        <w:rPr>
          <w:rFonts w:hint="eastAsia" w:ascii="宋体" w:hAnsi="宋体" w:eastAsia="宋体" w:cs="宋体"/>
          <w:color w:val="auto"/>
          <w:kern w:val="2"/>
          <w:sz w:val="32"/>
          <w:szCs w:val="32"/>
          <w:highlight w:val="none"/>
        </w:rPr>
        <w:t>我单位2021年度无</w:t>
      </w:r>
      <w:r>
        <w:rPr>
          <w:rFonts w:hint="eastAsia" w:ascii="宋体" w:hAnsi="宋体" w:eastAsia="宋体" w:cs="宋体"/>
          <w:color w:val="auto"/>
          <w:kern w:val="2"/>
          <w:sz w:val="32"/>
          <w:szCs w:val="32"/>
          <w:highlight w:val="none"/>
          <w:lang w:val="en-US" w:eastAsia="zh-CN"/>
        </w:rPr>
        <w:t>公务接待</w:t>
      </w:r>
      <w:r>
        <w:rPr>
          <w:rFonts w:hint="eastAsia" w:ascii="宋体" w:hAnsi="宋体" w:eastAsia="宋体" w:cs="宋体"/>
          <w:color w:val="auto"/>
          <w:kern w:val="2"/>
          <w:sz w:val="32"/>
          <w:szCs w:val="32"/>
          <w:highlight w:val="none"/>
        </w:rPr>
        <w:t>费支出。</w:t>
      </w:r>
      <w:r>
        <w:rPr>
          <w:rFonts w:hint="eastAsia" w:ascii="等线" w:hAnsi="等线" w:eastAsia="等线" w:cs="Times New Roman"/>
          <w:color w:val="auto"/>
          <w:kern w:val="2"/>
          <w:sz w:val="27"/>
          <w:szCs w:val="27"/>
          <w:highlight w:val="none"/>
        </w:rPr>
        <w:t xml:space="preserve"> </w:t>
      </w:r>
    </w:p>
    <w:p>
      <w:pPr>
        <w:ind w:firstLine="800" w:firstLineChars="250"/>
        <w:rPr>
          <w:rFonts w:asciiTheme="minorEastAsia" w:hAnsiTheme="minorEastAsia"/>
          <w:iCs/>
          <w:sz w:val="32"/>
          <w:szCs w:val="32"/>
        </w:rPr>
      </w:pPr>
      <w:r>
        <w:rPr>
          <w:rFonts w:hint="eastAsia" w:asciiTheme="minorEastAsia" w:hAnsiTheme="minorEastAsia"/>
          <w:iCs/>
          <w:color w:val="auto"/>
          <w:sz w:val="32"/>
          <w:szCs w:val="32"/>
          <w:highlight w:val="none"/>
        </w:rPr>
        <w:t>3、公务用车购置费及运行维护费支出决算为</w:t>
      </w:r>
      <w:r>
        <w:rPr>
          <w:rFonts w:hint="eastAsia" w:asciiTheme="minorEastAsia" w:hAnsiTheme="minorEastAsia"/>
          <w:iCs/>
          <w:color w:val="auto"/>
          <w:sz w:val="32"/>
          <w:szCs w:val="32"/>
          <w:highlight w:val="none"/>
          <w:lang w:val="en-US" w:eastAsia="zh-CN"/>
        </w:rPr>
        <w:t>0.00</w:t>
      </w:r>
      <w:r>
        <w:rPr>
          <w:rFonts w:hint="eastAsia" w:asciiTheme="minorEastAsia" w:hAnsiTheme="minorEastAsia"/>
          <w:iCs/>
          <w:color w:val="auto"/>
          <w:sz w:val="32"/>
          <w:szCs w:val="32"/>
          <w:highlight w:val="none"/>
        </w:rPr>
        <w:t>万元，其中：公务用车购置费</w:t>
      </w:r>
      <w:r>
        <w:rPr>
          <w:rFonts w:hint="eastAsia" w:asciiTheme="minorEastAsia" w:hAnsiTheme="minorEastAsia"/>
          <w:iCs/>
          <w:color w:val="auto"/>
          <w:sz w:val="32"/>
          <w:szCs w:val="32"/>
          <w:highlight w:val="none"/>
          <w:lang w:val="en-US" w:eastAsia="zh-CN"/>
        </w:rPr>
        <w:t>0.00</w:t>
      </w:r>
      <w:r>
        <w:rPr>
          <w:rFonts w:hint="eastAsia" w:asciiTheme="minorEastAsia" w:hAnsiTheme="minorEastAsia"/>
          <w:iCs/>
          <w:color w:val="auto"/>
          <w:sz w:val="32"/>
          <w:szCs w:val="32"/>
          <w:highlight w:val="none"/>
        </w:rPr>
        <w:t>万元，</w:t>
      </w:r>
      <w:r>
        <w:rPr>
          <w:rFonts w:hint="eastAsia" w:asciiTheme="minorEastAsia" w:hAnsiTheme="minorEastAsia"/>
          <w:iCs/>
          <w:color w:val="auto"/>
          <w:sz w:val="32"/>
          <w:szCs w:val="32"/>
          <w:highlight w:val="none"/>
          <w:lang w:val="en-US" w:eastAsia="zh-CN"/>
        </w:rPr>
        <w:t>我</w:t>
      </w:r>
      <w:r>
        <w:rPr>
          <w:rFonts w:hint="eastAsia" w:asciiTheme="minorEastAsia" w:hAnsiTheme="minorEastAsia"/>
          <w:iCs/>
          <w:color w:val="auto"/>
          <w:sz w:val="32"/>
          <w:szCs w:val="32"/>
          <w:highlight w:val="none"/>
        </w:rPr>
        <w:t>单位本级更新公务用车</w:t>
      </w:r>
      <w:r>
        <w:rPr>
          <w:rFonts w:hint="eastAsia" w:asciiTheme="minorEastAsia" w:hAnsiTheme="minorEastAsia"/>
          <w:iCs/>
          <w:color w:val="auto"/>
          <w:sz w:val="32"/>
          <w:szCs w:val="32"/>
          <w:highlight w:val="none"/>
          <w:lang w:val="en-US" w:eastAsia="zh-CN"/>
        </w:rPr>
        <w:t>0</w:t>
      </w:r>
      <w:r>
        <w:rPr>
          <w:rFonts w:hint="eastAsia" w:asciiTheme="minorEastAsia" w:hAnsiTheme="minorEastAsia"/>
          <w:iCs/>
          <w:color w:val="auto"/>
          <w:sz w:val="32"/>
          <w:szCs w:val="32"/>
          <w:highlight w:val="none"/>
        </w:rPr>
        <w:t>辆。公务用车运行维护费</w:t>
      </w:r>
      <w:r>
        <w:rPr>
          <w:rFonts w:hint="eastAsia" w:asciiTheme="minorEastAsia" w:hAnsiTheme="minorEastAsia"/>
          <w:iCs/>
          <w:color w:val="auto"/>
          <w:sz w:val="32"/>
          <w:szCs w:val="32"/>
          <w:highlight w:val="none"/>
          <w:lang w:val="en-US" w:eastAsia="zh-CN"/>
        </w:rPr>
        <w:t>0.00</w:t>
      </w:r>
      <w:r>
        <w:rPr>
          <w:rFonts w:hint="eastAsia" w:asciiTheme="minorEastAsia" w:hAnsiTheme="minorEastAsia"/>
          <w:iCs/>
          <w:color w:val="auto"/>
          <w:sz w:val="32"/>
          <w:szCs w:val="32"/>
          <w:highlight w:val="none"/>
        </w:rPr>
        <w:t>万元，</w:t>
      </w:r>
      <w:r>
        <w:rPr>
          <w:rFonts w:hint="eastAsia" w:asciiTheme="minorEastAsia" w:hAnsiTheme="minorEastAsia"/>
          <w:iCs/>
          <w:color w:val="auto"/>
          <w:sz w:val="32"/>
          <w:szCs w:val="32"/>
          <w:highlight w:val="none"/>
          <w:lang w:val="en-US" w:eastAsia="zh-CN"/>
        </w:rPr>
        <w:t>无</w:t>
      </w:r>
      <w:r>
        <w:rPr>
          <w:rFonts w:hint="eastAsia" w:asciiTheme="minorEastAsia" w:hAnsiTheme="minorEastAsia"/>
          <w:iCs/>
          <w:color w:val="auto"/>
          <w:sz w:val="32"/>
          <w:szCs w:val="32"/>
          <w:highlight w:val="none"/>
        </w:rPr>
        <w:t>支出，截至2021年12月31日，我单位开支财政拨款的公务用车保有量为</w:t>
      </w:r>
      <w:r>
        <w:rPr>
          <w:rFonts w:hint="eastAsia" w:asciiTheme="minorEastAsia" w:hAnsiTheme="minorEastAsia"/>
          <w:iCs/>
          <w:color w:val="auto"/>
          <w:sz w:val="32"/>
          <w:szCs w:val="32"/>
          <w:highlight w:val="none"/>
          <w:lang w:val="en-US" w:eastAsia="zh-CN"/>
        </w:rPr>
        <w:t>0</w:t>
      </w:r>
      <w:r>
        <w:rPr>
          <w:rFonts w:hint="eastAsia" w:asciiTheme="minorEastAsia" w:hAnsiTheme="minorEastAsia"/>
          <w:iCs/>
          <w:color w:val="auto"/>
          <w:sz w:val="32"/>
          <w:szCs w:val="32"/>
          <w:highlight w:val="none"/>
        </w:rPr>
        <w:t>辆。</w:t>
      </w:r>
    </w:p>
    <w:p>
      <w:pPr>
        <w:pStyle w:val="10"/>
        <w:rPr>
          <w:rFonts w:hAnsi="黑体"/>
          <w:b/>
          <w:sz w:val="32"/>
          <w:szCs w:val="32"/>
        </w:rPr>
      </w:pPr>
      <w:r>
        <w:rPr>
          <w:rFonts w:hint="eastAsia" w:hAnsi="黑体"/>
          <w:b/>
          <w:sz w:val="32"/>
          <w:szCs w:val="32"/>
        </w:rPr>
        <w:t>八、政府性基金预算收入支出决算情况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cstheme="minorBidi"/>
          <w:iCs/>
          <w:color w:val="auto"/>
          <w:kern w:val="2"/>
          <w:sz w:val="32"/>
          <w:szCs w:val="32"/>
        </w:rPr>
        <w:t>本单位无政府性基金收支。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ind w:firstLine="640" w:firstLineChars="200"/>
        <w:jc w:val="both"/>
        <w:rPr>
          <w:rFonts w:asciiTheme="minorEastAsia" w:hAnsiTheme="minorEastAsia" w:eastAsiaTheme="minorEastAsia" w:cstheme="minorBidi"/>
          <w:iCs/>
          <w:color w:val="auto"/>
          <w:kern w:val="2"/>
          <w:sz w:val="32"/>
          <w:szCs w:val="32"/>
        </w:rPr>
      </w:pPr>
      <w:r>
        <w:rPr>
          <w:rFonts w:hint="eastAsia" w:asciiTheme="minorEastAsia" w:hAnsiTheme="minorEastAsia" w:eastAsiaTheme="minorEastAsia" w:cstheme="minorBidi"/>
          <w:iCs/>
          <w:color w:val="auto"/>
          <w:kern w:val="2"/>
          <w:sz w:val="32"/>
          <w:szCs w:val="32"/>
        </w:rPr>
        <w:t>本单位无国有资本经营预算财政拨款支出。</w:t>
      </w:r>
    </w:p>
    <w:p>
      <w:pPr>
        <w:pStyle w:val="10"/>
        <w:rPr>
          <w:rFonts w:hAnsi="黑体"/>
          <w:b/>
          <w:sz w:val="32"/>
          <w:szCs w:val="32"/>
        </w:rPr>
      </w:pPr>
      <w:r>
        <w:rPr>
          <w:rFonts w:hint="eastAsia" w:hAnsi="黑体"/>
          <w:b/>
          <w:sz w:val="32"/>
          <w:szCs w:val="32"/>
        </w:rPr>
        <w:t>十、机关运行经费支出说明</w:t>
      </w:r>
    </w:p>
    <w:p>
      <w:pPr>
        <w:pStyle w:val="10"/>
        <w:ind w:firstLine="640" w:firstLineChars="200"/>
        <w:rPr>
          <w:rFonts w:asciiTheme="minorEastAsia" w:hAnsiTheme="minorEastAsia" w:eastAsiaTheme="minorEastAsia"/>
          <w:iCs/>
          <w:sz w:val="32"/>
          <w:szCs w:val="32"/>
        </w:rPr>
      </w:pPr>
      <w:r>
        <w:rPr>
          <w:rFonts w:hint="eastAsia" w:asciiTheme="minorEastAsia" w:hAnsiTheme="minorEastAsia" w:eastAsiaTheme="minorEastAsia"/>
          <w:sz w:val="32"/>
          <w:szCs w:val="32"/>
        </w:rPr>
        <w:t>本单位不属于行政单位和参照公务员法管理事业单位，无机关运行经费支出。</w:t>
      </w:r>
    </w:p>
    <w:p>
      <w:pPr>
        <w:pStyle w:val="10"/>
        <w:rPr>
          <w:rFonts w:hAnsi="黑体"/>
          <w:b/>
          <w:sz w:val="32"/>
          <w:szCs w:val="32"/>
        </w:rPr>
      </w:pPr>
      <w:r>
        <w:rPr>
          <w:rFonts w:hint="eastAsia" w:hAnsi="黑体"/>
          <w:b/>
          <w:sz w:val="32"/>
          <w:szCs w:val="32"/>
        </w:rPr>
        <w:t>十一、一般性支出情况说明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color w:val="auto"/>
          <w:sz w:val="32"/>
          <w:szCs w:val="32"/>
          <w:highlight w:val="none"/>
        </w:rPr>
        <w:t>2021年本部门开支会议费</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w:t>
      </w:r>
      <w:r>
        <w:rPr>
          <w:rFonts w:hint="eastAsia" w:ascii="宋体" w:hAnsi="宋体" w:eastAsia="宋体" w:cs="宋体"/>
          <w:color w:val="auto"/>
          <w:kern w:val="2"/>
          <w:sz w:val="32"/>
          <w:szCs w:val="32"/>
          <w:highlight w:val="none"/>
        </w:rPr>
        <w:t>我单位2021年度无会议费支出</w:t>
      </w:r>
      <w:r>
        <w:rPr>
          <w:rFonts w:hint="eastAsia" w:asciiTheme="minorEastAsia" w:hAnsiTheme="minorEastAsia" w:eastAsiaTheme="minorEastAsia"/>
          <w:color w:val="auto"/>
          <w:sz w:val="32"/>
          <w:szCs w:val="32"/>
          <w:highlight w:val="none"/>
        </w:rPr>
        <w:t>，人数</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人，内容为</w:t>
      </w:r>
      <w:r>
        <w:rPr>
          <w:rFonts w:hint="eastAsia" w:asciiTheme="minorEastAsia" w:hAnsiTheme="minorEastAsia" w:eastAsiaTheme="minorEastAsia"/>
          <w:color w:val="auto"/>
          <w:sz w:val="32"/>
          <w:szCs w:val="32"/>
          <w:highlight w:val="none"/>
          <w:lang w:val="en-US" w:eastAsia="zh-CN"/>
        </w:rPr>
        <w:t>无</w:t>
      </w:r>
      <w:r>
        <w:rPr>
          <w:rFonts w:hint="eastAsia" w:asciiTheme="minorEastAsia" w:hAnsiTheme="minorEastAsia" w:eastAsiaTheme="minorEastAsia"/>
          <w:color w:val="auto"/>
          <w:sz w:val="32"/>
          <w:szCs w:val="32"/>
          <w:highlight w:val="none"/>
        </w:rPr>
        <w:t>；开支培训费</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万元，人数</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人，内容为</w:t>
      </w:r>
      <w:r>
        <w:rPr>
          <w:rFonts w:hint="eastAsia" w:ascii="宋体" w:hAnsi="宋体" w:eastAsia="宋体" w:cs="宋体"/>
          <w:color w:val="auto"/>
          <w:kern w:val="2"/>
          <w:sz w:val="32"/>
          <w:szCs w:val="32"/>
          <w:highlight w:val="none"/>
          <w:lang w:val="en-US" w:eastAsia="zh-CN"/>
        </w:rPr>
        <w:t>无</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没有举办</w:t>
      </w:r>
      <w:r>
        <w:rPr>
          <w:rFonts w:hint="eastAsia" w:asciiTheme="minorEastAsia" w:hAnsiTheme="minorEastAsia" w:eastAsiaTheme="minorEastAsia"/>
          <w:color w:val="auto"/>
          <w:sz w:val="32"/>
          <w:szCs w:val="32"/>
          <w:highlight w:val="none"/>
        </w:rPr>
        <w:t>等节庆、晚会、论坛、赛事活动，开支</w:t>
      </w:r>
      <w:r>
        <w:rPr>
          <w:rFonts w:hint="eastAsia" w:asciiTheme="minorEastAsia" w:hAnsiTheme="minorEastAsia" w:eastAsiaTheme="minorEastAsia"/>
          <w:color w:val="auto"/>
          <w:sz w:val="32"/>
          <w:szCs w:val="32"/>
          <w:highlight w:val="none"/>
          <w:lang w:val="en-US" w:eastAsia="zh-CN"/>
        </w:rPr>
        <w:t>0.00</w:t>
      </w:r>
      <w:r>
        <w:rPr>
          <w:rFonts w:hint="eastAsia" w:asciiTheme="minorEastAsia" w:hAnsiTheme="minorEastAsia" w:eastAsiaTheme="minorEastAsia"/>
          <w:color w:val="auto"/>
          <w:sz w:val="32"/>
          <w:szCs w:val="32"/>
          <w:highlight w:val="none"/>
        </w:rPr>
        <w:t>万元，主要是</w:t>
      </w:r>
      <w:r>
        <w:rPr>
          <w:rFonts w:hint="eastAsia" w:ascii="宋体" w:hAnsi="宋体" w:eastAsia="宋体" w:cs="宋体"/>
          <w:color w:val="auto"/>
          <w:kern w:val="2"/>
          <w:sz w:val="32"/>
          <w:szCs w:val="32"/>
          <w:highlight w:val="none"/>
        </w:rPr>
        <w:t>无相关活动计划</w:t>
      </w:r>
      <w:r>
        <w:rPr>
          <w:rFonts w:hint="eastAsia" w:asciiTheme="minorEastAsia" w:hAnsiTheme="minorEastAsia" w:eastAsiaTheme="minorEastAsia"/>
          <w:color w:val="auto"/>
          <w:sz w:val="32"/>
          <w:szCs w:val="32"/>
          <w:highlight w:val="none"/>
        </w:rPr>
        <w:t>。</w:t>
      </w:r>
    </w:p>
    <w:p>
      <w:pPr>
        <w:pStyle w:val="10"/>
        <w:rPr>
          <w:rFonts w:hAnsi="黑体"/>
          <w:b/>
          <w:sz w:val="32"/>
          <w:szCs w:val="32"/>
        </w:rPr>
      </w:pPr>
      <w:r>
        <w:rPr>
          <w:rFonts w:hint="eastAsia" w:hAnsi="黑体"/>
          <w:b/>
          <w:sz w:val="32"/>
          <w:szCs w:val="32"/>
        </w:rPr>
        <w:t>十二、政府采购支出说明</w:t>
      </w:r>
    </w:p>
    <w:p>
      <w:pPr>
        <w:pStyle w:val="10"/>
        <w:ind w:firstLine="640" w:firstLineChars="200"/>
        <w:rPr>
          <w:rFonts w:asciiTheme="minorEastAsia" w:hAnsiTheme="minorEastAsia" w:eastAsiaTheme="minorEastAsia"/>
          <w:iCs/>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0"/>
        <w:rPr>
          <w:rFonts w:hAnsi="黑体"/>
          <w:b/>
          <w:color w:val="auto"/>
          <w:sz w:val="32"/>
          <w:szCs w:val="32"/>
        </w:rPr>
      </w:pPr>
      <w:r>
        <w:rPr>
          <w:rFonts w:hint="eastAsia" w:hAnsi="黑体"/>
          <w:b/>
          <w:color w:val="auto"/>
          <w:sz w:val="32"/>
          <w:szCs w:val="32"/>
        </w:rPr>
        <w:t>十三、国有资产占用情况说明</w:t>
      </w:r>
    </w:p>
    <w:p>
      <w:pPr>
        <w:pStyle w:val="10"/>
        <w:ind w:firstLine="640" w:firstLineChars="200"/>
        <w:rPr>
          <w:rFonts w:asciiTheme="minorEastAsia" w:hAnsiTheme="minorEastAsia" w:eastAsiaTheme="minorEastAsia"/>
          <w:iCs/>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Ansi="黑体"/>
          <w:b/>
          <w:sz w:val="32"/>
          <w:szCs w:val="32"/>
        </w:rPr>
      </w:pPr>
      <w:r>
        <w:rPr>
          <w:rFonts w:hint="eastAsia" w:hAnsi="黑体"/>
          <w:b/>
          <w:sz w:val="32"/>
          <w:szCs w:val="32"/>
        </w:rPr>
        <w:t>十四、2021年度预算绩效情况说明</w:t>
      </w:r>
    </w:p>
    <w:p>
      <w:pPr>
        <w:autoSpaceDE w:val="0"/>
        <w:autoSpaceDN w:val="0"/>
        <w:adjustRightInd w:val="0"/>
        <w:ind w:firstLine="640" w:firstLineChars="200"/>
        <w:jc w:val="left"/>
        <w:rPr>
          <w:color w:val="auto"/>
          <w:sz w:val="72"/>
          <w:szCs w:val="72"/>
          <w:highlight w:val="none"/>
        </w:rPr>
      </w:pPr>
      <w:r>
        <w:rPr>
          <w:rFonts w:hint="eastAsia" w:ascii="宋体" w:hAnsi="宋体" w:eastAsia="宋体" w:cs="宋体"/>
          <w:color w:val="auto"/>
          <w:sz w:val="32"/>
          <w:szCs w:val="32"/>
          <w:highlight w:val="none"/>
          <w:shd w:val="clear" w:color="auto" w:fill="FFFFFF"/>
        </w:rPr>
        <w:t>岳阳市岳阳楼区光荣院</w:t>
      </w:r>
      <w:r>
        <w:rPr>
          <w:rFonts w:hint="eastAsia" w:cs="黑体" w:asciiTheme="minorEastAsia" w:hAnsiTheme="minorEastAsia"/>
          <w:color w:val="auto"/>
          <w:kern w:val="0"/>
          <w:sz w:val="32"/>
          <w:szCs w:val="32"/>
          <w:highlight w:val="none"/>
        </w:rPr>
        <w:t>整体绩效评价综述：</w:t>
      </w:r>
      <w:r>
        <w:rPr>
          <w:rFonts w:hint="eastAsia" w:ascii="宋体" w:hAnsi="宋体" w:eastAsia="宋体" w:cs="宋体"/>
          <w:color w:val="auto"/>
          <w:sz w:val="32"/>
          <w:szCs w:val="32"/>
          <w:highlight w:val="none"/>
          <w:shd w:val="clear" w:color="auto" w:fill="FFFFFF"/>
        </w:rPr>
        <w:t>岳阳楼区光荣院</w:t>
      </w:r>
      <w:r>
        <w:rPr>
          <w:rFonts w:hint="eastAsia" w:cs="黑体" w:asciiTheme="minorEastAsia" w:hAnsiTheme="minorEastAsia" w:eastAsiaTheme="minorEastAsia"/>
          <w:color w:val="auto"/>
          <w:kern w:val="0"/>
          <w:sz w:val="32"/>
          <w:szCs w:val="32"/>
          <w:highlight w:val="none"/>
          <w:lang w:val="en-US" w:eastAsia="zh-CN" w:bidi="ar-SA"/>
        </w:rPr>
        <w:t>属岳阳楼区</w:t>
      </w:r>
      <w:r>
        <w:rPr>
          <w:rFonts w:hint="eastAsia" w:cs="黑体" w:asciiTheme="minorEastAsia" w:hAnsiTheme="minorEastAsia"/>
          <w:color w:val="auto"/>
          <w:kern w:val="0"/>
          <w:sz w:val="32"/>
          <w:szCs w:val="32"/>
          <w:highlight w:val="none"/>
          <w:lang w:val="en-US" w:eastAsia="zh-CN" w:bidi="ar-SA"/>
        </w:rPr>
        <w:t>退役军人事务局</w:t>
      </w:r>
      <w:r>
        <w:rPr>
          <w:rFonts w:hint="eastAsia" w:cs="黑体" w:asciiTheme="minorEastAsia" w:hAnsiTheme="minorEastAsia" w:eastAsiaTheme="minorEastAsia"/>
          <w:color w:val="auto"/>
          <w:kern w:val="0"/>
          <w:sz w:val="32"/>
          <w:szCs w:val="32"/>
          <w:highlight w:val="none"/>
          <w:lang w:val="en-US" w:eastAsia="zh-CN" w:bidi="ar-SA"/>
        </w:rPr>
        <w:t>二级机构，未单独开展绩效评价，绩效评价与岳阳楼区</w:t>
      </w:r>
      <w:r>
        <w:rPr>
          <w:rFonts w:hint="eastAsia" w:cs="黑体" w:asciiTheme="minorEastAsia" w:hAnsiTheme="minorEastAsia"/>
          <w:color w:val="auto"/>
          <w:kern w:val="0"/>
          <w:sz w:val="32"/>
          <w:szCs w:val="32"/>
          <w:highlight w:val="none"/>
          <w:lang w:val="en-US" w:eastAsia="zh-CN" w:bidi="ar-SA"/>
        </w:rPr>
        <w:t>退役军人事务局</w:t>
      </w:r>
      <w:r>
        <w:rPr>
          <w:rFonts w:hint="eastAsia" w:cs="黑体" w:asciiTheme="minorEastAsia" w:hAnsiTheme="minorEastAsia" w:eastAsiaTheme="minorEastAsia"/>
          <w:color w:val="auto"/>
          <w:kern w:val="0"/>
          <w:sz w:val="32"/>
          <w:szCs w:val="32"/>
          <w:highlight w:val="none"/>
          <w:lang w:val="en-US" w:eastAsia="zh-CN" w:bidi="ar-SA"/>
        </w:rPr>
        <w:t>汇总上传。完整表格见附件二。</w:t>
      </w:r>
    </w:p>
    <w:p>
      <w:pPr>
        <w:autoSpaceDE w:val="0"/>
        <w:autoSpaceDN w:val="0"/>
        <w:adjustRightInd w:val="0"/>
        <w:ind w:firstLine="1440" w:firstLineChars="200"/>
        <w:jc w:val="left"/>
        <w:rPr>
          <w:sz w:val="72"/>
          <w:szCs w:val="72"/>
        </w:rPr>
      </w:pPr>
      <w:bookmarkStart w:id="1" w:name="_GoBack"/>
      <w:bookmarkEnd w:id="1"/>
    </w:p>
    <w:p>
      <w:pPr>
        <w:autoSpaceDE w:val="0"/>
        <w:autoSpaceDN w:val="0"/>
        <w:adjustRightInd w:val="0"/>
        <w:ind w:firstLine="1440" w:firstLineChars="200"/>
        <w:jc w:val="left"/>
        <w:rPr>
          <w:sz w:val="72"/>
          <w:szCs w:val="72"/>
        </w:rPr>
      </w:pPr>
    </w:p>
    <w:p>
      <w:pPr>
        <w:pStyle w:val="10"/>
        <w:jc w:val="both"/>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三、财政拨款收入：指本级财政当年拨付的资金。</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四、其他收入：指除上述“财政拨款收入”、“上级补助收入”、“事业收入”、“经营收入”、“附属单位上缴收入”等以外的收入。</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五、基本支出：指保障机构正常运转、完成支日常工作任务而发生的人员支出和公用支出。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六、项目支出：指在基本支出之外为完成特定行政任务和事业发展目标所发生的支出。</w:t>
      </w:r>
    </w:p>
    <w:p>
      <w:pPr>
        <w:pStyle w:val="10"/>
        <w:ind w:firstLine="64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七、会议费：反映会议中按规定开支的住宿费、伙食费、会议室租金、交通费、文件印刷费、医药费等。</w:t>
      </w:r>
    </w:p>
    <w:p>
      <w:pPr>
        <w:pStyle w:val="10"/>
        <w:ind w:firstLine="64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八、培训费：反映除因公出国（境）培训费以外的各类培训支出。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ascii="黑体" w:eastAsia="黑体" w:cs="黑体"/>
          <w:color w:val="000000"/>
          <w:kern w:val="0"/>
          <w:sz w:val="70"/>
          <w:szCs w:val="7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F40D2"/>
    <w:multiLevelType w:val="singleLevel"/>
    <w:tmpl w:val="FC5F40D2"/>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TAzNDkyYTc2ODhiMmQxZmIwZjllMzQ0M2NjYzcifQ=="/>
  </w:docVars>
  <w:rsids>
    <w:rsidRoot w:val="00172A27"/>
    <w:rsid w:val="00001A8B"/>
    <w:rsid w:val="0002229B"/>
    <w:rsid w:val="00024868"/>
    <w:rsid w:val="000273BD"/>
    <w:rsid w:val="0003358A"/>
    <w:rsid w:val="00033EA1"/>
    <w:rsid w:val="000340FA"/>
    <w:rsid w:val="000343D7"/>
    <w:rsid w:val="00040798"/>
    <w:rsid w:val="000415B7"/>
    <w:rsid w:val="00041E3F"/>
    <w:rsid w:val="00043182"/>
    <w:rsid w:val="000501E9"/>
    <w:rsid w:val="00055DAA"/>
    <w:rsid w:val="00061F7B"/>
    <w:rsid w:val="000658A3"/>
    <w:rsid w:val="00074155"/>
    <w:rsid w:val="000873EF"/>
    <w:rsid w:val="000942DB"/>
    <w:rsid w:val="000A3F69"/>
    <w:rsid w:val="000A6710"/>
    <w:rsid w:val="000B2E5E"/>
    <w:rsid w:val="000B4965"/>
    <w:rsid w:val="000E2F64"/>
    <w:rsid w:val="000F24D6"/>
    <w:rsid w:val="00103957"/>
    <w:rsid w:val="00114A59"/>
    <w:rsid w:val="00116512"/>
    <w:rsid w:val="00124A1F"/>
    <w:rsid w:val="00132739"/>
    <w:rsid w:val="00152C6D"/>
    <w:rsid w:val="00162D39"/>
    <w:rsid w:val="001652F2"/>
    <w:rsid w:val="001667E5"/>
    <w:rsid w:val="001678BD"/>
    <w:rsid w:val="00171796"/>
    <w:rsid w:val="00172A27"/>
    <w:rsid w:val="00180381"/>
    <w:rsid w:val="00182373"/>
    <w:rsid w:val="00183015"/>
    <w:rsid w:val="00184A1D"/>
    <w:rsid w:val="00192F63"/>
    <w:rsid w:val="001A4DDF"/>
    <w:rsid w:val="001A67DB"/>
    <w:rsid w:val="001B3A4F"/>
    <w:rsid w:val="001C0666"/>
    <w:rsid w:val="001C3C29"/>
    <w:rsid w:val="001C5D8D"/>
    <w:rsid w:val="001D17D9"/>
    <w:rsid w:val="001D51E5"/>
    <w:rsid w:val="001E080D"/>
    <w:rsid w:val="001E29CF"/>
    <w:rsid w:val="001E53D0"/>
    <w:rsid w:val="001F0C3B"/>
    <w:rsid w:val="00202C14"/>
    <w:rsid w:val="00202C82"/>
    <w:rsid w:val="0021201D"/>
    <w:rsid w:val="00212ABC"/>
    <w:rsid w:val="00214427"/>
    <w:rsid w:val="00226CB7"/>
    <w:rsid w:val="00250A29"/>
    <w:rsid w:val="00252BA4"/>
    <w:rsid w:val="00254472"/>
    <w:rsid w:val="00264552"/>
    <w:rsid w:val="00264EF9"/>
    <w:rsid w:val="00265724"/>
    <w:rsid w:val="0027426B"/>
    <w:rsid w:val="00277CB9"/>
    <w:rsid w:val="00283EF5"/>
    <w:rsid w:val="0028529D"/>
    <w:rsid w:val="00290B0E"/>
    <w:rsid w:val="00294B20"/>
    <w:rsid w:val="002C279F"/>
    <w:rsid w:val="002D39DB"/>
    <w:rsid w:val="002D4C81"/>
    <w:rsid w:val="002E0A30"/>
    <w:rsid w:val="002E43C7"/>
    <w:rsid w:val="002F33B3"/>
    <w:rsid w:val="002F4FA2"/>
    <w:rsid w:val="002F76B3"/>
    <w:rsid w:val="003130C4"/>
    <w:rsid w:val="00316C4B"/>
    <w:rsid w:val="0031760F"/>
    <w:rsid w:val="0032192B"/>
    <w:rsid w:val="003240A9"/>
    <w:rsid w:val="00325798"/>
    <w:rsid w:val="0033649D"/>
    <w:rsid w:val="00345D31"/>
    <w:rsid w:val="003479BD"/>
    <w:rsid w:val="003643FA"/>
    <w:rsid w:val="00370008"/>
    <w:rsid w:val="0037197D"/>
    <w:rsid w:val="00373751"/>
    <w:rsid w:val="003768D5"/>
    <w:rsid w:val="00381205"/>
    <w:rsid w:val="00382BD4"/>
    <w:rsid w:val="003B1EA4"/>
    <w:rsid w:val="003C358D"/>
    <w:rsid w:val="003C4197"/>
    <w:rsid w:val="003C47E6"/>
    <w:rsid w:val="003C4FC2"/>
    <w:rsid w:val="003D2724"/>
    <w:rsid w:val="003E2331"/>
    <w:rsid w:val="003E3D84"/>
    <w:rsid w:val="003F4A42"/>
    <w:rsid w:val="004006A1"/>
    <w:rsid w:val="00416E61"/>
    <w:rsid w:val="0042790C"/>
    <w:rsid w:val="00430D88"/>
    <w:rsid w:val="004506F9"/>
    <w:rsid w:val="004524D1"/>
    <w:rsid w:val="004529DB"/>
    <w:rsid w:val="004717A2"/>
    <w:rsid w:val="00472D3A"/>
    <w:rsid w:val="00473DF3"/>
    <w:rsid w:val="004749A2"/>
    <w:rsid w:val="004859CC"/>
    <w:rsid w:val="004867FE"/>
    <w:rsid w:val="00487911"/>
    <w:rsid w:val="00491741"/>
    <w:rsid w:val="00494018"/>
    <w:rsid w:val="004A2C25"/>
    <w:rsid w:val="004B0CEE"/>
    <w:rsid w:val="004B424B"/>
    <w:rsid w:val="004B6F3C"/>
    <w:rsid w:val="004B7A2B"/>
    <w:rsid w:val="004C1F55"/>
    <w:rsid w:val="004E1DF7"/>
    <w:rsid w:val="004E4AC4"/>
    <w:rsid w:val="00500E5F"/>
    <w:rsid w:val="00502FFE"/>
    <w:rsid w:val="005122EF"/>
    <w:rsid w:val="00513175"/>
    <w:rsid w:val="0051441A"/>
    <w:rsid w:val="00517C33"/>
    <w:rsid w:val="00517D5F"/>
    <w:rsid w:val="00521AF2"/>
    <w:rsid w:val="00523644"/>
    <w:rsid w:val="00525DE8"/>
    <w:rsid w:val="005312E4"/>
    <w:rsid w:val="005330C9"/>
    <w:rsid w:val="0054069E"/>
    <w:rsid w:val="00541B7E"/>
    <w:rsid w:val="00544866"/>
    <w:rsid w:val="005514B7"/>
    <w:rsid w:val="00561F68"/>
    <w:rsid w:val="005767CC"/>
    <w:rsid w:val="00590D9F"/>
    <w:rsid w:val="00595D26"/>
    <w:rsid w:val="00595EAD"/>
    <w:rsid w:val="00597842"/>
    <w:rsid w:val="005A0ABD"/>
    <w:rsid w:val="005A74E6"/>
    <w:rsid w:val="005B3913"/>
    <w:rsid w:val="005B3E50"/>
    <w:rsid w:val="005B404E"/>
    <w:rsid w:val="005B6D8C"/>
    <w:rsid w:val="005B72F0"/>
    <w:rsid w:val="005C1BE4"/>
    <w:rsid w:val="005D28FD"/>
    <w:rsid w:val="005D4CAB"/>
    <w:rsid w:val="005D4D55"/>
    <w:rsid w:val="005E2CFB"/>
    <w:rsid w:val="005F2103"/>
    <w:rsid w:val="005F3D1C"/>
    <w:rsid w:val="005F7ACB"/>
    <w:rsid w:val="00614A3D"/>
    <w:rsid w:val="006179A6"/>
    <w:rsid w:val="0062378F"/>
    <w:rsid w:val="00623CAC"/>
    <w:rsid w:val="00637DE3"/>
    <w:rsid w:val="00641842"/>
    <w:rsid w:val="00650831"/>
    <w:rsid w:val="00651EEC"/>
    <w:rsid w:val="00655A91"/>
    <w:rsid w:val="00665B2F"/>
    <w:rsid w:val="00686673"/>
    <w:rsid w:val="00691E8C"/>
    <w:rsid w:val="006A22C4"/>
    <w:rsid w:val="006A2336"/>
    <w:rsid w:val="006A348B"/>
    <w:rsid w:val="006A351B"/>
    <w:rsid w:val="006A460B"/>
    <w:rsid w:val="006A5ED4"/>
    <w:rsid w:val="006A6B05"/>
    <w:rsid w:val="006A7D70"/>
    <w:rsid w:val="006B0422"/>
    <w:rsid w:val="006B0576"/>
    <w:rsid w:val="006C0AF2"/>
    <w:rsid w:val="006C181A"/>
    <w:rsid w:val="006C1B53"/>
    <w:rsid w:val="006D7730"/>
    <w:rsid w:val="006E1514"/>
    <w:rsid w:val="006E224A"/>
    <w:rsid w:val="006E25D9"/>
    <w:rsid w:val="006E5284"/>
    <w:rsid w:val="006F3EB5"/>
    <w:rsid w:val="006F7350"/>
    <w:rsid w:val="00702E34"/>
    <w:rsid w:val="00704395"/>
    <w:rsid w:val="00705354"/>
    <w:rsid w:val="00710D24"/>
    <w:rsid w:val="00710FE7"/>
    <w:rsid w:val="00717621"/>
    <w:rsid w:val="00720FF1"/>
    <w:rsid w:val="007246DA"/>
    <w:rsid w:val="00727A53"/>
    <w:rsid w:val="00734B05"/>
    <w:rsid w:val="00751ACF"/>
    <w:rsid w:val="007549DF"/>
    <w:rsid w:val="00761872"/>
    <w:rsid w:val="00763B58"/>
    <w:rsid w:val="00780378"/>
    <w:rsid w:val="00784D94"/>
    <w:rsid w:val="00787B42"/>
    <w:rsid w:val="0079187B"/>
    <w:rsid w:val="00792CAF"/>
    <w:rsid w:val="00792F1A"/>
    <w:rsid w:val="007A23C1"/>
    <w:rsid w:val="007A3D8B"/>
    <w:rsid w:val="007A3E1C"/>
    <w:rsid w:val="007B3166"/>
    <w:rsid w:val="007B5B5E"/>
    <w:rsid w:val="007C4539"/>
    <w:rsid w:val="007C7BDE"/>
    <w:rsid w:val="007E23F2"/>
    <w:rsid w:val="007E43F0"/>
    <w:rsid w:val="007F3657"/>
    <w:rsid w:val="007F4CC5"/>
    <w:rsid w:val="00812ED5"/>
    <w:rsid w:val="008208D0"/>
    <w:rsid w:val="00826B09"/>
    <w:rsid w:val="008277D9"/>
    <w:rsid w:val="008312FE"/>
    <w:rsid w:val="00836ABF"/>
    <w:rsid w:val="00837DBB"/>
    <w:rsid w:val="0084478C"/>
    <w:rsid w:val="0086638C"/>
    <w:rsid w:val="00871512"/>
    <w:rsid w:val="0087404A"/>
    <w:rsid w:val="008A3E8D"/>
    <w:rsid w:val="008A6141"/>
    <w:rsid w:val="008A7EBD"/>
    <w:rsid w:val="008D7221"/>
    <w:rsid w:val="008F1E6C"/>
    <w:rsid w:val="008F772D"/>
    <w:rsid w:val="009019AA"/>
    <w:rsid w:val="00916D24"/>
    <w:rsid w:val="00917348"/>
    <w:rsid w:val="009237C4"/>
    <w:rsid w:val="009356E2"/>
    <w:rsid w:val="00944C48"/>
    <w:rsid w:val="009477B7"/>
    <w:rsid w:val="00950252"/>
    <w:rsid w:val="00965DA8"/>
    <w:rsid w:val="00966A72"/>
    <w:rsid w:val="00967F5D"/>
    <w:rsid w:val="009843AC"/>
    <w:rsid w:val="0098511D"/>
    <w:rsid w:val="00994334"/>
    <w:rsid w:val="00996649"/>
    <w:rsid w:val="009A0F95"/>
    <w:rsid w:val="009B13F8"/>
    <w:rsid w:val="009B3ADF"/>
    <w:rsid w:val="009B4D7A"/>
    <w:rsid w:val="009B7A12"/>
    <w:rsid w:val="009C338E"/>
    <w:rsid w:val="009C3B52"/>
    <w:rsid w:val="009E6817"/>
    <w:rsid w:val="009E6E9A"/>
    <w:rsid w:val="009F7443"/>
    <w:rsid w:val="00A01D2B"/>
    <w:rsid w:val="00A034B8"/>
    <w:rsid w:val="00A0739D"/>
    <w:rsid w:val="00A14A83"/>
    <w:rsid w:val="00A27F72"/>
    <w:rsid w:val="00A42218"/>
    <w:rsid w:val="00A60C5D"/>
    <w:rsid w:val="00A671C4"/>
    <w:rsid w:val="00A70249"/>
    <w:rsid w:val="00A70B02"/>
    <w:rsid w:val="00A71D9F"/>
    <w:rsid w:val="00A728DC"/>
    <w:rsid w:val="00A73917"/>
    <w:rsid w:val="00A77536"/>
    <w:rsid w:val="00A80F59"/>
    <w:rsid w:val="00A8621C"/>
    <w:rsid w:val="00A92E9F"/>
    <w:rsid w:val="00AA3205"/>
    <w:rsid w:val="00AA4917"/>
    <w:rsid w:val="00AB0EA9"/>
    <w:rsid w:val="00AC0B9B"/>
    <w:rsid w:val="00AC50B9"/>
    <w:rsid w:val="00AD45CC"/>
    <w:rsid w:val="00AF0664"/>
    <w:rsid w:val="00B0093B"/>
    <w:rsid w:val="00B010C5"/>
    <w:rsid w:val="00B050EE"/>
    <w:rsid w:val="00B068E6"/>
    <w:rsid w:val="00B07739"/>
    <w:rsid w:val="00B11EC7"/>
    <w:rsid w:val="00B3153A"/>
    <w:rsid w:val="00B33BEA"/>
    <w:rsid w:val="00B53221"/>
    <w:rsid w:val="00B5798E"/>
    <w:rsid w:val="00B57C9F"/>
    <w:rsid w:val="00B605B0"/>
    <w:rsid w:val="00B63572"/>
    <w:rsid w:val="00B647E3"/>
    <w:rsid w:val="00B845B3"/>
    <w:rsid w:val="00B85D8B"/>
    <w:rsid w:val="00B9597A"/>
    <w:rsid w:val="00BA05AE"/>
    <w:rsid w:val="00BB4A40"/>
    <w:rsid w:val="00BB6B4B"/>
    <w:rsid w:val="00BD0EDE"/>
    <w:rsid w:val="00BD3DA9"/>
    <w:rsid w:val="00BD6C3E"/>
    <w:rsid w:val="00BE3674"/>
    <w:rsid w:val="00BF15F8"/>
    <w:rsid w:val="00C06004"/>
    <w:rsid w:val="00C10681"/>
    <w:rsid w:val="00C24A98"/>
    <w:rsid w:val="00C3049A"/>
    <w:rsid w:val="00C31B1E"/>
    <w:rsid w:val="00C37B06"/>
    <w:rsid w:val="00C421A5"/>
    <w:rsid w:val="00C51788"/>
    <w:rsid w:val="00C60666"/>
    <w:rsid w:val="00C6476F"/>
    <w:rsid w:val="00C77645"/>
    <w:rsid w:val="00C86D7B"/>
    <w:rsid w:val="00C938F7"/>
    <w:rsid w:val="00C93DCD"/>
    <w:rsid w:val="00CA5A9D"/>
    <w:rsid w:val="00CB01D2"/>
    <w:rsid w:val="00CB3271"/>
    <w:rsid w:val="00CC3D93"/>
    <w:rsid w:val="00CE04C3"/>
    <w:rsid w:val="00CE76A0"/>
    <w:rsid w:val="00D00CD8"/>
    <w:rsid w:val="00D135E3"/>
    <w:rsid w:val="00D13C55"/>
    <w:rsid w:val="00D148C6"/>
    <w:rsid w:val="00D17A8A"/>
    <w:rsid w:val="00D2118D"/>
    <w:rsid w:val="00D22681"/>
    <w:rsid w:val="00D27EFF"/>
    <w:rsid w:val="00D30778"/>
    <w:rsid w:val="00D315A9"/>
    <w:rsid w:val="00D33BEA"/>
    <w:rsid w:val="00D415BA"/>
    <w:rsid w:val="00D61274"/>
    <w:rsid w:val="00D6285B"/>
    <w:rsid w:val="00D63780"/>
    <w:rsid w:val="00D644EE"/>
    <w:rsid w:val="00D70C48"/>
    <w:rsid w:val="00D75489"/>
    <w:rsid w:val="00D9272B"/>
    <w:rsid w:val="00DA181B"/>
    <w:rsid w:val="00DA2DD9"/>
    <w:rsid w:val="00DC3A5E"/>
    <w:rsid w:val="00DC4ABB"/>
    <w:rsid w:val="00DC73EE"/>
    <w:rsid w:val="00DD06FF"/>
    <w:rsid w:val="00DD5FE9"/>
    <w:rsid w:val="00DD73D1"/>
    <w:rsid w:val="00DE345F"/>
    <w:rsid w:val="00DE6377"/>
    <w:rsid w:val="00DF0E73"/>
    <w:rsid w:val="00DF4139"/>
    <w:rsid w:val="00E00C7A"/>
    <w:rsid w:val="00E0131C"/>
    <w:rsid w:val="00E16568"/>
    <w:rsid w:val="00E17021"/>
    <w:rsid w:val="00E2047D"/>
    <w:rsid w:val="00E209CF"/>
    <w:rsid w:val="00E32479"/>
    <w:rsid w:val="00E32FB9"/>
    <w:rsid w:val="00E37D6C"/>
    <w:rsid w:val="00E437F3"/>
    <w:rsid w:val="00E55B68"/>
    <w:rsid w:val="00E56941"/>
    <w:rsid w:val="00E569EC"/>
    <w:rsid w:val="00E67BE6"/>
    <w:rsid w:val="00E83EFF"/>
    <w:rsid w:val="00E86440"/>
    <w:rsid w:val="00E8683C"/>
    <w:rsid w:val="00E93B43"/>
    <w:rsid w:val="00E973E0"/>
    <w:rsid w:val="00EA1529"/>
    <w:rsid w:val="00EA2B72"/>
    <w:rsid w:val="00EA4FD2"/>
    <w:rsid w:val="00EC1704"/>
    <w:rsid w:val="00EC1EAC"/>
    <w:rsid w:val="00EC5A00"/>
    <w:rsid w:val="00EF3926"/>
    <w:rsid w:val="00EF572B"/>
    <w:rsid w:val="00F02100"/>
    <w:rsid w:val="00F12385"/>
    <w:rsid w:val="00F12FE7"/>
    <w:rsid w:val="00F14645"/>
    <w:rsid w:val="00F20FA7"/>
    <w:rsid w:val="00F32899"/>
    <w:rsid w:val="00F40980"/>
    <w:rsid w:val="00F53754"/>
    <w:rsid w:val="00F54C4A"/>
    <w:rsid w:val="00F74360"/>
    <w:rsid w:val="00F755D7"/>
    <w:rsid w:val="00F80558"/>
    <w:rsid w:val="00F8574F"/>
    <w:rsid w:val="00FB462F"/>
    <w:rsid w:val="00FE16FA"/>
    <w:rsid w:val="00FE328A"/>
    <w:rsid w:val="00FE6269"/>
    <w:rsid w:val="00FF5CD6"/>
    <w:rsid w:val="05633A58"/>
    <w:rsid w:val="06B411F0"/>
    <w:rsid w:val="085C6E7F"/>
    <w:rsid w:val="087403E0"/>
    <w:rsid w:val="0BE56081"/>
    <w:rsid w:val="0C4813F5"/>
    <w:rsid w:val="0C75416B"/>
    <w:rsid w:val="13A41EAD"/>
    <w:rsid w:val="13BE003E"/>
    <w:rsid w:val="17A87124"/>
    <w:rsid w:val="1C164652"/>
    <w:rsid w:val="1F45794B"/>
    <w:rsid w:val="1F53381B"/>
    <w:rsid w:val="267C4188"/>
    <w:rsid w:val="27DB542D"/>
    <w:rsid w:val="2CDA5AF8"/>
    <w:rsid w:val="2ED964C1"/>
    <w:rsid w:val="366364DD"/>
    <w:rsid w:val="370B6762"/>
    <w:rsid w:val="3A0B247B"/>
    <w:rsid w:val="45F9639D"/>
    <w:rsid w:val="48ED43E7"/>
    <w:rsid w:val="51683AA1"/>
    <w:rsid w:val="5B1B1377"/>
    <w:rsid w:val="60A907EA"/>
    <w:rsid w:val="6145544E"/>
    <w:rsid w:val="70580045"/>
    <w:rsid w:val="738E2E02"/>
    <w:rsid w:val="7EC7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3540</Words>
  <Characters>3893</Characters>
  <Lines>26</Lines>
  <Paragraphs>7</Paragraphs>
  <TotalTime>2</TotalTime>
  <ScaleCrop>false</ScaleCrop>
  <LinksUpToDate>false</LinksUpToDate>
  <CharactersWithSpaces>3906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 ～</cp:lastModifiedBy>
  <cp:lastPrinted>2022-07-27T12:55:00Z</cp:lastPrinted>
  <dcterms:modified xsi:type="dcterms:W3CDTF">2023-04-24T09:10:28Z</dcterms:modified>
  <cp:revision>716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4B7E939BAD21479ABCDD799D64279BDF_13</vt:lpwstr>
  </property>
</Properties>
</file>