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附件2-1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岳阳楼区2021年度部门（单位）整体支出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岳阳市岳阳楼区站前路街道办事处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800024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报告日期：2022年5月 11日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6"/>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6"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冯金彪</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19106005678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63</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autoSpaceDN w:val="0"/>
              <w:spacing w:line="400" w:lineRule="exact"/>
              <w:textAlignment w:val="center"/>
              <w:rPr>
                <w:rFonts w:hint="eastAsia" w:ascii="仿宋" w:hAnsi="仿宋" w:eastAsia="仿宋" w:cs="仿宋_GB2312"/>
                <w:color w:val="000000"/>
                <w:sz w:val="24"/>
              </w:rPr>
            </w:pPr>
            <w:r>
              <w:rPr>
                <w:rFonts w:hint="eastAsia" w:ascii="仿宋" w:hAnsi="仿宋" w:eastAsia="仿宋" w:cs="仿宋_GB2312"/>
                <w:color w:val="000000"/>
                <w:sz w:val="24"/>
              </w:rPr>
              <w:t>1、在区委、区政府的领导下，贯彻执行党和国家的各项方针、政策、法律、法规；负责辖区内的地区性、群众性、公益性、社会性工作。2、负责辖区内的社会治安综合治理、环境卫生、社会救济、计划生育、劳动就业、安全生产等工作。3、发展街道经济，制定街道经济发展规划，检查、督促各经济组织开展工作。4、完成区委区政府交办的其他事项。</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autoSpaceDN w:val="0"/>
              <w:spacing w:line="400" w:lineRule="exact"/>
              <w:jc w:val="left"/>
              <w:textAlignment w:val="center"/>
              <w:rPr>
                <w:rFonts w:hint="eastAsia" w:ascii="仿宋" w:hAnsi="仿宋" w:eastAsia="仿宋" w:cs="仿宋_GB2312"/>
                <w:color w:val="000000"/>
                <w:sz w:val="24"/>
              </w:rPr>
            </w:pPr>
            <w:r>
              <w:rPr>
                <w:rFonts w:hint="eastAsia" w:ascii="仿宋" w:hAnsi="仿宋" w:eastAsia="仿宋" w:cs="宋体"/>
                <w:bCs/>
                <w:kern w:val="0"/>
                <w:sz w:val="24"/>
              </w:rPr>
              <w:t>一、常抓学习，提升整体素质</w:t>
            </w:r>
          </w:p>
          <w:p>
            <w:pPr>
              <w:jc w:val="left"/>
              <w:rPr>
                <w:rFonts w:hint="eastAsia" w:ascii="仿宋" w:hAnsi="仿宋" w:eastAsia="仿宋" w:cs="宋体"/>
                <w:bCs/>
                <w:kern w:val="0"/>
                <w:sz w:val="24"/>
              </w:rPr>
            </w:pPr>
            <w:r>
              <w:rPr>
                <w:rFonts w:hint="eastAsia" w:ascii="仿宋" w:hAnsi="仿宋" w:eastAsia="仿宋" w:cs="黑体"/>
                <w:bCs/>
                <w:sz w:val="24"/>
              </w:rPr>
              <w:t>二、</w:t>
            </w:r>
            <w:r>
              <w:rPr>
                <w:rFonts w:hint="eastAsia" w:ascii="仿宋" w:hAnsi="仿宋" w:eastAsia="仿宋" w:cs="宋体"/>
                <w:bCs/>
                <w:kern w:val="0"/>
                <w:sz w:val="24"/>
              </w:rPr>
              <w:t>抢抓机遇，提速街道发展</w:t>
            </w:r>
          </w:p>
          <w:p>
            <w:pPr>
              <w:pStyle w:val="5"/>
              <w:shd w:val="clear" w:color="auto" w:fill="FFFFFF"/>
              <w:spacing w:before="0" w:beforeAutospacing="0" w:after="0" w:afterAutospacing="0"/>
              <w:rPr>
                <w:rFonts w:hint="eastAsia" w:ascii="仿宋" w:hAnsi="仿宋" w:eastAsia="仿宋"/>
                <w:color w:val="000000"/>
              </w:rPr>
            </w:pPr>
            <w:r>
              <w:rPr>
                <w:rFonts w:hint="eastAsia" w:ascii="仿宋" w:hAnsi="仿宋" w:eastAsia="仿宋"/>
              </w:rPr>
              <w:t>三、</w:t>
            </w:r>
            <w:r>
              <w:rPr>
                <w:rFonts w:hint="eastAsia" w:ascii="仿宋" w:hAnsi="仿宋" w:eastAsia="仿宋"/>
                <w:color w:val="000000"/>
              </w:rPr>
              <w:t>勤抓普法，提高法治水平</w:t>
            </w:r>
          </w:p>
          <w:p>
            <w:pPr>
              <w:rPr>
                <w:rFonts w:hint="eastAsia" w:ascii="仿宋" w:hAnsi="仿宋" w:eastAsia="仿宋" w:cs="宋体"/>
                <w:bCs/>
                <w:color w:val="333333"/>
                <w:spacing w:val="10"/>
                <w:kern w:val="0"/>
                <w:sz w:val="24"/>
              </w:rPr>
            </w:pPr>
            <w:r>
              <w:rPr>
                <w:rFonts w:hint="eastAsia" w:ascii="仿宋" w:hAnsi="仿宋" w:eastAsia="仿宋"/>
                <w:bCs/>
                <w:color w:val="000000"/>
                <w:sz w:val="24"/>
              </w:rPr>
              <w:t>四、</w:t>
            </w:r>
            <w:r>
              <w:rPr>
                <w:rFonts w:hint="eastAsia" w:ascii="仿宋" w:hAnsi="仿宋" w:eastAsia="仿宋" w:cs="黑体"/>
                <w:bCs/>
                <w:sz w:val="24"/>
              </w:rPr>
              <w:t>紧抓党建，提质基层基础</w:t>
            </w:r>
          </w:p>
          <w:p>
            <w:pPr>
              <w:autoSpaceDN w:val="0"/>
              <w:spacing w:line="320" w:lineRule="exact"/>
              <w:jc w:val="left"/>
              <w:textAlignment w:val="center"/>
              <w:rPr>
                <w:rFonts w:hint="eastAsia" w:ascii="仿宋" w:hAnsi="仿宋" w:eastAsia="仿宋" w:cs="仿宋_GB2312"/>
                <w:color w:val="000000"/>
                <w:sz w:val="24"/>
              </w:rPr>
            </w:pPr>
            <w:r>
              <w:rPr>
                <w:rFonts w:hint="eastAsia" w:ascii="仿宋" w:hAnsi="仿宋" w:eastAsia="仿宋"/>
                <w:bCs/>
                <w:color w:val="323E32"/>
                <w:sz w:val="24"/>
              </w:rPr>
              <w:t>五、狠抓主责，提振队伍状态</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numPr>
                <w:ilvl w:val="0"/>
                <w:numId w:val="1"/>
              </w:numPr>
              <w:jc w:val="left"/>
              <w:rPr>
                <w:rFonts w:hint="eastAsia" w:ascii="仿宋" w:hAnsi="仿宋" w:eastAsia="仿宋"/>
                <w:sz w:val="24"/>
              </w:rPr>
            </w:pPr>
            <w:r>
              <w:rPr>
                <w:rFonts w:hint="eastAsia" w:ascii="仿宋" w:hAnsi="仿宋" w:eastAsia="仿宋"/>
                <w:sz w:val="24"/>
              </w:rPr>
              <w:t>坚持以党建为总揽，凝聚干部合力。围绕加强党对街道工作的集中领导，先后召开16次工委会，就重点工作进行安排部署，确保街道各项工作始终与区委区政府保持高度一致。机关全年</w:t>
            </w:r>
            <w:bookmarkStart w:id="0" w:name="_GoBack"/>
            <w:bookmarkEnd w:id="0"/>
            <w:r>
              <w:rPr>
                <w:rFonts w:hint="eastAsia" w:ascii="仿宋" w:hAnsi="仿宋" w:eastAsia="仿宋"/>
                <w:sz w:val="24"/>
              </w:rPr>
              <w:t>组织党员学习十九大精神、新《党章》、新《纪律处分条例》等学习33次组织各类党建主体活动12次。</w:t>
            </w:r>
          </w:p>
          <w:p>
            <w:pPr>
              <w:ind w:left="360" w:hanging="360" w:hangingChars="150"/>
              <w:jc w:val="left"/>
              <w:rPr>
                <w:rFonts w:ascii="仿宋" w:hAnsi="仿宋" w:eastAsia="仿宋" w:cs="宋体"/>
                <w:sz w:val="24"/>
              </w:rPr>
            </w:pPr>
            <w:r>
              <w:rPr>
                <w:rFonts w:hint="eastAsia" w:ascii="仿宋" w:hAnsi="仿宋" w:eastAsia="仿宋"/>
                <w:sz w:val="24"/>
              </w:rPr>
              <w:t>2. 坚持以项目为抓手，培育增长动力。按照区委提出的“拆建并重、以建为主”“集中力量办大事”工作要求，强力推进2个城市建设项目</w:t>
            </w:r>
          </w:p>
          <w:p>
            <w:pPr>
              <w:ind w:left="360" w:hanging="360" w:hangingChars="150"/>
              <w:jc w:val="left"/>
              <w:rPr>
                <w:rFonts w:hint="eastAsia" w:ascii="仿宋" w:hAnsi="仿宋" w:eastAsia="仿宋"/>
                <w:sz w:val="24"/>
              </w:rPr>
            </w:pPr>
            <w:r>
              <w:rPr>
                <w:rFonts w:hint="eastAsia" w:ascii="仿宋" w:hAnsi="仿宋" w:eastAsia="仿宋"/>
                <w:sz w:val="24"/>
              </w:rPr>
              <w:t>3. 坚持以稳定为基石，化解矛盾压力。始终把维护一方平安稳定作为最大政治任务，严格落实干部坐班接访、重点信访问题班子包案、群众上访主要负责同志底一时间接访等工作机制，全面开展扫黑除恶及社区禁毒工作，加大巡逻防控力度，构建以公安专业巡逻为主、片区专职巡逻为辅、义务群防群治组织为补充的巡防网格。</w:t>
            </w:r>
          </w:p>
          <w:p>
            <w:pPr>
              <w:jc w:val="left"/>
              <w:rPr>
                <w:rFonts w:ascii="仿宋" w:hAnsi="仿宋" w:eastAsia="仿宋" w:cs="仿宋_GB2312"/>
                <w:color w:val="000000"/>
                <w:sz w:val="24"/>
              </w:rPr>
            </w:pPr>
            <w:r>
              <w:rPr>
                <w:rFonts w:hint="eastAsia" w:ascii="仿宋" w:hAnsi="仿宋" w:eastAsia="仿宋" w:cs="宋体"/>
                <w:sz w:val="24"/>
              </w:rPr>
              <w:t>4.坚持以人民为中心，提升服务能力。扎实推进五个“一公里公共服务圈”建设，优化窗口服务与环境治理齐抓并进，人居环境不断得到改善。今年共登记居民服务事件22770件，受理公共服务事项495起，为辖区低保、残疾、特扶、特困等1750户特殊人群签订了免费“基础服务包”。全年共帮扶贫困家庭17户，帮助贫困学生12人，提供就业岗位26个，慰问下岗职工70人。</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3"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38" w:hRule="atLeast"/>
          <w:jc w:val="center"/>
        </w:trPr>
        <w:tc>
          <w:tcPr>
            <w:tcW w:w="170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站办</w:t>
            </w:r>
          </w:p>
        </w:tc>
        <w:tc>
          <w:tcPr>
            <w:tcW w:w="1080"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1925.97</w:t>
            </w:r>
          </w:p>
        </w:tc>
        <w:tc>
          <w:tcPr>
            <w:tcW w:w="1355" w:type="dxa"/>
            <w:gridSpan w:val="2"/>
            <w:tcBorders>
              <w:lef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0</w:t>
            </w: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1925.97</w:t>
            </w:r>
          </w:p>
        </w:tc>
        <w:tc>
          <w:tcPr>
            <w:tcW w:w="1705" w:type="dxa"/>
            <w:gridSpan w:val="2"/>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0</w:t>
            </w: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7"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站办</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1925.97</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1925.97</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1391.75</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534.22</w:t>
            </w:r>
          </w:p>
        </w:tc>
        <w:tc>
          <w:tcPr>
            <w:tcW w:w="1080"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58" w:hRule="atLeast"/>
          <w:jc w:val="center"/>
        </w:trPr>
        <w:tc>
          <w:tcPr>
            <w:tcW w:w="1700" w:type="dxa"/>
            <w:gridSpan w:val="3"/>
            <w:noWrap w:val="0"/>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站办</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11.34</w:t>
            </w: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11.34</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站办</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859.13</w:t>
            </w: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859.13</w:t>
            </w: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774" w:type="dxa"/>
            <w:gridSpan w:val="7"/>
            <w:noWrap w:val="0"/>
            <w:vAlign w:val="center"/>
          </w:tcPr>
          <w:p>
            <w:pPr>
              <w:autoSpaceDN w:val="0"/>
              <w:spacing w:line="400" w:lineRule="exact"/>
              <w:textAlignment w:val="center"/>
              <w:rPr>
                <w:rFonts w:hint="eastAsia" w:ascii="仿宋" w:hAnsi="仿宋" w:eastAsia="仿宋" w:cs="仿宋_GB2312"/>
                <w:color w:val="000000"/>
                <w:sz w:val="24"/>
                <w:szCs w:val="24"/>
              </w:rPr>
            </w:pPr>
            <w:r>
              <w:rPr>
                <w:rFonts w:hint="eastAsia" w:ascii="仿宋" w:hAnsi="仿宋" w:eastAsia="仿宋" w:cs="仿宋_GB2312"/>
                <w:color w:val="000000"/>
                <w:sz w:val="24"/>
                <w:szCs w:val="24"/>
              </w:rPr>
              <w:t>目标1：财政供养人员控制率100%，“三公”经费控制到位，重点项目资金安排到位。</w:t>
            </w:r>
          </w:p>
          <w:p>
            <w:pPr>
              <w:autoSpaceDN w:val="0"/>
              <w:spacing w:line="400" w:lineRule="exact"/>
              <w:textAlignment w:val="center"/>
              <w:rPr>
                <w:rFonts w:ascii="仿宋" w:hAnsi="仿宋" w:eastAsia="仿宋" w:cs="仿宋_GB2312"/>
                <w:color w:val="000000"/>
                <w:sz w:val="24"/>
                <w:szCs w:val="24"/>
              </w:rPr>
            </w:pPr>
            <w:r>
              <w:rPr>
                <w:rFonts w:hint="eastAsia" w:ascii="仿宋" w:hAnsi="仿宋" w:eastAsia="仿宋" w:cs="仿宋_GB2312"/>
                <w:color w:val="000000"/>
                <w:sz w:val="24"/>
                <w:szCs w:val="24"/>
              </w:rPr>
              <w:t>目标2：控制预算调整率，资金支付进度正常，资金结余控制到位，“三公”经费支出控制到位，资金管理和使用合规，信息公开完善，执行政府采</w:t>
            </w:r>
          </w:p>
          <w:p>
            <w:pPr>
              <w:autoSpaceDN w:val="0"/>
              <w:spacing w:line="400" w:lineRule="exact"/>
              <w:textAlignment w:val="center"/>
              <w:rPr>
                <w:rFonts w:hint="eastAsia" w:ascii="仿宋" w:hAnsi="仿宋" w:eastAsia="仿宋" w:cs="仿宋_GB2312"/>
                <w:color w:val="000000"/>
                <w:sz w:val="24"/>
                <w:szCs w:val="24"/>
              </w:rPr>
            </w:pPr>
            <w:r>
              <w:rPr>
                <w:rFonts w:hint="eastAsia" w:ascii="仿宋" w:hAnsi="仿宋" w:eastAsia="仿宋" w:cs="仿宋_GB2312"/>
                <w:color w:val="000000"/>
                <w:sz w:val="24"/>
                <w:szCs w:val="24"/>
              </w:rPr>
              <w:t>购及公务卡使用规范。</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szCs w:val="24"/>
              </w:rPr>
              <w:t>目标3：资产管理制度健全，安全管理，利用率100%。</w:t>
            </w:r>
          </w:p>
        </w:tc>
        <w:tc>
          <w:tcPr>
            <w:tcW w:w="4585" w:type="dxa"/>
            <w:gridSpan w:val="9"/>
            <w:noWrap w:val="0"/>
            <w:vAlign w:val="center"/>
          </w:tcPr>
          <w:p>
            <w:pPr>
              <w:autoSpaceDN w:val="0"/>
              <w:spacing w:line="400" w:lineRule="exact"/>
              <w:textAlignment w:val="center"/>
              <w:rPr>
                <w:rFonts w:hint="eastAsia" w:ascii="仿宋" w:hAnsi="仿宋" w:eastAsia="仿宋" w:cs="仿宋_GB2312"/>
                <w:color w:val="000000"/>
                <w:sz w:val="24"/>
                <w:szCs w:val="24"/>
              </w:rPr>
            </w:pPr>
            <w:r>
              <w:rPr>
                <w:rFonts w:hint="eastAsia" w:ascii="仿宋" w:hAnsi="仿宋" w:eastAsia="仿宋" w:cs="仿宋_GB2312"/>
                <w:color w:val="000000"/>
                <w:sz w:val="24"/>
                <w:szCs w:val="24"/>
              </w:rPr>
              <w:t>目标1：财政供养人员控制率100%，“三公”经费控制到位，重点项目资金安排到位。</w:t>
            </w:r>
          </w:p>
          <w:p>
            <w:pPr>
              <w:autoSpaceDN w:val="0"/>
              <w:spacing w:line="400" w:lineRule="exact"/>
              <w:textAlignment w:val="center"/>
              <w:rPr>
                <w:rFonts w:hint="eastAsia" w:ascii="仿宋" w:hAnsi="仿宋" w:eastAsia="仿宋" w:cs="仿宋_GB2312"/>
                <w:color w:val="000000"/>
                <w:sz w:val="24"/>
                <w:szCs w:val="24"/>
              </w:rPr>
            </w:pPr>
            <w:r>
              <w:rPr>
                <w:rFonts w:hint="eastAsia" w:ascii="仿宋" w:hAnsi="仿宋" w:eastAsia="仿宋" w:cs="仿宋_GB2312"/>
                <w:color w:val="000000"/>
                <w:sz w:val="24"/>
                <w:szCs w:val="24"/>
              </w:rPr>
              <w:t>目标2：控制预算调整率，资金支付进度正常，资金结余控制到位，“三公”经费支出控制到位，资金管理和使用合规，信息公开完善，执行政府采购及公务卡使用规范。</w:t>
            </w:r>
          </w:p>
          <w:p>
            <w:pPr>
              <w:tabs>
                <w:tab w:val="left" w:pos="263"/>
              </w:tabs>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szCs w:val="24"/>
              </w:rPr>
              <w:t>目标3：资产管理制度健全，安全管理，利用率100%。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绩效考评覆盖机关、站所及社区</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群众走访不低于100次，400户</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上半年、下半年绩效评价测评</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表彰奖励先进单位及个人</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社会治安稳定，不发生重大安全事故</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政府奖励不低于2万元</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人居环境明显改善，卫生整治效果突出</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综治民调提质，公众安全感满意度提高</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 w:hAnsi="仿宋" w:eastAsia="仿宋"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陈百世</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办事处主任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站办</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袁子尧</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办事处副主任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站办</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冯金彪</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财政所所长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站办</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邹爱琼</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 w:hAnsi="仿宋" w:eastAsia="仿宋" w:cs="仿宋_GB2312"/>
                <w:color w:val="000000"/>
                <w:sz w:val="24"/>
              </w:rPr>
              <w:t>财政所副所长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站办</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ind w:firstLine="420" w:firstLineChars="150"/>
              <w:rPr>
                <w:rFonts w:hint="eastAsia" w:ascii="仿宋" w:hAnsi="仿宋" w:eastAsia="仿宋"/>
                <w:sz w:val="28"/>
                <w:szCs w:val="28"/>
              </w:rPr>
            </w:pPr>
            <w:r>
              <w:rPr>
                <w:rFonts w:hint="eastAsia" w:ascii="仿宋" w:hAnsi="仿宋" w:eastAsia="仿宋"/>
                <w:sz w:val="28"/>
                <w:szCs w:val="28"/>
              </w:rPr>
              <w:t>根据《岳阳楼区财政局关于开展2021年度部门整体支出绩效自评工作的通知》的文件要求，我街道办事处对2021年度财政支出进行了整体部门支出绩效评价，现将有关情况汇报如下。</w:t>
            </w:r>
          </w:p>
          <w:p>
            <w:pPr>
              <w:ind w:firstLine="420" w:firstLineChars="150"/>
              <w:rPr>
                <w:rFonts w:hint="eastAsia" w:ascii="仿宋" w:hAnsi="仿宋" w:eastAsia="仿宋"/>
                <w:sz w:val="28"/>
                <w:szCs w:val="28"/>
              </w:rPr>
            </w:pPr>
            <w:r>
              <w:rPr>
                <w:rFonts w:hint="eastAsia" w:ascii="仿宋" w:hAnsi="仿宋" w:eastAsia="仿宋"/>
                <w:sz w:val="28"/>
                <w:szCs w:val="28"/>
              </w:rPr>
              <w:t>一、站前路街道办事处概况</w:t>
            </w:r>
          </w:p>
          <w:p>
            <w:pPr>
              <w:ind w:firstLine="420" w:firstLineChars="150"/>
              <w:rPr>
                <w:rFonts w:hint="eastAsia" w:ascii="仿宋" w:hAnsi="仿宋" w:eastAsia="仿宋"/>
                <w:sz w:val="28"/>
                <w:szCs w:val="28"/>
              </w:rPr>
            </w:pPr>
            <w:r>
              <w:rPr>
                <w:rFonts w:hint="eastAsia" w:ascii="仿宋" w:hAnsi="仿宋" w:eastAsia="仿宋"/>
                <w:sz w:val="28"/>
                <w:szCs w:val="28"/>
              </w:rPr>
              <w:t>（一）办事处基本情况</w:t>
            </w:r>
          </w:p>
          <w:p>
            <w:pPr>
              <w:ind w:firstLine="420" w:firstLineChars="150"/>
              <w:rPr>
                <w:rFonts w:hint="eastAsia" w:ascii="仿宋" w:hAnsi="仿宋" w:eastAsia="仿宋"/>
                <w:sz w:val="28"/>
                <w:szCs w:val="28"/>
              </w:rPr>
            </w:pPr>
            <w:r>
              <w:rPr>
                <w:rFonts w:hint="eastAsia" w:ascii="仿宋" w:hAnsi="仿宋" w:eastAsia="仿宋"/>
                <w:sz w:val="28"/>
                <w:szCs w:val="28"/>
              </w:rPr>
              <w:t>站前路街道办事处成立于2006年6月，街道地处城区中心地带，东至建湘北路，西至得胜北路，南至巴陵中路北侧，北至京广铁路线，面积2.02平方公里，辖德胜、新站、铁路、望城岭、连云路5个社区，总人口47128人（其中户籍人口31509人），现有直管党支部6个，直管党员599名。办事处有编制人员63</w:t>
            </w:r>
            <w:r>
              <w:rPr>
                <w:rFonts w:ascii="仿宋" w:hAnsi="仿宋" w:eastAsia="仿宋"/>
                <w:sz w:val="28"/>
                <w:szCs w:val="28"/>
              </w:rPr>
              <w:t>人，其中：在职编制</w:t>
            </w:r>
            <w:r>
              <w:rPr>
                <w:rFonts w:hint="eastAsia" w:ascii="仿宋" w:hAnsi="仿宋" w:eastAsia="仿宋"/>
                <w:sz w:val="28"/>
                <w:szCs w:val="28"/>
              </w:rPr>
              <w:t>52</w:t>
            </w:r>
            <w:r>
              <w:rPr>
                <w:rFonts w:ascii="仿宋" w:hAnsi="仿宋" w:eastAsia="仿宋"/>
                <w:sz w:val="28"/>
                <w:szCs w:val="28"/>
              </w:rPr>
              <w:t>人；离退休</w:t>
            </w:r>
            <w:r>
              <w:rPr>
                <w:rFonts w:hint="eastAsia" w:ascii="仿宋" w:hAnsi="仿宋" w:eastAsia="仿宋"/>
                <w:sz w:val="28"/>
                <w:szCs w:val="28"/>
              </w:rPr>
              <w:t>11</w:t>
            </w:r>
            <w:r>
              <w:rPr>
                <w:rFonts w:ascii="仿宋" w:hAnsi="仿宋" w:eastAsia="仿宋"/>
                <w:sz w:val="28"/>
                <w:szCs w:val="28"/>
              </w:rPr>
              <w:t>人。机关设置</w:t>
            </w:r>
            <w:r>
              <w:rPr>
                <w:rFonts w:hint="eastAsia" w:ascii="仿宋" w:hAnsi="仿宋" w:eastAsia="仿宋"/>
                <w:sz w:val="28"/>
                <w:szCs w:val="28"/>
              </w:rPr>
              <w:t>14</w:t>
            </w:r>
            <w:r>
              <w:rPr>
                <w:rFonts w:ascii="仿宋" w:hAnsi="仿宋" w:eastAsia="仿宋"/>
                <w:sz w:val="28"/>
                <w:szCs w:val="28"/>
              </w:rPr>
              <w:t>个股室：</w:t>
            </w:r>
            <w:r>
              <w:rPr>
                <w:rFonts w:hint="eastAsia" w:ascii="仿宋" w:hAnsi="仿宋" w:eastAsia="仿宋"/>
                <w:sz w:val="28"/>
                <w:szCs w:val="28"/>
              </w:rPr>
              <w:t>党政</w:t>
            </w:r>
            <w:r>
              <w:rPr>
                <w:rFonts w:ascii="仿宋" w:hAnsi="仿宋" w:eastAsia="仿宋"/>
                <w:sz w:val="28"/>
                <w:szCs w:val="28"/>
              </w:rPr>
              <w:t>办公室、</w:t>
            </w:r>
            <w:r>
              <w:rPr>
                <w:rFonts w:hint="eastAsia" w:ascii="仿宋" w:hAnsi="仿宋" w:eastAsia="仿宋"/>
                <w:sz w:val="28"/>
                <w:szCs w:val="28"/>
              </w:rPr>
              <w:t>党建办公室、经济发展办公室、社会事务办公室、综治信访办公室、应急管理办公室、社会事业综合服务中心、产业项目综合服务中心、公共服务和网格化中心、退役军人服务站、综合行政执法大队、环境卫生服务中心、司法所、财政所。</w:t>
            </w:r>
          </w:p>
          <w:p>
            <w:pPr>
              <w:ind w:firstLine="280" w:firstLineChars="100"/>
              <w:rPr>
                <w:rFonts w:hint="eastAsia" w:ascii="仿宋" w:hAnsi="仿宋" w:eastAsia="仿宋"/>
                <w:sz w:val="28"/>
                <w:szCs w:val="28"/>
              </w:rPr>
            </w:pPr>
            <w:r>
              <w:rPr>
                <w:rFonts w:hint="eastAsia" w:ascii="仿宋" w:hAnsi="仿宋" w:eastAsia="仿宋"/>
                <w:sz w:val="28"/>
                <w:szCs w:val="28"/>
              </w:rPr>
              <w:t>（二）办事处2021年度整体支出规模、使用方向和主要内容、涉及范围等</w:t>
            </w:r>
          </w:p>
          <w:p>
            <w:pPr>
              <w:ind w:firstLine="420" w:firstLineChars="150"/>
              <w:rPr>
                <w:rFonts w:hint="eastAsia" w:ascii="仿宋" w:hAnsi="仿宋" w:eastAsia="仿宋"/>
                <w:sz w:val="28"/>
                <w:szCs w:val="28"/>
              </w:rPr>
            </w:pPr>
            <w:r>
              <w:rPr>
                <w:rFonts w:hint="eastAsia" w:ascii="仿宋" w:hAnsi="仿宋" w:eastAsia="仿宋"/>
                <w:sz w:val="28"/>
                <w:szCs w:val="28"/>
              </w:rPr>
              <w:t>2021年总收入</w:t>
            </w:r>
            <w:r>
              <w:rPr>
                <w:rFonts w:hint="eastAsia" w:ascii="仿宋" w:hAnsi="仿宋" w:eastAsia="仿宋"/>
                <w:sz w:val="28"/>
                <w:szCs w:val="28"/>
                <w:lang w:val="en-US" w:eastAsia="zh-CN"/>
              </w:rPr>
              <w:t>1925.97</w:t>
            </w:r>
            <w:r>
              <w:rPr>
                <w:rFonts w:hint="eastAsia" w:ascii="仿宋" w:hAnsi="仿宋" w:eastAsia="仿宋"/>
                <w:sz w:val="28"/>
                <w:szCs w:val="28"/>
              </w:rPr>
              <w:t>万元。基本支出</w:t>
            </w:r>
            <w:r>
              <w:rPr>
                <w:rFonts w:hint="eastAsia" w:ascii="仿宋" w:hAnsi="仿宋" w:eastAsia="仿宋"/>
                <w:sz w:val="28"/>
                <w:szCs w:val="28"/>
                <w:lang w:val="en-US" w:eastAsia="zh-CN"/>
              </w:rPr>
              <w:t>1925.97</w:t>
            </w:r>
            <w:r>
              <w:rPr>
                <w:rFonts w:hint="eastAsia" w:ascii="仿宋" w:hAnsi="仿宋" w:eastAsia="仿宋"/>
                <w:sz w:val="28"/>
                <w:szCs w:val="28"/>
              </w:rPr>
              <w:t>万元，其中人员支出</w:t>
            </w:r>
            <w:r>
              <w:rPr>
                <w:rFonts w:hint="eastAsia" w:ascii="仿宋" w:hAnsi="仿宋" w:eastAsia="仿宋"/>
                <w:sz w:val="28"/>
                <w:szCs w:val="28"/>
                <w:lang w:val="en-US" w:eastAsia="zh-CN"/>
              </w:rPr>
              <w:t>1391.75</w:t>
            </w:r>
            <w:r>
              <w:rPr>
                <w:rFonts w:hint="eastAsia" w:ascii="仿宋" w:hAnsi="仿宋" w:eastAsia="仿宋"/>
                <w:sz w:val="28"/>
                <w:szCs w:val="28"/>
              </w:rPr>
              <w:t>万元，公用支出</w:t>
            </w:r>
            <w:r>
              <w:rPr>
                <w:rFonts w:hint="eastAsia" w:ascii="仿宋" w:hAnsi="仿宋" w:eastAsia="仿宋"/>
                <w:sz w:val="28"/>
                <w:szCs w:val="28"/>
                <w:lang w:val="en-US" w:eastAsia="zh-CN"/>
              </w:rPr>
              <w:t>534.22</w:t>
            </w:r>
            <w:r>
              <w:rPr>
                <w:rFonts w:hint="eastAsia" w:ascii="仿宋" w:hAnsi="仿宋" w:eastAsia="仿宋"/>
                <w:sz w:val="28"/>
                <w:szCs w:val="28"/>
              </w:rPr>
              <w:t>万元，结余0万元。基本支出是指为保障单位机构正常运转、完成日常工作任务而发生的各项支出，包括用于基本工资、津贴补贴等人员经费以及办公费、印刷费、水电费、办公设备购置等日常公用经费（包括固定资产折旧费）开支。</w:t>
            </w:r>
          </w:p>
          <w:p>
            <w:pPr>
              <w:ind w:firstLine="420" w:firstLineChars="150"/>
              <w:rPr>
                <w:rFonts w:hint="eastAsia" w:ascii="仿宋" w:hAnsi="仿宋" w:eastAsia="仿宋"/>
                <w:sz w:val="28"/>
                <w:szCs w:val="28"/>
              </w:rPr>
            </w:pPr>
            <w:r>
              <w:rPr>
                <w:rFonts w:hint="eastAsia" w:ascii="仿宋" w:hAnsi="仿宋" w:eastAsia="仿宋"/>
                <w:sz w:val="28"/>
                <w:szCs w:val="28"/>
              </w:rPr>
              <w:t>二、站前路办事处整体支出管理及使用情况</w:t>
            </w:r>
          </w:p>
          <w:p>
            <w:pPr>
              <w:ind w:firstLine="420" w:firstLineChars="150"/>
              <w:rPr>
                <w:rFonts w:hint="eastAsia" w:ascii="仿宋" w:hAnsi="仿宋" w:eastAsia="仿宋"/>
                <w:sz w:val="28"/>
                <w:szCs w:val="28"/>
              </w:rPr>
            </w:pPr>
            <w:r>
              <w:rPr>
                <w:rFonts w:hint="eastAsia" w:ascii="仿宋" w:hAnsi="仿宋" w:eastAsia="仿宋"/>
                <w:sz w:val="28"/>
                <w:szCs w:val="28"/>
              </w:rPr>
              <w:t>在区财政局的指导下，结合我办事处的实际，成立了部门整体支出绩效评价工作领导小组，从收入、支出、资产管理、预算调整、三公经费控制等方面进行了考评，评定93.5分，属于优秀等次，整体支出遵照预算执行，符合相关法律法规的规定。</w:t>
            </w:r>
          </w:p>
          <w:p>
            <w:pPr>
              <w:ind w:firstLine="420" w:firstLineChars="150"/>
              <w:rPr>
                <w:rFonts w:hint="eastAsia" w:ascii="仿宋" w:hAnsi="仿宋" w:eastAsia="仿宋"/>
                <w:sz w:val="28"/>
                <w:szCs w:val="28"/>
              </w:rPr>
            </w:pPr>
            <w:r>
              <w:rPr>
                <w:rFonts w:hint="eastAsia" w:ascii="仿宋" w:hAnsi="仿宋" w:eastAsia="仿宋"/>
                <w:sz w:val="28"/>
                <w:szCs w:val="28"/>
              </w:rPr>
              <w:t>（一）、基本支出</w:t>
            </w:r>
          </w:p>
          <w:p>
            <w:pPr>
              <w:rPr>
                <w:rFonts w:hint="eastAsia" w:ascii="仿宋" w:hAnsi="仿宋" w:eastAsia="仿宋"/>
                <w:sz w:val="28"/>
                <w:szCs w:val="28"/>
              </w:rPr>
            </w:pPr>
            <w:r>
              <w:rPr>
                <w:rFonts w:hint="eastAsia" w:ascii="仿宋" w:hAnsi="仿宋" w:eastAsia="仿宋"/>
                <w:sz w:val="28"/>
                <w:szCs w:val="28"/>
              </w:rPr>
              <w:t xml:space="preserve">      2021年站前路街道办事处全年总支出</w:t>
            </w:r>
            <w:r>
              <w:rPr>
                <w:rFonts w:hint="eastAsia" w:ascii="仿宋" w:hAnsi="仿宋" w:eastAsia="仿宋"/>
                <w:sz w:val="28"/>
                <w:szCs w:val="28"/>
                <w:lang w:val="en-US" w:eastAsia="zh-CN"/>
              </w:rPr>
              <w:t>1925.97</w:t>
            </w:r>
            <w:r>
              <w:rPr>
                <w:rFonts w:hint="eastAsia" w:ascii="仿宋" w:hAnsi="仿宋" w:eastAsia="仿宋"/>
                <w:sz w:val="28"/>
                <w:szCs w:val="28"/>
              </w:rPr>
              <w:t>万元，其中工资福利支出</w:t>
            </w:r>
            <w:r>
              <w:rPr>
                <w:rFonts w:hint="eastAsia" w:ascii="仿宋" w:hAnsi="仿宋" w:eastAsia="仿宋"/>
                <w:sz w:val="28"/>
                <w:szCs w:val="28"/>
                <w:lang w:val="en-US" w:eastAsia="zh-CN"/>
              </w:rPr>
              <w:t>1391.75</w:t>
            </w:r>
            <w:r>
              <w:rPr>
                <w:rFonts w:hint="eastAsia" w:ascii="仿宋" w:hAnsi="仿宋" w:eastAsia="仿宋"/>
                <w:sz w:val="28"/>
                <w:szCs w:val="28"/>
              </w:rPr>
              <w:t>万元，商品和服务支出</w:t>
            </w:r>
            <w:r>
              <w:rPr>
                <w:rFonts w:hint="eastAsia" w:ascii="仿宋" w:hAnsi="仿宋" w:eastAsia="仿宋"/>
                <w:sz w:val="28"/>
                <w:szCs w:val="28"/>
                <w:lang w:val="en-US" w:eastAsia="zh-CN"/>
              </w:rPr>
              <w:t>534.22</w:t>
            </w:r>
            <w:r>
              <w:rPr>
                <w:rFonts w:hint="eastAsia" w:ascii="仿宋" w:hAnsi="仿宋" w:eastAsia="仿宋"/>
                <w:sz w:val="28"/>
                <w:szCs w:val="28"/>
              </w:rPr>
              <w:t>万元，固定资产折旧费96.12万元。</w:t>
            </w:r>
          </w:p>
          <w:p>
            <w:pPr>
              <w:ind w:firstLine="420" w:firstLineChars="150"/>
              <w:rPr>
                <w:rFonts w:hint="eastAsia" w:ascii="仿宋" w:hAnsi="仿宋" w:eastAsia="仿宋"/>
                <w:sz w:val="28"/>
                <w:szCs w:val="28"/>
              </w:rPr>
            </w:pPr>
            <w:r>
              <w:rPr>
                <w:rFonts w:hint="eastAsia" w:ascii="仿宋" w:hAnsi="仿宋" w:eastAsia="仿宋"/>
                <w:sz w:val="28"/>
                <w:szCs w:val="28"/>
              </w:rPr>
              <w:t>1.资金安排落实、总投入等情况分析</w:t>
            </w:r>
          </w:p>
          <w:p>
            <w:pPr>
              <w:ind w:firstLine="420" w:firstLineChars="150"/>
              <w:rPr>
                <w:rFonts w:hint="eastAsia" w:ascii="仿宋" w:hAnsi="仿宋" w:eastAsia="仿宋"/>
                <w:sz w:val="28"/>
                <w:szCs w:val="28"/>
              </w:rPr>
            </w:pPr>
            <w:r>
              <w:rPr>
                <w:rFonts w:hint="eastAsia" w:ascii="仿宋" w:hAnsi="仿宋" w:eastAsia="仿宋"/>
                <w:sz w:val="28"/>
                <w:szCs w:val="28"/>
              </w:rPr>
              <w:t>站办2021年度全年总收入</w:t>
            </w:r>
            <w:r>
              <w:rPr>
                <w:rFonts w:hint="eastAsia" w:ascii="仿宋" w:hAnsi="仿宋" w:eastAsia="仿宋"/>
                <w:sz w:val="28"/>
                <w:szCs w:val="28"/>
                <w:lang w:val="en-US" w:eastAsia="zh-CN"/>
              </w:rPr>
              <w:t>1925.97</w:t>
            </w:r>
            <w:r>
              <w:rPr>
                <w:rFonts w:hint="eastAsia" w:ascii="仿宋" w:hAnsi="仿宋" w:eastAsia="仿宋"/>
                <w:sz w:val="28"/>
                <w:szCs w:val="28"/>
              </w:rPr>
              <w:t>万元，其中公共财政拨款</w:t>
            </w:r>
            <w:r>
              <w:rPr>
                <w:rFonts w:hint="eastAsia" w:ascii="仿宋" w:hAnsi="仿宋" w:eastAsia="仿宋"/>
                <w:sz w:val="28"/>
                <w:szCs w:val="28"/>
                <w:lang w:val="en-US" w:eastAsia="zh-CN"/>
              </w:rPr>
              <w:t>1925.97</w:t>
            </w:r>
            <w:r>
              <w:rPr>
                <w:rFonts w:hint="eastAsia" w:ascii="仿宋" w:hAnsi="仿宋" w:eastAsia="仿宋"/>
                <w:sz w:val="28"/>
                <w:szCs w:val="28"/>
              </w:rPr>
              <w:t>万元，纳入专户管理的非税收入拨款</w:t>
            </w:r>
            <w:r>
              <w:rPr>
                <w:rFonts w:hint="eastAsia" w:ascii="仿宋" w:hAnsi="仿宋" w:eastAsia="仿宋"/>
                <w:sz w:val="28"/>
                <w:szCs w:val="28"/>
                <w:lang w:val="en-US" w:eastAsia="zh-CN"/>
              </w:rPr>
              <w:t>0</w:t>
            </w:r>
            <w:r>
              <w:rPr>
                <w:rFonts w:hint="eastAsia" w:ascii="仿宋" w:hAnsi="仿宋" w:eastAsia="仿宋"/>
                <w:sz w:val="28"/>
                <w:szCs w:val="28"/>
              </w:rPr>
              <w:t>万元，其他收入</w:t>
            </w:r>
            <w:r>
              <w:rPr>
                <w:rFonts w:hint="eastAsia" w:ascii="仿宋" w:hAnsi="仿宋" w:eastAsia="仿宋"/>
                <w:sz w:val="28"/>
                <w:szCs w:val="28"/>
                <w:lang w:val="en-US" w:eastAsia="zh-CN"/>
              </w:rPr>
              <w:t>0</w:t>
            </w:r>
            <w:r>
              <w:rPr>
                <w:rFonts w:hint="eastAsia" w:ascii="仿宋" w:hAnsi="仿宋" w:eastAsia="仿宋"/>
                <w:sz w:val="28"/>
                <w:szCs w:val="28"/>
              </w:rPr>
              <w:t>万元,上年结转</w:t>
            </w:r>
            <w:r>
              <w:rPr>
                <w:rFonts w:hint="eastAsia" w:ascii="仿宋" w:hAnsi="仿宋" w:eastAsia="仿宋"/>
                <w:sz w:val="28"/>
                <w:szCs w:val="28"/>
                <w:lang w:val="en-US" w:eastAsia="zh-CN"/>
              </w:rPr>
              <w:t>0</w:t>
            </w:r>
            <w:r>
              <w:rPr>
                <w:rFonts w:hint="eastAsia" w:ascii="仿宋" w:hAnsi="仿宋" w:eastAsia="仿宋"/>
                <w:sz w:val="28"/>
                <w:szCs w:val="28"/>
              </w:rPr>
              <w:t>万元。全年总支出</w:t>
            </w:r>
            <w:r>
              <w:rPr>
                <w:rFonts w:hint="eastAsia" w:ascii="仿宋" w:hAnsi="仿宋" w:eastAsia="仿宋"/>
                <w:sz w:val="28"/>
                <w:szCs w:val="28"/>
                <w:lang w:val="en-US" w:eastAsia="zh-CN"/>
              </w:rPr>
              <w:t>1925.97</w:t>
            </w:r>
            <w:r>
              <w:rPr>
                <w:rFonts w:hint="eastAsia" w:ascii="仿宋" w:hAnsi="仿宋" w:eastAsia="仿宋"/>
                <w:sz w:val="28"/>
                <w:szCs w:val="28"/>
              </w:rPr>
              <w:t>万元，其中工资福利支出</w:t>
            </w:r>
            <w:r>
              <w:rPr>
                <w:rFonts w:hint="eastAsia" w:ascii="仿宋" w:hAnsi="仿宋" w:eastAsia="仿宋"/>
                <w:sz w:val="28"/>
                <w:szCs w:val="28"/>
                <w:lang w:val="en-US" w:eastAsia="zh-CN"/>
              </w:rPr>
              <w:t>1391.75</w:t>
            </w:r>
            <w:r>
              <w:rPr>
                <w:rFonts w:hint="eastAsia" w:ascii="仿宋" w:hAnsi="仿宋" w:eastAsia="仿宋"/>
                <w:sz w:val="28"/>
                <w:szCs w:val="28"/>
              </w:rPr>
              <w:t>万元，商品服务支出</w:t>
            </w:r>
            <w:r>
              <w:rPr>
                <w:rFonts w:hint="eastAsia" w:ascii="仿宋" w:hAnsi="仿宋" w:eastAsia="仿宋"/>
                <w:sz w:val="28"/>
                <w:szCs w:val="28"/>
                <w:lang w:val="en-US" w:eastAsia="zh-CN"/>
              </w:rPr>
              <w:t>534.22</w:t>
            </w:r>
            <w:r>
              <w:rPr>
                <w:rFonts w:hint="eastAsia" w:ascii="仿宋" w:hAnsi="仿宋" w:eastAsia="仿宋"/>
                <w:sz w:val="28"/>
                <w:szCs w:val="28"/>
              </w:rPr>
              <w:t>万元（其中公务接待费11.34万元）。年度结余0万元。</w:t>
            </w:r>
          </w:p>
          <w:p>
            <w:pPr>
              <w:ind w:firstLine="420" w:firstLineChars="150"/>
              <w:rPr>
                <w:rFonts w:hint="eastAsia" w:ascii="仿宋" w:hAnsi="仿宋" w:eastAsia="仿宋"/>
                <w:sz w:val="28"/>
                <w:szCs w:val="28"/>
              </w:rPr>
            </w:pPr>
            <w:r>
              <w:rPr>
                <w:rFonts w:hint="eastAsia" w:ascii="仿宋" w:hAnsi="仿宋" w:eastAsia="仿宋"/>
                <w:sz w:val="28"/>
                <w:szCs w:val="28"/>
              </w:rPr>
              <w:t>2．“三公”经费支出与管理</w:t>
            </w:r>
          </w:p>
          <w:p>
            <w:pPr>
              <w:ind w:firstLine="420" w:firstLineChars="150"/>
              <w:rPr>
                <w:rFonts w:hint="eastAsia" w:ascii="仿宋" w:hAnsi="仿宋" w:eastAsia="仿宋"/>
                <w:sz w:val="28"/>
                <w:szCs w:val="28"/>
              </w:rPr>
            </w:pPr>
            <w:r>
              <w:rPr>
                <w:rFonts w:hint="eastAsia" w:ascii="仿宋" w:hAnsi="仿宋" w:eastAsia="仿宋"/>
                <w:sz w:val="28"/>
                <w:szCs w:val="28"/>
              </w:rPr>
              <w:t>站办2021年全年三公经费支出共计11.34万元，其中公务接待费11.34万元，2021年街道“三公”经费预算数</w:t>
            </w:r>
            <w:r>
              <w:rPr>
                <w:rFonts w:hint="eastAsia" w:ascii="仿宋" w:hAnsi="仿宋" w:eastAsia="仿宋"/>
                <w:sz w:val="28"/>
                <w:szCs w:val="28"/>
                <w:lang w:val="en-US" w:eastAsia="zh-CN"/>
              </w:rPr>
              <w:t>25</w:t>
            </w:r>
            <w:r>
              <w:rPr>
                <w:rFonts w:hint="eastAsia" w:ascii="仿宋" w:hAnsi="仿宋" w:eastAsia="仿宋"/>
                <w:sz w:val="28"/>
                <w:szCs w:val="28"/>
              </w:rPr>
              <w:t>万元，实际支出为预算数的</w:t>
            </w:r>
            <w:r>
              <w:rPr>
                <w:rFonts w:hint="eastAsia" w:ascii="仿宋" w:hAnsi="仿宋" w:eastAsia="仿宋"/>
                <w:sz w:val="28"/>
                <w:szCs w:val="28"/>
                <w:lang w:val="en-US" w:eastAsia="zh-CN"/>
              </w:rPr>
              <w:t>45.36</w:t>
            </w:r>
            <w:r>
              <w:rPr>
                <w:rFonts w:hint="eastAsia" w:ascii="仿宋" w:hAnsi="仿宋" w:eastAsia="仿宋"/>
                <w:sz w:val="28"/>
                <w:szCs w:val="28"/>
              </w:rPr>
              <w:t>%。公务接待费相比2020年有所增加,增加的原因是疫情防控加班用餐增加（2020年公务接待费为10.57万元）。</w:t>
            </w:r>
          </w:p>
          <w:p>
            <w:pPr>
              <w:ind w:firstLine="420" w:firstLineChars="150"/>
              <w:rPr>
                <w:rFonts w:hint="eastAsia" w:ascii="仿宋" w:hAnsi="仿宋" w:eastAsia="仿宋"/>
                <w:sz w:val="28"/>
                <w:szCs w:val="28"/>
              </w:rPr>
            </w:pPr>
            <w:r>
              <w:rPr>
                <w:rFonts w:hint="eastAsia" w:ascii="仿宋" w:hAnsi="仿宋" w:eastAsia="仿宋"/>
                <w:sz w:val="28"/>
                <w:szCs w:val="28"/>
              </w:rPr>
              <w:t>三、站前路办事处专项组织实施情况</w:t>
            </w:r>
          </w:p>
          <w:p>
            <w:pPr>
              <w:ind w:firstLine="420" w:firstLineChars="150"/>
              <w:rPr>
                <w:rFonts w:hint="eastAsia" w:ascii="仿宋" w:hAnsi="仿宋" w:eastAsia="仿宋"/>
                <w:sz w:val="28"/>
                <w:szCs w:val="28"/>
              </w:rPr>
            </w:pPr>
            <w:r>
              <w:rPr>
                <w:rFonts w:hint="eastAsia" w:ascii="仿宋" w:hAnsi="仿宋" w:eastAsia="仿宋"/>
                <w:sz w:val="28"/>
                <w:szCs w:val="28"/>
              </w:rPr>
              <w:t xml:space="preserve">   2021年度站前路办事处无项目支出</w:t>
            </w:r>
          </w:p>
          <w:p>
            <w:pPr>
              <w:ind w:firstLine="420" w:firstLineChars="150"/>
              <w:rPr>
                <w:rFonts w:hint="eastAsia" w:ascii="仿宋" w:hAnsi="仿宋" w:eastAsia="仿宋"/>
                <w:sz w:val="28"/>
                <w:szCs w:val="28"/>
              </w:rPr>
            </w:pPr>
            <w:r>
              <w:rPr>
                <w:rFonts w:hint="eastAsia" w:ascii="仿宋" w:hAnsi="仿宋" w:eastAsia="仿宋"/>
                <w:sz w:val="28"/>
                <w:szCs w:val="28"/>
              </w:rPr>
              <w:t>四、部门整体支出绩效情况</w:t>
            </w:r>
          </w:p>
          <w:p>
            <w:pPr>
              <w:rPr>
                <w:rFonts w:hint="eastAsia" w:ascii="仿宋" w:hAnsi="仿宋" w:eastAsia="仿宋"/>
                <w:sz w:val="28"/>
                <w:szCs w:val="28"/>
              </w:rPr>
            </w:pPr>
            <w:r>
              <w:rPr>
                <w:rFonts w:hint="eastAsia" w:ascii="仿宋" w:hAnsi="仿宋" w:eastAsia="仿宋"/>
                <w:sz w:val="28"/>
                <w:szCs w:val="28"/>
              </w:rPr>
              <w:t xml:space="preserve">   2021年度我办贯彻落实党中央、省、市、区经济工作会议精神，按照区委“一年转型打基础，三年转换见成效，五年转化上台阶”的总体思路，牢抓安全生产、信访维稳等底线工作，常抓城市管理、为民服务等日常管理工作，狠抓项目征拆等中心重点工作，圆满完成了年度考核目标，同时加强对预算收支管理，建立健全了内部管理制度，部门整体支出绩效明显。</w:t>
            </w:r>
          </w:p>
          <w:p>
            <w:pPr>
              <w:rPr>
                <w:rFonts w:hint="eastAsia" w:ascii="仿宋" w:hAnsi="仿宋" w:eastAsia="仿宋"/>
                <w:sz w:val="28"/>
                <w:szCs w:val="28"/>
              </w:rPr>
            </w:pPr>
            <w:r>
              <w:rPr>
                <w:rFonts w:hint="eastAsia" w:ascii="仿宋" w:hAnsi="仿宋" w:eastAsia="仿宋"/>
                <w:sz w:val="28"/>
                <w:szCs w:val="28"/>
              </w:rPr>
              <w:t xml:space="preserve">    五、存在的问题</w:t>
            </w:r>
          </w:p>
          <w:p>
            <w:pPr>
              <w:ind w:firstLine="420" w:firstLineChars="150"/>
              <w:rPr>
                <w:rFonts w:hint="eastAsia" w:ascii="仿宋" w:hAnsi="仿宋" w:eastAsia="仿宋"/>
                <w:sz w:val="28"/>
                <w:szCs w:val="28"/>
              </w:rPr>
            </w:pPr>
            <w:r>
              <w:rPr>
                <w:rFonts w:hint="eastAsia" w:ascii="仿宋" w:hAnsi="仿宋" w:eastAsia="仿宋"/>
                <w:sz w:val="28"/>
                <w:szCs w:val="28"/>
              </w:rPr>
              <w:t>虽然财政资金使用规范，效果明显，经济能够保持稳步增长，社会和谐进步，但也还存在可用财力偏小，不能满足日益增长的财政支出及社会发展需要，资金支出的绩效评价还有待加强等问题，需要我们在今后的工作中不断改进和完善，进一步加强绩效管理，提高财政资金的使用效益。</w:t>
            </w:r>
          </w:p>
          <w:p>
            <w:pPr>
              <w:rPr>
                <w:rFonts w:hint="eastAsia" w:ascii="仿宋" w:hAnsi="仿宋" w:eastAsia="仿宋"/>
                <w:sz w:val="28"/>
                <w:szCs w:val="28"/>
              </w:rPr>
            </w:pPr>
            <w:r>
              <w:rPr>
                <w:rFonts w:hint="eastAsia" w:ascii="仿宋" w:hAnsi="仿宋" w:eastAsia="仿宋"/>
                <w:sz w:val="28"/>
                <w:szCs w:val="28"/>
              </w:rPr>
              <w:t xml:space="preserve">   六、改进措施和有关建议</w:t>
            </w:r>
          </w:p>
          <w:p>
            <w:pPr>
              <w:spacing w:line="560" w:lineRule="exact"/>
              <w:ind w:firstLine="560" w:firstLineChars="200"/>
              <w:rPr>
                <w:rFonts w:hint="eastAsia" w:ascii="仿宋_GB2312" w:hAnsi="仿宋_GB2312" w:eastAsia="仿宋_GB2312" w:cs="仿宋_GB2312"/>
                <w:bCs/>
                <w:sz w:val="28"/>
                <w:szCs w:val="28"/>
              </w:rPr>
            </w:pPr>
            <w:r>
              <w:rPr>
                <w:rFonts w:hint="eastAsia" w:ascii="仿宋" w:hAnsi="仿宋" w:eastAsia="仿宋"/>
                <w:sz w:val="28"/>
                <w:szCs w:val="28"/>
              </w:rPr>
              <w:t xml:space="preserve">   在以后的工作中将进一步加强和细化对预算收支的管理工作，加强内部管理制度，更加规范各项资金的使用程序，做好各项资金的监督管理工作，把各项资金用好用实。加强对财务工作人员的业务学习和培训，与时俱进，不断提高业务素质和工作能力。</w:t>
            </w:r>
          </w:p>
          <w:p>
            <w:pPr>
              <w:rPr>
                <w:rFonts w:eastAsia="楷体_GB2312"/>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rPr>
                <w:rFonts w:eastAsia="楷体_GB2312"/>
                <w:bCs/>
                <w:sz w:val="28"/>
                <w:szCs w:val="28"/>
              </w:rPr>
            </w:pPr>
          </w:p>
        </w:tc>
      </w:tr>
    </w:tbl>
    <w:p>
      <w:pPr>
        <w:ind w:firstLine="640" w:firstLineChars="200"/>
        <w:jc w:val="left"/>
        <w:rPr>
          <w:rFonts w:cs="黑体" w:asciiTheme="minorEastAsia" w:hAnsiTheme="minorEastAsia"/>
          <w:color w:val="000000"/>
          <w:kern w:val="0"/>
          <w:sz w:val="32"/>
          <w:szCs w:val="32"/>
        </w:rPr>
      </w:pPr>
    </w:p>
    <w:p>
      <w:pPr>
        <w:ind w:firstLine="640" w:firstLineChars="200"/>
        <w:jc w:val="left"/>
        <w:rPr>
          <w:rFonts w:cs="黑体" w:asciiTheme="minorEastAsia" w:hAnsiTheme="minorEastAsia"/>
          <w:color w:val="000000"/>
          <w:kern w:val="0"/>
          <w:sz w:val="32"/>
          <w:szCs w:val="32"/>
        </w:rPr>
      </w:pPr>
    </w:p>
    <w:p>
      <w:pPr>
        <w:ind w:firstLine="640" w:firstLineChars="200"/>
        <w:jc w:val="left"/>
        <w:rPr>
          <w:rFonts w:cs="黑体" w:asciiTheme="minorEastAsia" w:hAnsiTheme="minorEastAsia"/>
          <w:color w:val="000000"/>
          <w:kern w:val="0"/>
          <w:sz w:val="32"/>
          <w:szCs w:val="32"/>
        </w:rPr>
      </w:pPr>
    </w:p>
    <w:p>
      <w:pPr>
        <w:spacing w:line="348" w:lineRule="auto"/>
        <w:rPr>
          <w:rFonts w:hint="eastAsia" w:eastAsia="黑体" w:cs="黑体"/>
          <w:bCs/>
          <w:sz w:val="32"/>
          <w:szCs w:val="32"/>
        </w:rPr>
      </w:pPr>
      <w:r>
        <w:rPr>
          <w:rFonts w:hint="eastAsia" w:eastAsia="黑体" w:cs="黑体"/>
          <w:bCs/>
          <w:sz w:val="32"/>
          <w:szCs w:val="32"/>
        </w:rPr>
        <w:t>附件2-2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6"/>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投  入</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预算配置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人员编制63人，在职52人，退休11人。在职人员控制率100%</w:t>
            </w: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本年度““三公”经费11.34万元”比2020年有所增加7%</w:t>
            </w: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重点支出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重点支出安排率90%</w:t>
            </w: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预算执行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本年预算无调整</w:t>
            </w: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2月底专项资金下达率60%，6月底专项资金下达率95%，根据评分标准扣1分</w:t>
            </w: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无结余</w:t>
            </w: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本年度预算公务接待费为24万，2021年实际支出11.34万元</w:t>
            </w: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预算管理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制定财政账户管理制度，票据管理制度，印鉴管理制度，现金管理制度，规范财务制度的通知，核算中心资金管理制度。上述制度合法合规，完整并已遵照执行。</w:t>
            </w: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资金使用</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支出符合相关法律法规，拨付程序规范，手续齐全，符合部门预算批复用途，资金使用规范，无违规行为。</w:t>
            </w: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按照规范时限、内容公开预决算信息，内容真实完整，准确。</w:t>
            </w: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政府采购执行率100%</w:t>
            </w: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公务卡刷卡率为98%</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制订了资产管理制度、固定资产申购配置规定等，制度体系健全完整，执行有效。</w:t>
            </w:r>
          </w:p>
        </w:tc>
      </w:tr>
    </w:tbl>
    <w:p/>
    <w:tbl>
      <w:tblPr>
        <w:tblStyle w:val="6"/>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资产保存完整，使用合规，配置合理，处置规范，收入及时足额上缴。</w:t>
            </w: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固定资产</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固定资产总额763万元，在用固定资产总额763万元，资产使用率100%.</w:t>
            </w: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职责履行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已完成</w:t>
            </w: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效  果</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履职效益</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全办普及</w:t>
            </w: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全办普及</w:t>
            </w: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全办普及</w:t>
            </w: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通过问卷调查社会公众对本单位的工作履职满意度为95%</w:t>
            </w: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93.5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421A0E"/>
    <w:multiLevelType w:val="multilevel"/>
    <w:tmpl w:val="55421A0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0YjZlZGI4ZGFhODk1ZDdlY2NkMGYwNzkyZjU1MTMifQ=="/>
  </w:docVars>
  <w:rsids>
    <w:rsidRoot w:val="00172A27"/>
    <w:rsid w:val="00001A8B"/>
    <w:rsid w:val="0002229B"/>
    <w:rsid w:val="00024868"/>
    <w:rsid w:val="000273BD"/>
    <w:rsid w:val="0003358A"/>
    <w:rsid w:val="00033EA1"/>
    <w:rsid w:val="000343D7"/>
    <w:rsid w:val="000415B7"/>
    <w:rsid w:val="00041E3F"/>
    <w:rsid w:val="00055DAA"/>
    <w:rsid w:val="00061F7B"/>
    <w:rsid w:val="000658A3"/>
    <w:rsid w:val="00074155"/>
    <w:rsid w:val="000873EF"/>
    <w:rsid w:val="000942DB"/>
    <w:rsid w:val="000A3F69"/>
    <w:rsid w:val="000B2E5E"/>
    <w:rsid w:val="000F24D6"/>
    <w:rsid w:val="00103957"/>
    <w:rsid w:val="00116512"/>
    <w:rsid w:val="00124A1F"/>
    <w:rsid w:val="00132739"/>
    <w:rsid w:val="00152C6D"/>
    <w:rsid w:val="00162D39"/>
    <w:rsid w:val="001652F2"/>
    <w:rsid w:val="001678BD"/>
    <w:rsid w:val="00172A27"/>
    <w:rsid w:val="00180381"/>
    <w:rsid w:val="00182373"/>
    <w:rsid w:val="001A4DDF"/>
    <w:rsid w:val="001A67DB"/>
    <w:rsid w:val="001B3A4F"/>
    <w:rsid w:val="001C3C29"/>
    <w:rsid w:val="001C5D8D"/>
    <w:rsid w:val="001D51E5"/>
    <w:rsid w:val="001E080D"/>
    <w:rsid w:val="001E53D0"/>
    <w:rsid w:val="001F0C3B"/>
    <w:rsid w:val="00202C14"/>
    <w:rsid w:val="00202C82"/>
    <w:rsid w:val="0021201D"/>
    <w:rsid w:val="00214427"/>
    <w:rsid w:val="00226CB7"/>
    <w:rsid w:val="00250A29"/>
    <w:rsid w:val="00252BA4"/>
    <w:rsid w:val="00264552"/>
    <w:rsid w:val="00264EF9"/>
    <w:rsid w:val="00265724"/>
    <w:rsid w:val="0027426B"/>
    <w:rsid w:val="00294B20"/>
    <w:rsid w:val="002D39DB"/>
    <w:rsid w:val="002D4C81"/>
    <w:rsid w:val="002E0A30"/>
    <w:rsid w:val="002F33B3"/>
    <w:rsid w:val="003130C4"/>
    <w:rsid w:val="00316C4B"/>
    <w:rsid w:val="0032192B"/>
    <w:rsid w:val="003240A9"/>
    <w:rsid w:val="00325798"/>
    <w:rsid w:val="0033649D"/>
    <w:rsid w:val="003479BD"/>
    <w:rsid w:val="00370008"/>
    <w:rsid w:val="0037197D"/>
    <w:rsid w:val="003768D5"/>
    <w:rsid w:val="00382BD4"/>
    <w:rsid w:val="003C4197"/>
    <w:rsid w:val="003C47E6"/>
    <w:rsid w:val="003C4FC2"/>
    <w:rsid w:val="003D2724"/>
    <w:rsid w:val="003E2331"/>
    <w:rsid w:val="003E3D84"/>
    <w:rsid w:val="00416E61"/>
    <w:rsid w:val="0042790C"/>
    <w:rsid w:val="004506F9"/>
    <w:rsid w:val="004717A2"/>
    <w:rsid w:val="00472D3A"/>
    <w:rsid w:val="00473DF3"/>
    <w:rsid w:val="00487911"/>
    <w:rsid w:val="00491741"/>
    <w:rsid w:val="00494018"/>
    <w:rsid w:val="004A2C25"/>
    <w:rsid w:val="004B0CEE"/>
    <w:rsid w:val="004B6F3C"/>
    <w:rsid w:val="004B7A2B"/>
    <w:rsid w:val="004E1DF7"/>
    <w:rsid w:val="004E4AC4"/>
    <w:rsid w:val="00500E5F"/>
    <w:rsid w:val="005122EF"/>
    <w:rsid w:val="00513175"/>
    <w:rsid w:val="0051441A"/>
    <w:rsid w:val="00517C33"/>
    <w:rsid w:val="00517D5F"/>
    <w:rsid w:val="00521AF2"/>
    <w:rsid w:val="00523644"/>
    <w:rsid w:val="005312E4"/>
    <w:rsid w:val="005330C9"/>
    <w:rsid w:val="0054069E"/>
    <w:rsid w:val="00544866"/>
    <w:rsid w:val="005767CC"/>
    <w:rsid w:val="00590D9F"/>
    <w:rsid w:val="00595D26"/>
    <w:rsid w:val="00597842"/>
    <w:rsid w:val="005A0ABD"/>
    <w:rsid w:val="005A74E6"/>
    <w:rsid w:val="005B3913"/>
    <w:rsid w:val="005B404E"/>
    <w:rsid w:val="005D4D55"/>
    <w:rsid w:val="005E2CFB"/>
    <w:rsid w:val="005F2103"/>
    <w:rsid w:val="005F3D1C"/>
    <w:rsid w:val="00614A3D"/>
    <w:rsid w:val="0062378F"/>
    <w:rsid w:val="00623CAC"/>
    <w:rsid w:val="00641842"/>
    <w:rsid w:val="00650831"/>
    <w:rsid w:val="00651EEC"/>
    <w:rsid w:val="00686673"/>
    <w:rsid w:val="00691E8C"/>
    <w:rsid w:val="006A22C4"/>
    <w:rsid w:val="006A2336"/>
    <w:rsid w:val="006A348B"/>
    <w:rsid w:val="006A351B"/>
    <w:rsid w:val="006A460B"/>
    <w:rsid w:val="006A5ED4"/>
    <w:rsid w:val="006A6B05"/>
    <w:rsid w:val="006A7D70"/>
    <w:rsid w:val="006B0422"/>
    <w:rsid w:val="006B0576"/>
    <w:rsid w:val="006C0AF2"/>
    <w:rsid w:val="006C1B53"/>
    <w:rsid w:val="006D7730"/>
    <w:rsid w:val="006E1514"/>
    <w:rsid w:val="006E224A"/>
    <w:rsid w:val="006E5284"/>
    <w:rsid w:val="006F3EB5"/>
    <w:rsid w:val="006F7350"/>
    <w:rsid w:val="00702E34"/>
    <w:rsid w:val="00704395"/>
    <w:rsid w:val="00705354"/>
    <w:rsid w:val="00710FE7"/>
    <w:rsid w:val="00717621"/>
    <w:rsid w:val="00720FF1"/>
    <w:rsid w:val="007246DA"/>
    <w:rsid w:val="00727A53"/>
    <w:rsid w:val="00734B05"/>
    <w:rsid w:val="00763B58"/>
    <w:rsid w:val="00780378"/>
    <w:rsid w:val="00787B42"/>
    <w:rsid w:val="0079187B"/>
    <w:rsid w:val="00792F1A"/>
    <w:rsid w:val="007B3166"/>
    <w:rsid w:val="007B5B5E"/>
    <w:rsid w:val="007C4539"/>
    <w:rsid w:val="007E23F2"/>
    <w:rsid w:val="007E43F0"/>
    <w:rsid w:val="007F3657"/>
    <w:rsid w:val="007F4CC5"/>
    <w:rsid w:val="00812ED5"/>
    <w:rsid w:val="008277D9"/>
    <w:rsid w:val="008312FE"/>
    <w:rsid w:val="00836ABF"/>
    <w:rsid w:val="0084478C"/>
    <w:rsid w:val="0086638C"/>
    <w:rsid w:val="00871512"/>
    <w:rsid w:val="008A3E8D"/>
    <w:rsid w:val="008A7EBD"/>
    <w:rsid w:val="008D7221"/>
    <w:rsid w:val="008F1E6C"/>
    <w:rsid w:val="008F772D"/>
    <w:rsid w:val="009019AA"/>
    <w:rsid w:val="00916D24"/>
    <w:rsid w:val="00917348"/>
    <w:rsid w:val="009237C4"/>
    <w:rsid w:val="00944C48"/>
    <w:rsid w:val="00950252"/>
    <w:rsid w:val="00965DA8"/>
    <w:rsid w:val="00967F5D"/>
    <w:rsid w:val="009843AC"/>
    <w:rsid w:val="009A0F95"/>
    <w:rsid w:val="009B3ADF"/>
    <w:rsid w:val="009C3B52"/>
    <w:rsid w:val="009E6817"/>
    <w:rsid w:val="009E6E9A"/>
    <w:rsid w:val="00A01D2B"/>
    <w:rsid w:val="00A0739D"/>
    <w:rsid w:val="00A14A83"/>
    <w:rsid w:val="00A42218"/>
    <w:rsid w:val="00A60C5D"/>
    <w:rsid w:val="00A671C4"/>
    <w:rsid w:val="00A70249"/>
    <w:rsid w:val="00A70B02"/>
    <w:rsid w:val="00A71D9F"/>
    <w:rsid w:val="00A728DC"/>
    <w:rsid w:val="00A73917"/>
    <w:rsid w:val="00A77536"/>
    <w:rsid w:val="00A80F59"/>
    <w:rsid w:val="00A92E9F"/>
    <w:rsid w:val="00AA3205"/>
    <w:rsid w:val="00AA4917"/>
    <w:rsid w:val="00AB0EA9"/>
    <w:rsid w:val="00AF0664"/>
    <w:rsid w:val="00B0093B"/>
    <w:rsid w:val="00B068E6"/>
    <w:rsid w:val="00B07739"/>
    <w:rsid w:val="00B11EC7"/>
    <w:rsid w:val="00B3153A"/>
    <w:rsid w:val="00B33BEA"/>
    <w:rsid w:val="00B57C9F"/>
    <w:rsid w:val="00B63572"/>
    <w:rsid w:val="00B647E3"/>
    <w:rsid w:val="00B845B3"/>
    <w:rsid w:val="00B85D8B"/>
    <w:rsid w:val="00BA05AE"/>
    <w:rsid w:val="00BB4A40"/>
    <w:rsid w:val="00BD3DA9"/>
    <w:rsid w:val="00BD6C3E"/>
    <w:rsid w:val="00BE3674"/>
    <w:rsid w:val="00BF15F8"/>
    <w:rsid w:val="00C10681"/>
    <w:rsid w:val="00C3049A"/>
    <w:rsid w:val="00C31B1E"/>
    <w:rsid w:val="00C37B06"/>
    <w:rsid w:val="00C421A5"/>
    <w:rsid w:val="00C60666"/>
    <w:rsid w:val="00C6476F"/>
    <w:rsid w:val="00C77645"/>
    <w:rsid w:val="00C938F7"/>
    <w:rsid w:val="00CB3271"/>
    <w:rsid w:val="00CE04C3"/>
    <w:rsid w:val="00CE76A0"/>
    <w:rsid w:val="00D135E3"/>
    <w:rsid w:val="00D13C55"/>
    <w:rsid w:val="00D148C6"/>
    <w:rsid w:val="00D17A8A"/>
    <w:rsid w:val="00D27EFF"/>
    <w:rsid w:val="00D30778"/>
    <w:rsid w:val="00D315A9"/>
    <w:rsid w:val="00D33BEA"/>
    <w:rsid w:val="00D415BA"/>
    <w:rsid w:val="00D61274"/>
    <w:rsid w:val="00D63780"/>
    <w:rsid w:val="00D644EE"/>
    <w:rsid w:val="00D70C48"/>
    <w:rsid w:val="00D75489"/>
    <w:rsid w:val="00D9272B"/>
    <w:rsid w:val="00DA2DD9"/>
    <w:rsid w:val="00DC3A5E"/>
    <w:rsid w:val="00DC4ABB"/>
    <w:rsid w:val="00DC73EE"/>
    <w:rsid w:val="00DD06FF"/>
    <w:rsid w:val="00DD5FE9"/>
    <w:rsid w:val="00DE6377"/>
    <w:rsid w:val="00DF4139"/>
    <w:rsid w:val="00E00C7A"/>
    <w:rsid w:val="00E0131C"/>
    <w:rsid w:val="00E16568"/>
    <w:rsid w:val="00E17021"/>
    <w:rsid w:val="00E209CF"/>
    <w:rsid w:val="00E32479"/>
    <w:rsid w:val="00E32FB9"/>
    <w:rsid w:val="00E37D6C"/>
    <w:rsid w:val="00E55B68"/>
    <w:rsid w:val="00E67BE6"/>
    <w:rsid w:val="00E83EFF"/>
    <w:rsid w:val="00E86440"/>
    <w:rsid w:val="00E8683C"/>
    <w:rsid w:val="00EA1529"/>
    <w:rsid w:val="00EA2B72"/>
    <w:rsid w:val="00EA4FD2"/>
    <w:rsid w:val="00EF572B"/>
    <w:rsid w:val="00F12FE7"/>
    <w:rsid w:val="00F20FA7"/>
    <w:rsid w:val="00F32899"/>
    <w:rsid w:val="00F40980"/>
    <w:rsid w:val="00F74360"/>
    <w:rsid w:val="00F755D7"/>
    <w:rsid w:val="00FB462F"/>
    <w:rsid w:val="00FE16FA"/>
    <w:rsid w:val="00FE328A"/>
    <w:rsid w:val="00FE6269"/>
    <w:rsid w:val="00FF5CD6"/>
    <w:rsid w:val="05633A58"/>
    <w:rsid w:val="06B411F0"/>
    <w:rsid w:val="087403E0"/>
    <w:rsid w:val="0BCA1B85"/>
    <w:rsid w:val="0BE56081"/>
    <w:rsid w:val="0C983A31"/>
    <w:rsid w:val="10DC0390"/>
    <w:rsid w:val="13BE003E"/>
    <w:rsid w:val="17A87124"/>
    <w:rsid w:val="1B2C5CD9"/>
    <w:rsid w:val="1E1020C3"/>
    <w:rsid w:val="244E2373"/>
    <w:rsid w:val="27DB542D"/>
    <w:rsid w:val="2A443C50"/>
    <w:rsid w:val="31882E7E"/>
    <w:rsid w:val="31C846EA"/>
    <w:rsid w:val="366364DD"/>
    <w:rsid w:val="370B6762"/>
    <w:rsid w:val="42234C3E"/>
    <w:rsid w:val="422E48CE"/>
    <w:rsid w:val="45F9639D"/>
    <w:rsid w:val="48ED43E7"/>
    <w:rsid w:val="4C2C2DF8"/>
    <w:rsid w:val="5AE8280C"/>
    <w:rsid w:val="5DF773CB"/>
    <w:rsid w:val="60A907EA"/>
    <w:rsid w:val="6145544E"/>
    <w:rsid w:val="61E75012"/>
    <w:rsid w:val="63D137C5"/>
    <w:rsid w:val="675F7789"/>
    <w:rsid w:val="6C026709"/>
    <w:rsid w:val="6DEA4952"/>
    <w:rsid w:val="724F381B"/>
    <w:rsid w:val="7731634B"/>
    <w:rsid w:val="7DE80E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semiHidden/>
    <w:unhideWhenUsed/>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character" w:styleId="8">
    <w:name w:val="Hyperlink"/>
    <w:basedOn w:val="7"/>
    <w:semiHidden/>
    <w:unhideWhenUsed/>
    <w:qFormat/>
    <w:uiPriority w:val="99"/>
    <w:rPr>
      <w:color w:val="0000FF"/>
      <w:u w:val="single"/>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paragraph" w:customStyle="1" w:styleId="11">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2">
    <w:name w:val="List Paragraph"/>
    <w:basedOn w:val="1"/>
    <w:qFormat/>
    <w:uiPriority w:val="34"/>
    <w:pPr>
      <w:ind w:firstLine="420" w:firstLineChars="200"/>
    </w:pPr>
  </w:style>
  <w:style w:type="character" w:customStyle="1" w:styleId="13">
    <w:name w:val="批注框文本 字符"/>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80904-B2FB-4FE3-894F-42F14B17BC5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11</Pages>
  <Words>5195</Words>
  <Characters>5629</Characters>
  <Lines>41</Lines>
  <Paragraphs>11</Paragraphs>
  <TotalTime>6</TotalTime>
  <ScaleCrop>false</ScaleCrop>
  <LinksUpToDate>false</LinksUpToDate>
  <CharactersWithSpaces>6158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清晨的太阳</cp:lastModifiedBy>
  <cp:lastPrinted>2022-07-27T12:55:00Z</cp:lastPrinted>
  <dcterms:modified xsi:type="dcterms:W3CDTF">2023-04-21T06:23:49Z</dcterms:modified>
  <cp:revision>318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E25C3F2DF1634D6089031E44C6C3C18F_13</vt:lpwstr>
  </property>
</Properties>
</file>