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highlight w:val="none"/>
        </w:rPr>
      </w:pPr>
      <w:r>
        <w:rPr>
          <w:rFonts w:hint="eastAsia" w:eastAsia="方正小标宋简体"/>
          <w:bCs/>
          <w:sz w:val="46"/>
          <w:szCs w:val="46"/>
          <w:highlight w:val="none"/>
        </w:rPr>
        <w:t>岳阳楼区20</w:t>
      </w:r>
      <w:r>
        <w:rPr>
          <w:rFonts w:hint="eastAsia" w:eastAsia="方正小标宋简体"/>
          <w:bCs/>
          <w:sz w:val="46"/>
          <w:szCs w:val="46"/>
          <w:highlight w:val="none"/>
          <w:u w:val="single"/>
          <w:lang w:val="en-US" w:eastAsia="zh-CN"/>
        </w:rPr>
        <w:t>21</w:t>
      </w:r>
      <w:r>
        <w:rPr>
          <w:rFonts w:hint="eastAsia" w:eastAsia="方正小标宋简体"/>
          <w:bCs/>
          <w:sz w:val="46"/>
          <w:szCs w:val="46"/>
          <w:highlight w:val="none"/>
        </w:rPr>
        <w:t>年度部门（单位）整体支出</w:t>
      </w:r>
    </w:p>
    <w:p>
      <w:pPr>
        <w:spacing w:line="800" w:lineRule="exact"/>
        <w:jc w:val="center"/>
        <w:rPr>
          <w:rFonts w:hint="eastAsia" w:eastAsia="方正小标宋简体"/>
          <w:bCs/>
          <w:sz w:val="46"/>
          <w:szCs w:val="46"/>
          <w:highlight w:val="none"/>
        </w:rPr>
      </w:pPr>
      <w:r>
        <w:rPr>
          <w:rFonts w:hint="eastAsia" w:eastAsia="方正小标宋简体"/>
          <w:bCs/>
          <w:sz w:val="46"/>
          <w:szCs w:val="46"/>
          <w:highlight w:val="none"/>
        </w:rPr>
        <w:t>绩效评价自评报告</w:t>
      </w:r>
    </w:p>
    <w:p>
      <w:pPr>
        <w:rPr>
          <w:rFonts w:hint="eastAsia" w:eastAsia="仿宋_GB2312"/>
          <w:b/>
          <w:sz w:val="32"/>
          <w:highlight w:val="none"/>
        </w:rPr>
      </w:pPr>
    </w:p>
    <w:p>
      <w:pPr>
        <w:rPr>
          <w:rFonts w:hint="eastAsia" w:eastAsia="仿宋_GB2312"/>
          <w:b/>
          <w:sz w:val="32"/>
          <w:highlight w:val="none"/>
        </w:rPr>
      </w:pPr>
    </w:p>
    <w:p>
      <w:pPr>
        <w:rPr>
          <w:rFonts w:hint="eastAsia" w:eastAsia="仿宋_GB2312"/>
          <w:b/>
          <w:sz w:val="32"/>
          <w:highlight w:val="none"/>
        </w:rPr>
      </w:pPr>
    </w:p>
    <w:p>
      <w:pPr>
        <w:spacing w:before="301" w:beforeLines="50" w:line="348" w:lineRule="auto"/>
        <w:ind w:firstLine="476" w:firstLineChars="150"/>
        <w:rPr>
          <w:rFonts w:hint="eastAsia" w:eastAsia="仿宋_GB2312"/>
          <w:sz w:val="32"/>
          <w:szCs w:val="32"/>
          <w:highlight w:val="none"/>
          <w:u w:val="single"/>
        </w:rPr>
      </w:pPr>
      <w:r>
        <w:rPr>
          <w:rFonts w:hint="eastAsia" w:eastAsia="仿宋_GB2312"/>
          <w:sz w:val="32"/>
          <w:szCs w:val="32"/>
          <w:highlight w:val="none"/>
        </w:rPr>
        <w:t>部门(单位)名称：</w:t>
      </w:r>
      <w:r>
        <w:rPr>
          <w:rFonts w:hint="eastAsia" w:eastAsia="仿宋_GB2312"/>
          <w:sz w:val="32"/>
          <w:szCs w:val="32"/>
          <w:highlight w:val="none"/>
          <w:u w:val="single"/>
        </w:rPr>
        <w:t xml:space="preserve"> 中国共产主义青年团岳阳市岳阳楼区委员会     </w:t>
      </w:r>
    </w:p>
    <w:p>
      <w:pPr>
        <w:spacing w:before="301" w:beforeLines="50" w:line="348" w:lineRule="auto"/>
        <w:ind w:firstLine="476" w:firstLineChars="150"/>
        <w:rPr>
          <w:rFonts w:hint="eastAsia" w:eastAsia="仿宋_GB2312"/>
          <w:spacing w:val="20"/>
          <w:sz w:val="32"/>
          <w:szCs w:val="32"/>
          <w:highlight w:val="none"/>
        </w:rPr>
      </w:pPr>
      <w:r>
        <w:rPr>
          <w:rFonts w:hint="eastAsia" w:eastAsia="仿宋_GB2312"/>
          <w:sz w:val="32"/>
          <w:szCs w:val="32"/>
          <w:highlight w:val="none"/>
        </w:rPr>
        <w:t>预</w:t>
      </w:r>
      <w:r>
        <w:rPr>
          <w:rFonts w:hint="eastAsia" w:eastAsia="仿宋_GB2312"/>
          <w:spacing w:val="30"/>
          <w:sz w:val="32"/>
          <w:szCs w:val="32"/>
          <w:highlight w:val="none"/>
        </w:rPr>
        <w:t xml:space="preserve"> 算 编 码：</w:t>
      </w:r>
      <w:r>
        <w:rPr>
          <w:rFonts w:hint="eastAsia" w:eastAsia="仿宋_GB2312"/>
          <w:spacing w:val="20"/>
          <w:sz w:val="32"/>
          <w:szCs w:val="32"/>
          <w:highlight w:val="none"/>
          <w:u w:val="single"/>
        </w:rPr>
        <w:t xml:space="preserve">       </w:t>
      </w:r>
      <w:r>
        <w:rPr>
          <w:rFonts w:hint="eastAsia" w:eastAsia="仿宋_GB2312"/>
          <w:spacing w:val="20"/>
          <w:sz w:val="32"/>
          <w:szCs w:val="32"/>
          <w:highlight w:val="none"/>
          <w:u w:val="single"/>
          <w:lang w:val="en-US" w:eastAsia="zh-CN"/>
        </w:rPr>
        <w:t xml:space="preserve">  </w:t>
      </w:r>
      <w:r>
        <w:rPr>
          <w:rFonts w:hint="eastAsia" w:eastAsia="仿宋_GB2312"/>
          <w:spacing w:val="20"/>
          <w:sz w:val="32"/>
          <w:szCs w:val="32"/>
          <w:highlight w:val="none"/>
          <w:u w:val="single"/>
        </w:rPr>
        <w:t xml:space="preserve"> 106006 </w:t>
      </w:r>
      <w:r>
        <w:rPr>
          <w:rFonts w:hint="eastAsia" w:eastAsia="仿宋_GB2312"/>
          <w:spacing w:val="20"/>
          <w:sz w:val="32"/>
          <w:szCs w:val="32"/>
          <w:highlight w:val="none"/>
          <w:u w:val="single"/>
          <w:lang w:val="en-US" w:eastAsia="zh-CN"/>
        </w:rPr>
        <w:t xml:space="preserve"> </w:t>
      </w:r>
      <w:r>
        <w:rPr>
          <w:rFonts w:hint="eastAsia" w:eastAsia="仿宋_GB2312"/>
          <w:spacing w:val="20"/>
          <w:sz w:val="32"/>
          <w:szCs w:val="32"/>
          <w:highlight w:val="none"/>
          <w:u w:val="single"/>
        </w:rPr>
        <w:t xml:space="preserve">         </w:t>
      </w:r>
    </w:p>
    <w:p>
      <w:pPr>
        <w:spacing w:before="301" w:beforeLines="50" w:line="348" w:lineRule="auto"/>
        <w:ind w:firstLine="476" w:firstLineChars="150"/>
        <w:rPr>
          <w:rFonts w:hint="eastAsia" w:eastAsia="仿宋_GB2312"/>
          <w:sz w:val="32"/>
          <w:szCs w:val="32"/>
          <w:highlight w:val="none"/>
        </w:rPr>
      </w:pPr>
      <w:r>
        <w:rPr>
          <w:rFonts w:hint="eastAsia" w:eastAsia="仿宋_GB2312"/>
          <w:sz w:val="32"/>
          <w:szCs w:val="32"/>
          <w:highlight w:val="none"/>
        </w:rPr>
        <w:t>评价方式：部门（单位）绩效自评</w:t>
      </w:r>
    </w:p>
    <w:p>
      <w:pPr>
        <w:spacing w:before="301" w:beforeLines="50" w:line="348" w:lineRule="auto"/>
        <w:ind w:firstLine="476" w:firstLineChars="150"/>
        <w:rPr>
          <w:rFonts w:hint="eastAsia" w:eastAsia="仿宋_GB2312"/>
          <w:sz w:val="32"/>
          <w:szCs w:val="32"/>
          <w:highlight w:val="none"/>
        </w:rPr>
      </w:pPr>
      <w:r>
        <w:rPr>
          <w:rFonts w:hint="eastAsia" w:eastAsia="仿宋_GB2312"/>
          <w:sz w:val="32"/>
          <w:szCs w:val="32"/>
          <w:highlight w:val="none"/>
        </w:rPr>
        <w:t xml:space="preserve">评价机构：部门（单位）评价组   </w:t>
      </w:r>
    </w:p>
    <w:p>
      <w:pPr>
        <w:spacing w:line="348" w:lineRule="auto"/>
        <w:ind w:firstLine="2188" w:firstLineChars="690"/>
        <w:rPr>
          <w:rFonts w:hint="eastAsia" w:eastAsia="仿宋_GB2312"/>
          <w:sz w:val="32"/>
          <w:highlight w:val="none"/>
        </w:rPr>
      </w:pPr>
    </w:p>
    <w:p>
      <w:pPr>
        <w:spacing w:line="348" w:lineRule="auto"/>
        <w:ind w:firstLine="2188" w:firstLineChars="690"/>
        <w:rPr>
          <w:rFonts w:hint="eastAsia" w:eastAsia="仿宋_GB2312"/>
          <w:sz w:val="32"/>
          <w:highlight w:val="none"/>
        </w:rPr>
      </w:pPr>
    </w:p>
    <w:p>
      <w:pPr>
        <w:spacing w:line="348" w:lineRule="auto"/>
        <w:jc w:val="center"/>
        <w:rPr>
          <w:rFonts w:hint="eastAsia" w:eastAsia="仿宋_GB2312"/>
          <w:sz w:val="32"/>
          <w:highlight w:val="none"/>
        </w:rPr>
      </w:pPr>
      <w:r>
        <w:rPr>
          <w:rFonts w:hint="eastAsia" w:eastAsia="仿宋_GB2312"/>
          <w:sz w:val="32"/>
          <w:highlight w:val="none"/>
        </w:rPr>
        <w:t>报告日期：</w:t>
      </w:r>
      <w:r>
        <w:rPr>
          <w:rFonts w:hint="eastAsia" w:eastAsia="仿宋_GB2312"/>
          <w:sz w:val="32"/>
          <w:highlight w:val="none"/>
          <w:lang w:val="en-US" w:eastAsia="zh-CN"/>
        </w:rPr>
        <w:t>2022</w:t>
      </w:r>
      <w:r>
        <w:rPr>
          <w:rFonts w:hint="eastAsia" w:eastAsia="仿宋_GB2312"/>
          <w:sz w:val="32"/>
          <w:highlight w:val="none"/>
        </w:rPr>
        <w:t>年</w:t>
      </w:r>
      <w:r>
        <w:rPr>
          <w:rFonts w:hint="eastAsia" w:eastAsia="仿宋_GB2312"/>
          <w:sz w:val="32"/>
          <w:highlight w:val="none"/>
          <w:lang w:val="en-US" w:eastAsia="zh-CN"/>
        </w:rPr>
        <w:t>5</w:t>
      </w:r>
      <w:r>
        <w:rPr>
          <w:rFonts w:hint="eastAsia" w:eastAsia="仿宋_GB2312"/>
          <w:sz w:val="32"/>
          <w:highlight w:val="none"/>
        </w:rPr>
        <w:t>月</w:t>
      </w:r>
      <w:r>
        <w:rPr>
          <w:rFonts w:hint="eastAsia" w:eastAsia="仿宋_GB2312"/>
          <w:sz w:val="32"/>
          <w:highlight w:val="none"/>
          <w:lang w:val="en-US" w:eastAsia="zh-CN"/>
        </w:rPr>
        <w:t>18</w:t>
      </w:r>
      <w:r>
        <w:rPr>
          <w:rFonts w:hint="eastAsia" w:eastAsia="仿宋_GB2312"/>
          <w:sz w:val="32"/>
          <w:highlight w:val="none"/>
        </w:rPr>
        <w:t>日</w:t>
      </w:r>
    </w:p>
    <w:p>
      <w:pPr>
        <w:autoSpaceDN w:val="0"/>
        <w:jc w:val="center"/>
        <w:textAlignment w:val="center"/>
        <w:rPr>
          <w:rFonts w:hint="eastAsia" w:eastAsia="仿宋_GB2312"/>
          <w:sz w:val="32"/>
          <w:szCs w:val="32"/>
          <w:highlight w:val="none"/>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highlight w:val="none"/>
        </w:rPr>
        <w:t>岳阳楼区财政</w:t>
      </w:r>
      <w:r>
        <w:rPr>
          <w:rFonts w:hint="eastAsia" w:eastAsia="仿宋_GB2312"/>
          <w:sz w:val="32"/>
          <w:szCs w:val="32"/>
          <w:highlight w:val="none"/>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田雨薇</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宋体" w:eastAsia="仿宋_GB2312" w:cs="仿宋_GB2312"/>
                <w:color w:val="000000"/>
                <w:sz w:val="22"/>
                <w:highlight w:val="none"/>
              </w:rPr>
              <w:t>行使中共岳阳楼区委赋予的领导全区共青团和少先队工作的职权，对全区青年社团组织进行指导和管理。</w:t>
            </w:r>
            <w:r>
              <w:rPr>
                <w:rFonts w:hint="eastAsia" w:eastAsia="仿宋_GB2312"/>
                <w:kern w:val="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年度主要</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任务1：区委区政府下达的绩效考核个性指标任务</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任务2：上级团委下达的主要考核任务</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任务3：坚持问题导向，积极稳妥推进共青团改革，注重典型选树，着力加强青少年思想政治引领，把准时代脉搏，</w:t>
            </w:r>
            <w:r>
              <w:rPr>
                <w:rFonts w:hint="eastAsia" w:ascii="仿宋_GB2312" w:hAnsi="仿宋_GB2312" w:eastAsia="仿宋_GB2312" w:cs="仿宋_GB2312"/>
                <w:color w:val="000000"/>
                <w:sz w:val="24"/>
                <w:highlight w:val="none"/>
                <w:lang w:eastAsia="zh-CN"/>
              </w:rPr>
              <w:t>丰富宣传教育引领形式</w:t>
            </w:r>
            <w:r>
              <w:rPr>
                <w:rFonts w:hint="eastAsia" w:ascii="仿宋_GB2312" w:hAnsi="仿宋_GB2312" w:eastAsia="仿宋_GB2312" w:cs="仿宋_GB2312"/>
                <w:color w:val="000000"/>
                <w:sz w:val="24"/>
                <w:highlight w:val="none"/>
              </w:rPr>
              <w:t>，紧扣发展大局，竭诚服务青年，发挥好党联系青年的桥梁作用，坚持从严治团，树立团干部良好形象。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highlight w:val="none"/>
              </w:rPr>
            </w:pPr>
            <w:r>
              <w:rPr>
                <w:rFonts w:hint="eastAsia" w:ascii="仿宋_GB2312" w:hAnsi="仿宋_GB2312" w:eastAsia="仿宋_GB2312" w:cs="仿宋_GB2312"/>
                <w:color w:val="000000"/>
                <w:spacing w:val="-6"/>
                <w:sz w:val="24"/>
                <w:highlight w:val="none"/>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2021</w:t>
            </w:r>
            <w:r>
              <w:rPr>
                <w:rFonts w:hint="eastAsia" w:ascii="仿宋_GB2312" w:hAnsi="仿宋_GB2312" w:eastAsia="仿宋_GB2312" w:cs="仿宋_GB2312"/>
                <w:color w:val="000000"/>
                <w:sz w:val="24"/>
                <w:highlight w:val="none"/>
              </w:rPr>
              <w:t>年度，团区委总体运行良好，以服务核心引领区建设为中心，以共青团改革为主线，</w:t>
            </w:r>
            <w:r>
              <w:rPr>
                <w:rFonts w:hint="eastAsia" w:ascii="仿宋_GB2312" w:hAnsi="仿宋_GB2312" w:eastAsia="仿宋_GB2312" w:cs="仿宋_GB2312"/>
                <w:color w:val="000000"/>
                <w:sz w:val="24"/>
                <w:highlight w:val="none"/>
                <w:lang w:eastAsia="zh-CN"/>
              </w:rPr>
              <w:t>团结带领广大团员青年与时俱进，突破创新，奉献互助，团结进步，团的建设和</w:t>
            </w:r>
            <w:r>
              <w:rPr>
                <w:rFonts w:hint="eastAsia" w:ascii="仿宋_GB2312" w:hAnsi="仿宋_GB2312" w:eastAsia="仿宋_GB2312" w:cs="仿宋_GB2312"/>
                <w:color w:val="000000"/>
                <w:sz w:val="24"/>
                <w:highlight w:val="none"/>
              </w:rPr>
              <w:t>各项工作</w:t>
            </w:r>
            <w:r>
              <w:rPr>
                <w:rFonts w:hint="eastAsia" w:ascii="仿宋_GB2312" w:hAnsi="仿宋_GB2312" w:eastAsia="仿宋_GB2312" w:cs="仿宋_GB2312"/>
                <w:color w:val="000000"/>
                <w:sz w:val="24"/>
                <w:highlight w:val="none"/>
                <w:lang w:eastAsia="zh-CN"/>
              </w:rPr>
              <w:t>均</w:t>
            </w:r>
            <w:r>
              <w:rPr>
                <w:rFonts w:hint="eastAsia" w:ascii="仿宋_GB2312" w:hAnsi="仿宋_GB2312" w:eastAsia="仿宋_GB2312" w:cs="仿宋_GB2312"/>
                <w:color w:val="000000"/>
                <w:sz w:val="24"/>
                <w:highlight w:val="none"/>
              </w:rPr>
              <w:t>取得了一定成效</w:t>
            </w:r>
            <w:r>
              <w:rPr>
                <w:rFonts w:hint="eastAsia" w:ascii="仿宋_GB2312" w:hAnsi="仿宋_GB2312" w:eastAsia="仿宋_GB2312" w:cs="仿宋_GB2312"/>
                <w:color w:val="00000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highlight w:val="none"/>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公共财</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其他</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团区委</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65.86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65.86</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b/>
                <w:bCs/>
                <w:color w:val="000000"/>
                <w:sz w:val="24"/>
                <w:highlight w:val="none"/>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highlight w:val="none"/>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highlight w:val="none"/>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团区委</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65.86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65.86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43.69</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22.17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三公经费</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highlight w:val="none"/>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团区委</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0.08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0.08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固定资产</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highlight w:val="none"/>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团区委</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3.35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3.35</w:t>
            </w:r>
            <w:bookmarkStart w:id="0" w:name="_GoBack"/>
            <w:bookmarkEnd w:id="0"/>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 维护团区委各“青”子品牌日常运营，如</w:t>
            </w:r>
            <w:r>
              <w:rPr>
                <w:rFonts w:hint="eastAsia" w:ascii="仿宋_GB2312" w:hAnsi="仿宋_GB2312" w:eastAsia="仿宋_GB2312" w:cs="仿宋_GB2312"/>
                <w:color w:val="000000"/>
                <w:sz w:val="24"/>
                <w:highlight w:val="none"/>
                <w:lang w:val="en-US" w:eastAsia="zh-CN"/>
              </w:rPr>
              <w:t>青年志愿者队伍</w:t>
            </w:r>
            <w:r>
              <w:rPr>
                <w:rFonts w:hint="eastAsia" w:ascii="仿宋_GB2312" w:hAnsi="仿宋_GB2312" w:eastAsia="仿宋_GB2312" w:cs="仿宋_GB2312"/>
                <w:color w:val="000000"/>
                <w:sz w:val="24"/>
                <w:highlight w:val="none"/>
              </w:rPr>
              <w:t>；预防未成年人违法犯罪。</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 指导洞庭三宜创客中心、岳阳楼区培萌青少年发展中心开展日常青少年相关事务。</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 加强基层团组织规范化建设</w:t>
            </w:r>
            <w:r>
              <w:rPr>
                <w:rFonts w:hint="eastAsia" w:ascii="仿宋_GB2312" w:hAnsi="仿宋_GB2312" w:eastAsia="仿宋_GB2312" w:cs="仿宋_GB2312"/>
                <w:color w:val="000000"/>
                <w:sz w:val="24"/>
                <w:highlight w:val="none"/>
                <w:lang w:eastAsia="zh-CN"/>
              </w:rPr>
              <w:t>。</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产出目标</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指标1：建立</w:t>
            </w:r>
            <w:r>
              <w:rPr>
                <w:rFonts w:hint="eastAsia" w:ascii="仿宋_GB2312" w:hAnsi="仿宋_GB2312" w:eastAsia="仿宋_GB2312" w:cs="仿宋_GB2312"/>
                <w:color w:val="000000"/>
                <w:sz w:val="24"/>
                <w:highlight w:val="none"/>
                <w:lang w:val="en-US" w:eastAsia="zh-CN"/>
              </w:rPr>
              <w:t>100</w:t>
            </w:r>
            <w:r>
              <w:rPr>
                <w:rFonts w:hint="eastAsia" w:ascii="仿宋_GB2312" w:hAnsi="仿宋_GB2312" w:eastAsia="仿宋_GB2312" w:cs="仿宋_GB2312"/>
                <w:color w:val="000000"/>
                <w:sz w:val="24"/>
                <w:highlight w:val="none"/>
              </w:rPr>
              <w:t>家非公企业团组织</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highlight w:val="none"/>
                <w:lang w:val="en-US" w:eastAsia="zh-CN"/>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Merge w:val="continue"/>
            <w:vAlign w:val="center"/>
          </w:tcPr>
          <w:p>
            <w:pPr>
              <w:spacing w:line="320" w:lineRule="exact"/>
              <w:rPr>
                <w:rFonts w:hint="eastAsia" w:ascii="仿宋_GB2312" w:hAnsi="仿宋_GB2312" w:eastAsia="仿宋_GB2312" w:cs="仿宋_GB2312"/>
                <w:sz w:val="24"/>
                <w:highlight w:val="none"/>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指标2：每月召开一次团组织活动</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指标1：巴陵青年读书会定期开展线上线下活动</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指标1：“五四”开展系列活动</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指标2：预防青少年违法犯罪在特殊节点开展活动</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指标1：不超出2020年度预算</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效益目标</w:t>
            </w:r>
          </w:p>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指标1.提升大众对共青团组织的满意度</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指标2.青年人能随时找得到共青团组织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指标1.帮助创业返乡青年解决实际困难</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指标1.定期开展的“河小青”活动能进行环保理念的扩散</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highlight w:val="none"/>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highlight w:val="none"/>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指标1.青年满意度能达到90%</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评价等次</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黑体" w:hAnsi="黑体" w:eastAsia="黑体" w:cs="黑体"/>
                <w:color w:val="000000"/>
                <w:sz w:val="28"/>
                <w:szCs w:val="28"/>
                <w:highlight w:val="none"/>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向  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书</w:t>
            </w:r>
            <w:r>
              <w:rPr>
                <w:rFonts w:hint="eastAsia" w:ascii="仿宋_GB2312" w:hAnsi="仿宋_GB2312" w:eastAsia="仿宋_GB2312" w:cs="仿宋_GB2312"/>
                <w:color w:val="000000"/>
                <w:sz w:val="24"/>
                <w:highlight w:val="none"/>
                <w:lang w:val="en-US" w:eastAsia="zh-CN"/>
              </w:rPr>
              <w:t xml:space="preserve">  </w:t>
            </w:r>
            <w:r>
              <w:rPr>
                <w:rFonts w:hint="eastAsia" w:ascii="仿宋_GB2312" w:hAnsi="仿宋_GB2312" w:eastAsia="仿宋_GB2312" w:cs="仿宋_GB2312"/>
                <w:color w:val="000000"/>
                <w:sz w:val="24"/>
                <w:highlight w:val="none"/>
              </w:rPr>
              <w:t>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共青团岳阳楼区委员会</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王浩文</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eastAsia="zh-CN"/>
              </w:rPr>
              <w:t>副书记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共青团岳阳楼区委员会</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丁官文</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副书记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共青团岳阳楼区委员会</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彭  纯</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共青团岳阳楼区委员会</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田雨薇</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学少股股长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共青团岳阳楼区委员会</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评价组组长（签字）：</w:t>
            </w: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部门（单位）意见：</w:t>
            </w: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spacing w:line="320" w:lineRule="exact"/>
              <w:rPr>
                <w:rFonts w:hint="eastAsia" w:eastAsia="仿宋_GB2312"/>
                <w:sz w:val="24"/>
                <w:highlight w:val="none"/>
              </w:rPr>
            </w:pPr>
            <w:r>
              <w:rPr>
                <w:rFonts w:hint="eastAsia" w:eastAsia="仿宋_GB2312"/>
                <w:sz w:val="24"/>
                <w:highlight w:val="none"/>
              </w:rPr>
              <w:t>财政部门归口业务科室意见：</w:t>
            </w:r>
          </w:p>
          <w:p>
            <w:pPr>
              <w:spacing w:line="320" w:lineRule="exact"/>
              <w:rPr>
                <w:rFonts w:hint="eastAsia" w:eastAsia="仿宋_GB2312"/>
                <w:sz w:val="24"/>
                <w:highlight w:val="none"/>
              </w:rPr>
            </w:pPr>
          </w:p>
          <w:p>
            <w:pPr>
              <w:spacing w:line="320" w:lineRule="exact"/>
              <w:rPr>
                <w:rFonts w:hint="eastAsia" w:eastAsia="仿宋_GB2312"/>
                <w:sz w:val="24"/>
                <w:highlight w:val="none"/>
              </w:rPr>
            </w:pPr>
          </w:p>
          <w:p>
            <w:pPr>
              <w:spacing w:line="320" w:lineRule="exact"/>
              <w:rPr>
                <w:rFonts w:hint="eastAsia" w:eastAsia="仿宋_GB2312"/>
                <w:sz w:val="24"/>
                <w:highlight w:val="none"/>
              </w:rPr>
            </w:pPr>
          </w:p>
          <w:p>
            <w:pPr>
              <w:spacing w:line="320" w:lineRule="exact"/>
              <w:rPr>
                <w:rFonts w:hint="eastAsia" w:eastAsia="仿宋_GB2312"/>
                <w:sz w:val="24"/>
                <w:highlight w:val="none"/>
              </w:rPr>
            </w:pPr>
          </w:p>
          <w:p>
            <w:pPr>
              <w:spacing w:line="320" w:lineRule="exact"/>
              <w:rPr>
                <w:rFonts w:hint="eastAsia" w:eastAsia="仿宋_GB2312"/>
                <w:sz w:val="24"/>
                <w:highlight w:val="none"/>
              </w:rPr>
            </w:pPr>
            <w:r>
              <w:rPr>
                <w:rFonts w:hint="eastAsia" w:eastAsia="仿宋_GB2312"/>
                <w:sz w:val="24"/>
                <w:highlight w:val="none"/>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highlight w:val="none"/>
              </w:rPr>
            </w:pPr>
            <w:r>
              <w:rPr>
                <w:rFonts w:hint="eastAsia" w:eastAsia="仿宋_GB2312"/>
                <w:sz w:val="24"/>
                <w:highlight w:val="none"/>
              </w:rPr>
              <w:t xml:space="preserve">                                                                 年    月   日</w:t>
            </w:r>
          </w:p>
        </w:tc>
      </w:tr>
    </w:tbl>
    <w:p>
      <w:pPr>
        <w:rPr>
          <w:rFonts w:hint="eastAsia" w:eastAsia="仿宋_GB2312" w:cs="仿宋_GB2312"/>
          <w:bCs/>
          <w:sz w:val="28"/>
          <w:szCs w:val="28"/>
          <w:highlight w:val="none"/>
        </w:rPr>
      </w:pPr>
      <w:r>
        <w:rPr>
          <w:rFonts w:hint="eastAsia" w:eastAsia="仿宋_GB2312" w:cs="仿宋_GB2312"/>
          <w:bCs/>
          <w:sz w:val="28"/>
          <w:szCs w:val="28"/>
          <w:highlight w:val="none"/>
        </w:rPr>
        <w:t>填报人（签名）：                          联系电话：</w:t>
      </w:r>
    </w:p>
    <w:tbl>
      <w:tblPr>
        <w:tblStyle w:val="2"/>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eastAsia="仿宋_GB2312"/>
                <w:sz w:val="32"/>
                <w:szCs w:val="32"/>
                <w:highlight w:val="none"/>
              </w:rPr>
            </w:pPr>
            <w:r>
              <w:rPr>
                <w:rFonts w:hint="eastAsia" w:ascii="黑体" w:hAnsi="黑体" w:eastAsia="黑体" w:cs="黑体"/>
                <w:bCs/>
                <w:sz w:val="28"/>
                <w:szCs w:val="28"/>
                <w:highlight w:val="none"/>
              </w:rPr>
              <w:t>五、评价报告综述（文字部分）</w:t>
            </w:r>
          </w:p>
          <w:p>
            <w:pPr>
              <w:spacing w:line="56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一、部门（单位）概况</w:t>
            </w:r>
          </w:p>
          <w:p>
            <w:pPr>
              <w:spacing w:line="560" w:lineRule="exact"/>
              <w:ind w:firstLine="560" w:firstLineChars="200"/>
              <w:rPr>
                <w:rFonts w:hint="eastAsia" w:ascii="仿宋_GB2312" w:hAnsi="仿宋" w:eastAsia="仿宋_GB2312"/>
                <w:sz w:val="28"/>
                <w:szCs w:val="28"/>
                <w:highlight w:val="none"/>
              </w:rPr>
            </w:pPr>
            <w:r>
              <w:rPr>
                <w:rFonts w:hint="eastAsia" w:ascii="仿宋_GB2312" w:hAnsi="仿宋_GB2312" w:eastAsia="仿宋_GB2312" w:cs="仿宋_GB2312"/>
                <w:bCs/>
                <w:sz w:val="28"/>
                <w:szCs w:val="28"/>
                <w:highlight w:val="none"/>
              </w:rPr>
              <w:t>（一）部门（单位）基本情况</w:t>
            </w:r>
            <w:r>
              <w:rPr>
                <w:rFonts w:hint="eastAsia" w:ascii="仿宋_GB2312" w:hAnsi="仿宋_GB2312" w:eastAsia="仿宋_GB2312" w:cs="仿宋_GB2312"/>
                <w:bCs/>
                <w:sz w:val="28"/>
                <w:szCs w:val="28"/>
                <w:highlight w:val="none"/>
                <w:lang w:eastAsia="zh-CN"/>
              </w:rPr>
              <w:t>：</w:t>
            </w:r>
            <w:r>
              <w:rPr>
                <w:rFonts w:hint="eastAsia" w:ascii="仿宋_GB2312" w:hAnsi="仿宋" w:eastAsia="仿宋_GB2312"/>
                <w:sz w:val="28"/>
                <w:szCs w:val="28"/>
                <w:highlight w:val="none"/>
              </w:rPr>
              <w:t>共青团岳阳楼区委员会隶属区委群团机关，为正科级单位，内设办公室、青年发展部、学少部三个股室。年末实有编制5人。</w:t>
            </w:r>
          </w:p>
          <w:p>
            <w:pPr>
              <w:spacing w:line="560" w:lineRule="exact"/>
              <w:ind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二</w:t>
            </w:r>
            <w:r>
              <w:rPr>
                <w:rFonts w:hint="eastAsia" w:ascii="仿宋_GB2312" w:hAnsi="仿宋" w:eastAsia="仿宋_GB2312"/>
                <w:sz w:val="28"/>
                <w:szCs w:val="28"/>
                <w:highlight w:val="none"/>
                <w:lang w:eastAsia="zh-CN"/>
              </w:rPr>
              <w:t>）</w:t>
            </w:r>
            <w:r>
              <w:rPr>
                <w:rFonts w:hint="eastAsia" w:ascii="仿宋_GB2312" w:hAnsi="仿宋_GB2312" w:eastAsia="仿宋_GB2312" w:cs="仿宋_GB2312"/>
                <w:bCs/>
                <w:sz w:val="28"/>
                <w:szCs w:val="28"/>
                <w:highlight w:val="none"/>
              </w:rPr>
              <w:t>部门（单位）整体支出规模、使用方向和主要内容、涉及范围等</w:t>
            </w:r>
            <w:r>
              <w:rPr>
                <w:rFonts w:hint="eastAsia" w:ascii="仿宋_GB2312" w:hAnsi="仿宋_GB2312" w:eastAsia="仿宋_GB2312" w:cs="仿宋_GB2312"/>
                <w:bCs/>
                <w:sz w:val="28"/>
                <w:szCs w:val="28"/>
                <w:highlight w:val="none"/>
                <w:lang w:eastAsia="zh-CN"/>
              </w:rPr>
              <w:t>：</w:t>
            </w:r>
            <w:r>
              <w:rPr>
                <w:rFonts w:hint="eastAsia" w:ascii="仿宋_GB2312" w:hAnsi="仿宋" w:eastAsia="仿宋_GB2312"/>
                <w:sz w:val="28"/>
                <w:szCs w:val="28"/>
                <w:highlight w:val="none"/>
              </w:rPr>
              <w:t>共青团岳阳楼区委员会</w:t>
            </w:r>
            <w:r>
              <w:rPr>
                <w:rFonts w:hint="eastAsia" w:ascii="仿宋_GB2312" w:hAnsi="仿宋" w:eastAsia="仿宋_GB2312"/>
                <w:sz w:val="28"/>
                <w:szCs w:val="28"/>
                <w:highlight w:val="none"/>
                <w:lang w:val="en-US" w:eastAsia="zh-CN"/>
              </w:rPr>
              <w:t>2021</w:t>
            </w:r>
            <w:r>
              <w:rPr>
                <w:rFonts w:hint="eastAsia" w:ascii="仿宋_GB2312" w:hAnsi="仿宋" w:eastAsia="仿宋_GB2312"/>
                <w:sz w:val="28"/>
                <w:szCs w:val="28"/>
                <w:highlight w:val="none"/>
              </w:rPr>
              <w:t>年度收入合计</w:t>
            </w:r>
            <w:r>
              <w:rPr>
                <w:rFonts w:hint="eastAsia" w:ascii="仿宋_GB2312" w:hAnsi="仿宋" w:eastAsia="仿宋_GB2312"/>
                <w:sz w:val="28"/>
                <w:szCs w:val="28"/>
                <w:highlight w:val="none"/>
                <w:lang w:val="en-US" w:eastAsia="zh-CN"/>
              </w:rPr>
              <w:t>65.86</w:t>
            </w:r>
            <w:r>
              <w:rPr>
                <w:rFonts w:hint="eastAsia" w:ascii="仿宋_GB2312" w:hAnsi="仿宋" w:eastAsia="仿宋_GB2312"/>
                <w:sz w:val="28"/>
                <w:szCs w:val="28"/>
                <w:highlight w:val="none"/>
              </w:rPr>
              <w:t>万元。其中：上年结转0万元，财政拨款收入</w:t>
            </w:r>
            <w:r>
              <w:rPr>
                <w:rFonts w:hint="eastAsia" w:ascii="仿宋_GB2312" w:hAnsi="仿宋" w:eastAsia="仿宋_GB2312"/>
                <w:sz w:val="28"/>
                <w:szCs w:val="28"/>
                <w:highlight w:val="none"/>
                <w:lang w:val="en-US" w:eastAsia="zh-CN"/>
              </w:rPr>
              <w:t>65.86</w:t>
            </w:r>
            <w:r>
              <w:rPr>
                <w:rFonts w:hint="eastAsia" w:ascii="仿宋_GB2312" w:hAnsi="仿宋" w:eastAsia="仿宋_GB2312"/>
                <w:sz w:val="28"/>
                <w:szCs w:val="28"/>
                <w:highlight w:val="none"/>
              </w:rPr>
              <w:t>万元，其他收入</w:t>
            </w:r>
            <w:r>
              <w:rPr>
                <w:rFonts w:hint="eastAsia" w:ascii="仿宋_GB2312" w:hAnsi="仿宋" w:eastAsia="仿宋_GB2312"/>
                <w:sz w:val="28"/>
                <w:szCs w:val="28"/>
                <w:highlight w:val="none"/>
                <w:lang w:val="en-US" w:eastAsia="zh-CN"/>
              </w:rPr>
              <w:t>0</w:t>
            </w:r>
            <w:r>
              <w:rPr>
                <w:rFonts w:hint="eastAsia" w:ascii="仿宋_GB2312" w:hAnsi="仿宋" w:eastAsia="仿宋_GB2312"/>
                <w:sz w:val="28"/>
                <w:szCs w:val="28"/>
                <w:highlight w:val="none"/>
              </w:rPr>
              <w:t>万元。</w:t>
            </w:r>
          </w:p>
          <w:p>
            <w:pPr>
              <w:spacing w:line="56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二、部门（单位）整体支出管理及使用情况</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（一）基本支出</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人员支出：43.69万元，公用支出：22.17万元，合计：65.86万元。</w:t>
            </w:r>
          </w:p>
          <w:p>
            <w:p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（二）专项支出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1.专项资金安排落实、总投入等情况</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合理</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2.专项资金实际使用情况</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合理</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3.专项资金管理情况</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合适</w:t>
            </w:r>
          </w:p>
          <w:p>
            <w:pPr>
              <w:spacing w:line="56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三、部门（单位）专项组织实施情况</w:t>
            </w:r>
          </w:p>
          <w:p>
            <w:pPr>
              <w:spacing w:line="560" w:lineRule="exact"/>
              <w:ind w:firstLine="560" w:firstLineChars="200"/>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rPr>
              <w:t>专项组织情况分析</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专项管理情况分析</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共青团岳阳楼区委员会</w:t>
            </w:r>
            <w:r>
              <w:rPr>
                <w:rFonts w:hint="eastAsia" w:ascii="仿宋_GB2312" w:hAnsi="仿宋_GB2312" w:eastAsia="仿宋_GB2312" w:cs="仿宋_GB2312"/>
                <w:bCs/>
                <w:sz w:val="28"/>
                <w:szCs w:val="28"/>
                <w:highlight w:val="none"/>
                <w:lang w:eastAsia="zh-CN"/>
              </w:rPr>
              <w:t>将党的政治建设贯穿于整体业务在工作中，切实发挥团组织的战斗堡垒作用，团结带领广大青年围绕中心，服务大局。积极开展“青年大学习”主题团课学习，站稳政治立场；召开争当大城市建设生力军青年座谈会，选树青年典型，激励青年投身全区转型发展建设，为岳阳楼区发展建功立业；加大团员发展力度，壮大团员队伍，不断为团组织输入新鲜血液；</w:t>
            </w:r>
            <w:r>
              <w:rPr>
                <w:rFonts w:hint="eastAsia" w:ascii="仿宋_GB2312" w:hAnsi="仿宋_GB2312" w:eastAsia="仿宋_GB2312" w:cs="仿宋_GB2312"/>
                <w:bCs/>
                <w:sz w:val="28"/>
                <w:szCs w:val="28"/>
                <w:highlight w:val="none"/>
                <w:lang w:val="en-US" w:eastAsia="zh-CN"/>
              </w:rPr>
              <w:t>深化青年志愿服务和公益行动，紧扣工作主线服务中心大局，积极参与、协调、服务全区志愿者工作，组成楼区青年公益法律服务先锋队，投身老旧小区改造一线，提供优质公益法律服务。</w:t>
            </w:r>
          </w:p>
          <w:p>
            <w:pPr>
              <w:numPr>
                <w:ilvl w:val="0"/>
                <w:numId w:val="1"/>
              </w:numPr>
              <w:spacing w:line="56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部门（单位）整体支出绩效情况</w:t>
            </w:r>
          </w:p>
          <w:p>
            <w:pPr>
              <w:spacing w:line="560" w:lineRule="exact"/>
              <w:ind w:firstLine="560" w:firstLineChars="200"/>
              <w:rPr>
                <w:rFonts w:hint="eastAsia" w:ascii="黑体" w:hAnsi="黑体" w:eastAsia="黑体" w:cs="黑体"/>
                <w:bCs/>
                <w:sz w:val="28"/>
                <w:szCs w:val="28"/>
                <w:highlight w:val="none"/>
              </w:rPr>
            </w:pPr>
            <w:r>
              <w:rPr>
                <w:rFonts w:hint="eastAsia" w:ascii="仿宋_GB2312" w:hAnsi="仿宋_GB2312" w:eastAsia="仿宋_GB2312" w:cs="仿宋_GB2312"/>
                <w:bCs/>
                <w:sz w:val="28"/>
                <w:szCs w:val="28"/>
                <w:highlight w:val="none"/>
                <w:lang w:eastAsia="zh-CN"/>
              </w:rPr>
              <w:t>团区委认真履行工作职责，充分发挥青年工作优势，积极开展青少年志愿服务活动，服务青年，取得了较好的工作成效。</w:t>
            </w:r>
          </w:p>
          <w:p>
            <w:pPr>
              <w:spacing w:line="560" w:lineRule="exact"/>
              <w:ind w:firstLine="560" w:firstLineChars="200"/>
              <w:rPr>
                <w:rFonts w:hint="default" w:ascii="黑体" w:hAnsi="黑体" w:eastAsia="黑体" w:cs="黑体"/>
                <w:bCs/>
                <w:sz w:val="28"/>
                <w:szCs w:val="28"/>
                <w:highlight w:val="none"/>
                <w:lang w:val="en-US" w:eastAsia="zh-CN"/>
              </w:rPr>
            </w:pPr>
            <w:r>
              <w:rPr>
                <w:rFonts w:hint="eastAsia" w:ascii="黑体" w:hAnsi="黑体" w:eastAsia="黑体" w:cs="黑体"/>
                <w:bCs/>
                <w:sz w:val="28"/>
                <w:szCs w:val="28"/>
                <w:highlight w:val="none"/>
              </w:rPr>
              <w:t>五、存在的主要问题</w:t>
            </w:r>
            <w:r>
              <w:rPr>
                <w:rFonts w:hint="eastAsia" w:ascii="黑体" w:hAnsi="黑体" w:eastAsia="黑体" w:cs="黑体"/>
                <w:bCs/>
                <w:sz w:val="28"/>
                <w:szCs w:val="28"/>
                <w:highlight w:val="none"/>
                <w:lang w:eastAsia="zh-CN"/>
              </w:rPr>
              <w:t>：</w:t>
            </w:r>
            <w:r>
              <w:rPr>
                <w:rFonts w:hint="eastAsia" w:ascii="黑体" w:hAnsi="黑体" w:eastAsia="黑体" w:cs="黑体"/>
                <w:bCs/>
                <w:sz w:val="28"/>
                <w:szCs w:val="28"/>
                <w:highlight w:val="none"/>
                <w:lang w:val="en-US" w:eastAsia="zh-CN"/>
              </w:rPr>
              <w:t>无</w:t>
            </w:r>
          </w:p>
          <w:p>
            <w:pPr>
              <w:spacing w:line="560" w:lineRule="exact"/>
              <w:ind w:firstLine="560" w:firstLineChars="200"/>
              <w:rPr>
                <w:rFonts w:hint="default" w:ascii="黑体" w:hAnsi="黑体" w:eastAsia="黑体" w:cs="黑体"/>
                <w:bCs/>
                <w:sz w:val="28"/>
                <w:szCs w:val="28"/>
                <w:highlight w:val="none"/>
                <w:lang w:val="en-US" w:eastAsia="zh-CN"/>
              </w:rPr>
            </w:pPr>
            <w:r>
              <w:rPr>
                <w:rFonts w:hint="eastAsia" w:ascii="黑体" w:hAnsi="黑体" w:eastAsia="黑体" w:cs="黑体"/>
                <w:bCs/>
                <w:sz w:val="28"/>
                <w:szCs w:val="28"/>
                <w:highlight w:val="none"/>
              </w:rPr>
              <w:t>六、改进措施和有关建议</w:t>
            </w:r>
            <w:r>
              <w:rPr>
                <w:rFonts w:hint="eastAsia" w:ascii="黑体" w:hAnsi="黑体" w:eastAsia="黑体" w:cs="黑体"/>
                <w:bCs/>
                <w:sz w:val="28"/>
                <w:szCs w:val="28"/>
                <w:highlight w:val="none"/>
                <w:lang w:eastAsia="zh-CN"/>
              </w:rPr>
              <w:t>：</w:t>
            </w:r>
            <w:r>
              <w:rPr>
                <w:rFonts w:hint="eastAsia" w:ascii="黑体" w:hAnsi="黑体" w:eastAsia="黑体" w:cs="黑体"/>
                <w:bCs/>
                <w:sz w:val="28"/>
                <w:szCs w:val="28"/>
                <w:highlight w:val="none"/>
                <w:lang w:val="en-US" w:eastAsia="zh-CN"/>
              </w:rPr>
              <w:t>无</w:t>
            </w:r>
          </w:p>
          <w:p>
            <w:pPr>
              <w:rPr>
                <w:rFonts w:eastAsia="楷体_GB2312"/>
                <w:bCs/>
                <w:sz w:val="28"/>
                <w:szCs w:val="28"/>
                <w:highlight w:val="none"/>
              </w:rPr>
            </w:pPr>
          </w:p>
        </w:tc>
      </w:tr>
    </w:tbl>
    <w:p>
      <w:pPr>
        <w:spacing w:line="348" w:lineRule="auto"/>
        <w:rPr>
          <w:rFonts w:hint="eastAsia" w:eastAsia="黑体" w:cs="黑体"/>
          <w:bCs/>
          <w:sz w:val="32"/>
          <w:szCs w:val="32"/>
          <w:highlight w:val="none"/>
        </w:rPr>
      </w:pPr>
    </w:p>
    <w:p>
      <w:pPr>
        <w:spacing w:line="348" w:lineRule="auto"/>
        <w:rPr>
          <w:rFonts w:hint="eastAsia" w:eastAsia="黑体" w:cs="黑体"/>
          <w:bCs/>
          <w:sz w:val="32"/>
          <w:szCs w:val="32"/>
          <w:highlight w:val="none"/>
        </w:rPr>
      </w:pPr>
    </w:p>
    <w:p>
      <w:pPr>
        <w:spacing w:line="348" w:lineRule="auto"/>
        <w:rPr>
          <w:rFonts w:hint="eastAsia" w:eastAsia="黑体" w:cs="黑体"/>
          <w:bCs/>
          <w:sz w:val="32"/>
          <w:szCs w:val="32"/>
          <w:highlight w:val="none"/>
        </w:rPr>
      </w:pPr>
    </w:p>
    <w:p>
      <w:pPr>
        <w:spacing w:line="348" w:lineRule="auto"/>
        <w:rPr>
          <w:rFonts w:hint="eastAsia" w:eastAsia="黑体" w:cs="黑体"/>
          <w:bCs/>
          <w:sz w:val="32"/>
          <w:szCs w:val="32"/>
          <w:highlight w:val="none"/>
        </w:rPr>
      </w:pPr>
      <w:r>
        <w:rPr>
          <w:rFonts w:hint="eastAsia" w:eastAsia="黑体" w:cs="黑体"/>
          <w:bCs/>
          <w:sz w:val="32"/>
          <w:szCs w:val="32"/>
          <w:highlight w:val="none"/>
        </w:rPr>
        <w:t>附件</w:t>
      </w:r>
      <w:r>
        <w:rPr>
          <w:rFonts w:hint="eastAsia" w:eastAsia="黑体" w:cs="黑体"/>
          <w:bCs/>
          <w:sz w:val="32"/>
          <w:szCs w:val="32"/>
          <w:highlight w:val="none"/>
          <w:lang w:val="en-US" w:eastAsia="zh-CN"/>
        </w:rPr>
        <w:t>2</w:t>
      </w:r>
      <w:r>
        <w:rPr>
          <w:rFonts w:hint="eastAsia" w:eastAsia="黑体" w:cs="黑体"/>
          <w:bCs/>
          <w:sz w:val="32"/>
          <w:szCs w:val="32"/>
          <w:highlight w:val="none"/>
        </w:rPr>
        <w:t>-2</w:t>
      </w:r>
    </w:p>
    <w:p>
      <w:pPr>
        <w:spacing w:before="312" w:beforeLines="100" w:after="312" w:afterLines="100" w:line="400" w:lineRule="exact"/>
        <w:jc w:val="center"/>
        <w:rPr>
          <w:rFonts w:hint="eastAsia" w:ascii="方正小标宋简体" w:eastAsia="方正小标宋简体"/>
          <w:sz w:val="36"/>
          <w:szCs w:val="36"/>
          <w:highlight w:val="none"/>
        </w:rPr>
      </w:pPr>
    </w:p>
    <w:p>
      <w:pPr>
        <w:spacing w:before="312" w:beforeLines="100" w:after="312" w:afterLines="100" w:line="400" w:lineRule="exact"/>
        <w:jc w:val="center"/>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highlight w:val="none"/>
              </w:rPr>
            </w:pPr>
            <w:r>
              <w:rPr>
                <w:rFonts w:hint="eastAsia" w:ascii="仿宋_GB2312" w:hAnsi="宋体" w:eastAsia="仿宋_GB2312" w:cs="宋体"/>
                <w:b/>
                <w:bCs/>
                <w:spacing w:val="-10"/>
                <w:kern w:val="0"/>
                <w:sz w:val="18"/>
                <w:szCs w:val="18"/>
                <w:highlight w:val="none"/>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投  入</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预算配置</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财政供养人员</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以100%为标准。在职人员控制率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“三公经费”</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“三公经费”变动率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0,计5分；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重点支出</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过  程</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预算执行</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“三公经费”</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以100%为标准。三公经费控制率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100%，计6分；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预算管理</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管理制度</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②相关管理制度合法、合规、完整，1分；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资金使用</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②资金拨付有完整的审批程序和手续；</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③项目支出按规定经过评估论证；</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④支出符合部门预算批复的用途；</w:t>
            </w:r>
          </w:p>
          <w:p>
            <w:pPr>
              <w:widowControl/>
              <w:spacing w:line="240" w:lineRule="exact"/>
              <w:jc w:val="left"/>
              <w:rPr>
                <w:rFonts w:hint="eastAsia" w:ascii="仿宋_GB2312" w:hAnsi="宋体" w:eastAsia="仿宋_GB2312" w:cs="宋体"/>
                <w:spacing w:val="-6"/>
                <w:kern w:val="0"/>
                <w:sz w:val="18"/>
                <w:szCs w:val="18"/>
                <w:highlight w:val="none"/>
                <w:lang w:eastAsia="zh-CN"/>
              </w:rPr>
            </w:pPr>
            <w:r>
              <w:rPr>
                <w:rFonts w:hint="eastAsia" w:ascii="仿宋_GB2312" w:hAnsi="宋体" w:eastAsia="仿宋_GB2312" w:cs="宋体"/>
                <w:spacing w:val="-6"/>
                <w:kern w:val="0"/>
                <w:sz w:val="18"/>
                <w:szCs w:val="18"/>
                <w:highlight w:val="none"/>
              </w:rPr>
              <w:t>⑤资金使用无截留、挤占、挪用、虚列支出等情况。</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spacing w:val="-6"/>
                <w:kern w:val="0"/>
                <w:sz w:val="18"/>
                <w:szCs w:val="18"/>
                <w:highlight w:val="none"/>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①按规定内容公开预决算信息，1分；</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②按规定时限公开预决算信息，0.5分；</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③基础数据信息和会计信息资料真实，0.5分；</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④基础数据信息和会计信息资料完整，0.5分；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政府采购</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政府采购执行率等于100%的，得3分；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公务卡刷卡率达50％以上的，得3分。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资产管理</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管理制度</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bl>
    <w:p>
      <w:pPr>
        <w:rPr>
          <w:highlight w:val="none"/>
        </w:rPr>
      </w:pP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highlight w:val="none"/>
              </w:rPr>
            </w:pPr>
            <w:r>
              <w:rPr>
                <w:rFonts w:hint="eastAsia" w:ascii="仿宋_GB2312" w:hAnsi="宋体" w:eastAsia="仿宋_GB2312" w:cs="宋体"/>
                <w:b/>
                <w:bCs/>
                <w:spacing w:val="-12"/>
                <w:kern w:val="0"/>
                <w:sz w:val="18"/>
                <w:szCs w:val="18"/>
                <w:highlight w:val="none"/>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过  程</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资产管理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资产管理</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①资产保存完整；</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②资产配置合理；</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 xml:space="preserve">③资产处置规范； </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④资产账务管理合规，帐实相符；</w:t>
            </w:r>
          </w:p>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⑤资产有偿使用及处置收入及时足额上缴；</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固定资产</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职责履行</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此项指标根据区综合绩效考核领导小组办公室2018年对各部门的部门工作实绩考核分数折算考核内容设置。</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效  果</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rPr>
              <w:t>履职效益</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highlight w:val="none"/>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95%（含）以上计5分；</w:t>
            </w:r>
          </w:p>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85%（含）-95%，计3分；</w:t>
            </w:r>
          </w:p>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75%（含）-85%，计1分；</w:t>
            </w:r>
          </w:p>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highlight w:val="none"/>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highlight w:val="none"/>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highlight w:val="none"/>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highlight w:val="none"/>
              </w:rPr>
            </w:pPr>
            <w:r>
              <w:rPr>
                <w:rFonts w:hint="eastAsia" w:ascii="仿宋_GB2312" w:hAnsi="宋体" w:eastAsia="仿宋_GB2312" w:cs="宋体"/>
                <w:b/>
                <w:bCs/>
                <w:spacing w:val="-8"/>
                <w:kern w:val="0"/>
                <w:sz w:val="18"/>
                <w:szCs w:val="18"/>
                <w:highlight w:val="none"/>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3CCD0"/>
    <w:multiLevelType w:val="singleLevel"/>
    <w:tmpl w:val="A6D3CCD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OTI0NDY2MDI5NjA3MzY3ZGI1NjA0YjgyNzUyM2UifQ=="/>
  </w:docVars>
  <w:rsids>
    <w:rsidRoot w:val="7F2F1B16"/>
    <w:rsid w:val="072F5ED1"/>
    <w:rsid w:val="14135819"/>
    <w:rsid w:val="16D03F8A"/>
    <w:rsid w:val="3E9C6BCB"/>
    <w:rsid w:val="6D9A4A36"/>
    <w:rsid w:val="7F2F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3462</Words>
  <Characters>3702</Characters>
  <Lines>0</Lines>
  <Paragraphs>0</Paragraphs>
  <TotalTime>6</TotalTime>
  <ScaleCrop>false</ScaleCrop>
  <LinksUpToDate>false</LinksUpToDate>
  <CharactersWithSpaces>4216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2022-10-13T08:19:00Z</dcterms:created>
  <dc:creator>Administrator</dc:creator>
  <cp:lastModifiedBy>Freedom</cp:lastModifiedBy>
  <dcterms:modified xsi:type="dcterms:W3CDTF">2023-04-18T09:01:11Z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CF37F36773554579A31C85D196D8299E</vt:lpwstr>
  </property>
</Properties>
</file>