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w:t>
      </w:r>
      <w:r>
        <w:rPr>
          <w:rFonts w:hint="eastAsia" w:ascii="黑体" w:hAnsi="黑体" w:eastAsia="黑体" w:cs="黑体"/>
          <w:bCs/>
          <w:sz w:val="32"/>
          <w:szCs w:val="32"/>
          <w:lang w:val="en-US" w:eastAsia="zh-CN"/>
        </w:rPr>
        <w:t>2</w:t>
      </w:r>
      <w:r>
        <w:rPr>
          <w:rFonts w:hint="eastAsia" w:ascii="黑体" w:hAnsi="黑体" w:eastAsia="黑体" w:cs="黑体"/>
          <w:bCs/>
          <w:sz w:val="32"/>
          <w:szCs w:val="32"/>
        </w:rPr>
        <w:t>-1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岳阳市岳阳楼区科学技术协会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602001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 xml:space="preserve">年 </w:t>
      </w:r>
      <w:r>
        <w:rPr>
          <w:rFonts w:hint="eastAsia" w:eastAsia="仿宋_GB2312"/>
          <w:sz w:val="32"/>
          <w:lang w:val="en-US" w:eastAsia="zh-CN"/>
        </w:rPr>
        <w:t>5</w:t>
      </w:r>
      <w:r>
        <w:rPr>
          <w:rFonts w:hint="eastAsia" w:eastAsia="仿宋_GB2312"/>
          <w:sz w:val="32"/>
        </w:rPr>
        <w:t xml:space="preserve">月 </w:t>
      </w:r>
      <w:r>
        <w:rPr>
          <w:rFonts w:hint="eastAsia" w:eastAsia="仿宋_GB2312"/>
          <w:sz w:val="32"/>
          <w:lang w:val="en-US" w:eastAsia="zh-CN"/>
        </w:rPr>
        <w:t>5</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4"/>
        <w:tblW w:w="98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8"/>
        <w:gridCol w:w="215"/>
        <w:gridCol w:w="46"/>
        <w:gridCol w:w="1086"/>
        <w:gridCol w:w="211"/>
        <w:gridCol w:w="1151"/>
        <w:gridCol w:w="275"/>
        <w:gridCol w:w="813"/>
        <w:gridCol w:w="1714"/>
        <w:gridCol w:w="198"/>
        <w:gridCol w:w="73"/>
        <w:gridCol w:w="186"/>
        <w:gridCol w:w="1088"/>
        <w:gridCol w:w="265"/>
        <w:gridCol w:w="141"/>
        <w:gridCol w:w="317"/>
        <w:gridCol w:w="6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4" w:hRule="atLeast"/>
          <w:jc w:val="center"/>
        </w:trPr>
        <w:tc>
          <w:tcPr>
            <w:tcW w:w="986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9"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82"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任文颖</w:t>
            </w:r>
          </w:p>
        </w:tc>
        <w:tc>
          <w:tcPr>
            <w:tcW w:w="1985"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2630"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8245368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4"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82"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w:t>
            </w:r>
          </w:p>
        </w:tc>
        <w:tc>
          <w:tcPr>
            <w:tcW w:w="1985"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2630"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19"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97"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主要负责全区科普宣传、学术交流和科技咨询工作。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831"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97"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任务1：开展学术交流，活跃学术思想，促进学科发展，推动自主创新。</w:t>
            </w:r>
          </w:p>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任务2：组织科学技术工作者为建立以企业为主休的技术创新体系、全面提升企业的自主创新能力作贡献。</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szCs w:val="24"/>
              </w:rPr>
              <w:t>任务3：依照《中华人民共和国科学技术普及法》，弘扬科学精神，普及科学知识，传播科学思想和科学方法,捍卫科学尊严，推广先进技术，开展青少年科学技术教育活动，不断提高全民科学素质。…………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831"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97"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szCs w:val="24"/>
              </w:rPr>
              <w:t>202</w:t>
            </w:r>
            <w:r>
              <w:rPr>
                <w:rFonts w:hint="eastAsia" w:ascii="仿宋_GB2312" w:hAnsi="仿宋_GB2312" w:eastAsia="仿宋_GB2312" w:cs="仿宋_GB2312"/>
                <w:color w:val="000000"/>
                <w:sz w:val="24"/>
                <w:szCs w:val="24"/>
                <w:lang w:val="en-US" w:eastAsia="zh-CN"/>
              </w:rPr>
              <w:t>1</w:t>
            </w:r>
            <w:r>
              <w:rPr>
                <w:rFonts w:hint="eastAsia" w:ascii="仿宋_GB2312" w:hAnsi="仿宋_GB2312" w:eastAsia="仿宋_GB2312" w:cs="仿宋_GB2312"/>
                <w:color w:val="000000"/>
                <w:sz w:val="24"/>
                <w:szCs w:val="24"/>
              </w:rPr>
              <w:t>年</w:t>
            </w:r>
            <w:r>
              <w:rPr>
                <w:rFonts w:hint="eastAsia" w:ascii="仿宋_GB2312" w:hAnsi="仿宋_GB2312" w:eastAsia="仿宋_GB2312" w:cs="仿宋_GB2312"/>
                <w:color w:val="000000"/>
                <w:sz w:val="24"/>
                <w:szCs w:val="24"/>
                <w:lang w:val="en-US" w:eastAsia="zh-CN"/>
              </w:rPr>
              <w:t>共</w:t>
            </w:r>
            <w:r>
              <w:rPr>
                <w:rFonts w:hint="eastAsia" w:ascii="仿宋_GB2312" w:hAnsi="仿宋_GB2312" w:eastAsia="仿宋_GB2312" w:cs="仿宋_GB2312"/>
                <w:color w:val="000000"/>
                <w:sz w:val="24"/>
                <w:szCs w:val="24"/>
              </w:rPr>
              <w:t>获得了2个省级奖项，</w:t>
            </w:r>
            <w:r>
              <w:rPr>
                <w:rFonts w:hint="eastAsia" w:ascii="仿宋_GB2312" w:hAnsi="仿宋_GB2312" w:eastAsia="仿宋_GB2312" w:cs="仿宋_GB2312"/>
                <w:color w:val="000000"/>
                <w:sz w:val="24"/>
                <w:szCs w:val="24"/>
                <w:lang w:val="en-US" w:eastAsia="zh-CN"/>
              </w:rPr>
              <w:t>5</w:t>
            </w:r>
            <w:r>
              <w:rPr>
                <w:rFonts w:hint="eastAsia" w:ascii="仿宋_GB2312" w:hAnsi="仿宋_GB2312" w:eastAsia="仿宋_GB2312" w:cs="仿宋_GB2312"/>
                <w:color w:val="000000"/>
                <w:sz w:val="24"/>
                <w:szCs w:val="24"/>
              </w:rPr>
              <w:t>个市级奖项</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分别是：</w:t>
            </w:r>
            <w:r>
              <w:rPr>
                <w:rFonts w:hint="eastAsia" w:ascii="仿宋_GB2312" w:hAnsi="仿宋_GB2312" w:eastAsia="仿宋_GB2312" w:cs="仿宋_GB2312"/>
                <w:color w:val="000000"/>
                <w:sz w:val="24"/>
                <w:szCs w:val="24"/>
                <w:lang w:val="en-US" w:eastAsia="zh-CN"/>
              </w:rPr>
              <w:t>2021年湖南省全国科普日优秀组织单位；2021年湖南省科普中国信息传播优秀组织单位；2021年岳阳市科普信息员科普信息传播竞赛优秀组织单位；</w:t>
            </w:r>
            <w:r>
              <w:rPr>
                <w:rFonts w:hint="eastAsia" w:ascii="仿宋_GB2312" w:hAnsi="仿宋_GB2312" w:eastAsia="仿宋_GB2312" w:cs="仿宋_GB2312"/>
                <w:color w:val="000000"/>
                <w:sz w:val="24"/>
                <w:szCs w:val="24"/>
              </w:rPr>
              <w:t>岳阳市第22届青少年航空航天模型竞赛</w:t>
            </w:r>
            <w:r>
              <w:rPr>
                <w:rFonts w:hint="eastAsia" w:ascii="仿宋_GB2312" w:hAnsi="仿宋_GB2312" w:eastAsia="仿宋_GB2312" w:cs="仿宋_GB2312"/>
                <w:color w:val="000000"/>
                <w:sz w:val="24"/>
                <w:szCs w:val="24"/>
                <w:lang w:eastAsia="zh-CN"/>
              </w:rPr>
              <w:t>优秀组织单位；</w:t>
            </w:r>
            <w:r>
              <w:rPr>
                <w:rFonts w:hint="eastAsia" w:ascii="仿宋_GB2312" w:hAnsi="仿宋_GB2312" w:eastAsia="仿宋_GB2312" w:cs="仿宋_GB2312"/>
                <w:color w:val="000000"/>
                <w:sz w:val="24"/>
                <w:szCs w:val="24"/>
              </w:rPr>
              <w:t>岳阳市自然科学优秀学术论文评选，一篇获二等奖，一篇获三等奖</w:t>
            </w:r>
            <w:r>
              <w:rPr>
                <w:rFonts w:hint="eastAsia" w:ascii="仿宋_GB2312" w:hAnsi="仿宋_GB2312" w:eastAsia="仿宋_GB2312" w:cs="仿宋_GB2312"/>
                <w:color w:val="000000"/>
                <w:sz w:val="24"/>
                <w:szCs w:val="24"/>
                <w:lang w:eastAsia="zh-CN"/>
              </w:rPr>
              <w:t>；成功推荐一名农业农村领域专家入选</w:t>
            </w:r>
            <w:r>
              <w:rPr>
                <w:rFonts w:hint="eastAsia" w:ascii="仿宋_GB2312" w:hAnsi="仿宋_GB2312" w:eastAsia="仿宋_GB2312" w:cs="仿宋_GB2312"/>
                <w:color w:val="000000"/>
                <w:sz w:val="24"/>
                <w:szCs w:val="24"/>
                <w:lang w:val="en-US" w:eastAsia="zh-CN"/>
              </w:rPr>
              <w:t>巴陵科技智库。并被中国科协确定为</w:t>
            </w:r>
            <w:r>
              <w:rPr>
                <w:rFonts w:hint="eastAsia" w:ascii="仿宋_GB2312" w:hAnsi="仿宋_GB2312" w:eastAsia="仿宋_GB2312" w:cs="仿宋_GB2312"/>
                <w:color w:val="000000"/>
                <w:sz w:val="24"/>
                <w:szCs w:val="24"/>
              </w:rPr>
              <w:t>“2021-2025年度第二批全国科普示范县（市、区）创建单位”</w:t>
            </w:r>
            <w:r>
              <w:rPr>
                <w:rFonts w:hint="eastAsia" w:ascii="仿宋_GB2312" w:hAnsi="仿宋_GB2312" w:eastAsia="仿宋_GB2312" w:cs="仿宋_GB2312"/>
                <w:color w:val="000000"/>
                <w:sz w:val="24"/>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986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2" w:hRule="atLeast"/>
          <w:jc w:val="center"/>
        </w:trPr>
        <w:tc>
          <w:tcPr>
            <w:tcW w:w="986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4" w:hRule="atLeast"/>
          <w:jc w:val="center"/>
        </w:trPr>
        <w:tc>
          <w:tcPr>
            <w:tcW w:w="170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6"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65"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59" w:hRule="atLeast"/>
          <w:jc w:val="center"/>
        </w:trPr>
        <w:tc>
          <w:tcPr>
            <w:tcW w:w="1709"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6"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62"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14"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1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91"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4" w:hRule="atLeast"/>
          <w:jc w:val="center"/>
        </w:trPr>
        <w:tc>
          <w:tcPr>
            <w:tcW w:w="1709"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lang w:eastAsia="zh-CN"/>
              </w:rPr>
              <w:t>科协</w:t>
            </w:r>
          </w:p>
        </w:tc>
        <w:tc>
          <w:tcPr>
            <w:tcW w:w="1086"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auto"/>
                <w:sz w:val="21"/>
                <w:szCs w:val="20"/>
                <w:lang w:val="en-US" w:eastAsia="zh-CN"/>
              </w:rPr>
            </w:pPr>
            <w:r>
              <w:rPr>
                <w:rFonts w:hint="eastAsia" w:asciiTheme="minorEastAsia" w:hAnsiTheme="minorEastAsia" w:eastAsiaTheme="minorEastAsia"/>
                <w:color w:val="auto"/>
                <w:sz w:val="24"/>
                <w:szCs w:val="24"/>
              </w:rPr>
              <w:t>239.97</w:t>
            </w:r>
          </w:p>
        </w:tc>
        <w:tc>
          <w:tcPr>
            <w:tcW w:w="1362" w:type="dxa"/>
            <w:gridSpan w:val="2"/>
            <w:tcBorders>
              <w:lef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auto"/>
                <w:sz w:val="21"/>
                <w:szCs w:val="20"/>
                <w:lang w:val="en-US" w:eastAsia="zh-CN"/>
              </w:rPr>
            </w:pPr>
            <w:r>
              <w:rPr>
                <w:rFonts w:hint="eastAsia" w:ascii="仿宋_GB2312" w:hAnsi="仿宋_GB2312" w:eastAsia="仿宋_GB2312" w:cs="仿宋_GB2312"/>
                <w:color w:val="auto"/>
                <w:sz w:val="21"/>
                <w:szCs w:val="20"/>
                <w:lang w:val="en-US" w:eastAsia="zh-CN"/>
              </w:rPr>
              <w:t>0.00</w:t>
            </w:r>
          </w:p>
        </w:tc>
        <w:tc>
          <w:tcPr>
            <w:tcW w:w="1088"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auto"/>
                <w:sz w:val="21"/>
                <w:szCs w:val="20"/>
                <w:lang w:val="en-US" w:eastAsia="zh-CN"/>
              </w:rPr>
            </w:pPr>
            <w:r>
              <w:rPr>
                <w:rFonts w:hint="eastAsia" w:asciiTheme="minorEastAsia" w:hAnsiTheme="minorEastAsia" w:eastAsiaTheme="minorEastAsia"/>
                <w:color w:val="auto"/>
                <w:sz w:val="24"/>
                <w:szCs w:val="24"/>
              </w:rPr>
              <w:t>239.97</w:t>
            </w:r>
          </w:p>
        </w:tc>
        <w:tc>
          <w:tcPr>
            <w:tcW w:w="1714" w:type="dxa"/>
            <w:noWrap w:val="0"/>
            <w:vAlign w:val="center"/>
          </w:tcPr>
          <w:p>
            <w:pPr>
              <w:autoSpaceDN w:val="0"/>
              <w:spacing w:line="320" w:lineRule="exact"/>
              <w:jc w:val="left"/>
              <w:textAlignment w:val="center"/>
              <w:rPr>
                <w:rFonts w:hint="eastAsia" w:ascii="仿宋_GB2312" w:hAnsi="仿宋_GB2312" w:eastAsia="仿宋_GB2312" w:cs="仿宋_GB2312"/>
                <w:color w:val="auto"/>
                <w:sz w:val="24"/>
              </w:rPr>
            </w:pPr>
          </w:p>
        </w:tc>
        <w:tc>
          <w:tcPr>
            <w:tcW w:w="181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p>
        </w:tc>
        <w:tc>
          <w:tcPr>
            <w:tcW w:w="1091" w:type="dxa"/>
            <w:gridSpan w:val="3"/>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96" w:hRule="atLeast"/>
          <w:jc w:val="center"/>
        </w:trPr>
        <w:tc>
          <w:tcPr>
            <w:tcW w:w="986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r>
              <w:rPr>
                <w:rFonts w:hint="eastAsia" w:ascii="仿宋_GB2312" w:hAnsi="仿宋_GB2312" w:eastAsia="仿宋_GB2312" w:cs="仿宋_GB2312"/>
                <w:b/>
                <w:bCs/>
                <w:color w:val="auto"/>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48" w:hRule="atLeast"/>
          <w:jc w:val="center"/>
        </w:trPr>
        <w:tc>
          <w:tcPr>
            <w:tcW w:w="1709" w:type="dxa"/>
            <w:gridSpan w:val="3"/>
            <w:vMerge w:val="restart"/>
            <w:noWrap w:val="0"/>
            <w:vAlign w:val="center"/>
          </w:tcPr>
          <w:p>
            <w:pPr>
              <w:snapToGrid w:val="0"/>
              <w:spacing w:line="320" w:lineRule="exact"/>
              <w:jc w:val="center"/>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机构名称</w:t>
            </w:r>
          </w:p>
        </w:tc>
        <w:tc>
          <w:tcPr>
            <w:tcW w:w="1086"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支出合计</w:t>
            </w:r>
          </w:p>
        </w:tc>
        <w:tc>
          <w:tcPr>
            <w:tcW w:w="5709"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其中：</w:t>
            </w:r>
          </w:p>
        </w:tc>
        <w:tc>
          <w:tcPr>
            <w:tcW w:w="1356"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9" w:type="dxa"/>
            <w:gridSpan w:val="3"/>
            <w:vMerge w:val="continue"/>
            <w:noWrap w:val="0"/>
            <w:vAlign w:val="center"/>
          </w:tcPr>
          <w:p>
            <w:pPr>
              <w:spacing w:line="320" w:lineRule="exact"/>
              <w:jc w:val="center"/>
              <w:rPr>
                <w:rFonts w:hint="eastAsia" w:ascii="仿宋_GB2312" w:hAnsi="仿宋_GB2312" w:eastAsia="仿宋_GB2312" w:cs="仿宋_GB2312"/>
                <w:color w:val="auto"/>
                <w:sz w:val="24"/>
              </w:rPr>
            </w:pPr>
          </w:p>
        </w:tc>
        <w:tc>
          <w:tcPr>
            <w:tcW w:w="1086"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p>
        </w:tc>
        <w:tc>
          <w:tcPr>
            <w:tcW w:w="1362"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基本支出</w:t>
            </w:r>
          </w:p>
        </w:tc>
        <w:tc>
          <w:tcPr>
            <w:tcW w:w="3259"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其中：</w:t>
            </w:r>
          </w:p>
        </w:tc>
        <w:tc>
          <w:tcPr>
            <w:tcW w:w="1088"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3"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33"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7" w:hRule="atLeast"/>
          <w:jc w:val="center"/>
        </w:trPr>
        <w:tc>
          <w:tcPr>
            <w:tcW w:w="1709" w:type="dxa"/>
            <w:gridSpan w:val="3"/>
            <w:vMerge w:val="continue"/>
            <w:noWrap w:val="0"/>
            <w:vAlign w:val="center"/>
          </w:tcPr>
          <w:p>
            <w:pPr>
              <w:spacing w:line="320" w:lineRule="exact"/>
              <w:jc w:val="center"/>
              <w:rPr>
                <w:rFonts w:hint="eastAsia" w:ascii="仿宋_GB2312" w:hAnsi="仿宋_GB2312" w:eastAsia="仿宋_GB2312" w:cs="仿宋_GB2312"/>
                <w:color w:val="auto"/>
                <w:sz w:val="24"/>
              </w:rPr>
            </w:pPr>
          </w:p>
        </w:tc>
        <w:tc>
          <w:tcPr>
            <w:tcW w:w="1086"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p>
        </w:tc>
        <w:tc>
          <w:tcPr>
            <w:tcW w:w="1362"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p>
        </w:tc>
        <w:tc>
          <w:tcPr>
            <w:tcW w:w="108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人员支出</w:t>
            </w:r>
          </w:p>
        </w:tc>
        <w:tc>
          <w:tcPr>
            <w:tcW w:w="2171"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公用支出</w:t>
            </w:r>
          </w:p>
        </w:tc>
        <w:tc>
          <w:tcPr>
            <w:tcW w:w="1088"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3"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33"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0" w:hRule="atLeast"/>
          <w:jc w:val="center"/>
        </w:trPr>
        <w:tc>
          <w:tcPr>
            <w:tcW w:w="1709" w:type="dxa"/>
            <w:gridSpan w:val="3"/>
            <w:noWrap w:val="0"/>
            <w:vAlign w:val="center"/>
          </w:tcPr>
          <w:p>
            <w:pPr>
              <w:spacing w:line="320" w:lineRule="exact"/>
              <w:jc w:val="left"/>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lang w:eastAsia="zh-CN"/>
              </w:rPr>
              <w:t>科协</w:t>
            </w:r>
          </w:p>
        </w:tc>
        <w:tc>
          <w:tcPr>
            <w:tcW w:w="1086"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239.97</w:t>
            </w:r>
          </w:p>
        </w:tc>
        <w:tc>
          <w:tcPr>
            <w:tcW w:w="1362"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239.97</w:t>
            </w:r>
          </w:p>
        </w:tc>
        <w:tc>
          <w:tcPr>
            <w:tcW w:w="1088"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140.93</w:t>
            </w:r>
          </w:p>
        </w:tc>
        <w:tc>
          <w:tcPr>
            <w:tcW w:w="2171"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99.04</w:t>
            </w:r>
          </w:p>
        </w:tc>
        <w:tc>
          <w:tcPr>
            <w:tcW w:w="1088" w:type="dxa"/>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723"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633"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15" w:hRule="atLeast"/>
          <w:jc w:val="center"/>
        </w:trPr>
        <w:tc>
          <w:tcPr>
            <w:tcW w:w="1709"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6"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65"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7" w:hRule="atLeast"/>
          <w:jc w:val="center"/>
        </w:trPr>
        <w:tc>
          <w:tcPr>
            <w:tcW w:w="1709"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6"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62"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71"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4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15" w:hRule="atLeast"/>
          <w:jc w:val="center"/>
        </w:trPr>
        <w:tc>
          <w:tcPr>
            <w:tcW w:w="1709" w:type="dxa"/>
            <w:gridSpan w:val="3"/>
            <w:noWrap w:val="0"/>
            <w:vAlign w:val="center"/>
          </w:tcPr>
          <w:p>
            <w:pPr>
              <w:spacing w:line="320" w:lineRule="exact"/>
              <w:jc w:val="left"/>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科协</w:t>
            </w:r>
          </w:p>
        </w:tc>
        <w:tc>
          <w:tcPr>
            <w:tcW w:w="1086"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1.58</w:t>
            </w:r>
          </w:p>
        </w:tc>
        <w:tc>
          <w:tcPr>
            <w:tcW w:w="1362"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1.58</w:t>
            </w:r>
          </w:p>
        </w:tc>
        <w:tc>
          <w:tcPr>
            <w:tcW w:w="108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71"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4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9" w:hRule="atLeast"/>
          <w:jc w:val="center"/>
        </w:trPr>
        <w:tc>
          <w:tcPr>
            <w:tcW w:w="1709"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6"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115"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50"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5" w:hRule="atLeast"/>
          <w:jc w:val="center"/>
        </w:trPr>
        <w:tc>
          <w:tcPr>
            <w:tcW w:w="1709"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6"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50"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65"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50"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6" w:hRule="atLeast"/>
          <w:jc w:val="center"/>
        </w:trPr>
        <w:tc>
          <w:tcPr>
            <w:tcW w:w="1709" w:type="dxa"/>
            <w:gridSpan w:val="3"/>
            <w:noWrap w:val="0"/>
            <w:vAlign w:val="center"/>
          </w:tcPr>
          <w:p>
            <w:pPr>
              <w:spacing w:line="320" w:lineRule="exact"/>
              <w:jc w:val="left"/>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科协</w:t>
            </w:r>
          </w:p>
        </w:tc>
        <w:tc>
          <w:tcPr>
            <w:tcW w:w="1086"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15.22</w:t>
            </w:r>
          </w:p>
        </w:tc>
        <w:tc>
          <w:tcPr>
            <w:tcW w:w="2450"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15.22</w:t>
            </w:r>
          </w:p>
        </w:tc>
        <w:tc>
          <w:tcPr>
            <w:tcW w:w="3665"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5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986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0" w:hRule="atLeast"/>
          <w:jc w:val="center"/>
        </w:trPr>
        <w:tc>
          <w:tcPr>
            <w:tcW w:w="1448"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97"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61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51"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3797" w:type="dxa"/>
            <w:gridSpan w:val="7"/>
            <w:noWrap w:val="0"/>
            <w:vAlign w:val="center"/>
          </w:tcPr>
          <w:p>
            <w:pPr>
              <w:autoSpaceDN w:val="0"/>
              <w:spacing w:line="400" w:lineRule="exact"/>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目标1：认真开展科普活动</w:t>
            </w:r>
          </w:p>
          <w:p>
            <w:pPr>
              <w:autoSpaceDN w:val="0"/>
              <w:spacing w:line="400" w:lineRule="exact"/>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目标2：扎实做好科普示范典型创建</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szCs w:val="24"/>
              </w:rPr>
              <w:t>目标3：实施科普信息化工作</w:t>
            </w:r>
          </w:p>
        </w:tc>
        <w:tc>
          <w:tcPr>
            <w:tcW w:w="4615" w:type="dxa"/>
            <w:gridSpan w:val="9"/>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44" w:hRule="atLeast"/>
          <w:jc w:val="center"/>
        </w:trPr>
        <w:tc>
          <w:tcPr>
            <w:tcW w:w="1448"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25"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7"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26"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1：开展“全国科普日”主题活动</w:t>
            </w:r>
          </w:p>
        </w:tc>
        <w:tc>
          <w:tcPr>
            <w:tcW w:w="2703" w:type="dxa"/>
            <w:gridSpan w:val="7"/>
            <w:noWrap w:val="0"/>
            <w:vAlign w:val="center"/>
          </w:tcPr>
          <w:p>
            <w:pPr>
              <w:autoSpaceDN w:val="0"/>
              <w:spacing w:line="40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0"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2：科普信息化工作</w:t>
            </w:r>
          </w:p>
        </w:tc>
        <w:tc>
          <w:tcPr>
            <w:tcW w:w="2703" w:type="dxa"/>
            <w:gridSpan w:val="7"/>
            <w:noWrap w:val="0"/>
            <w:vAlign w:val="center"/>
          </w:tcPr>
          <w:p>
            <w:pPr>
              <w:autoSpaceDN w:val="0"/>
              <w:spacing w:line="40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7"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3：动员各街道（乡）开展科普活动</w:t>
            </w:r>
          </w:p>
        </w:tc>
        <w:tc>
          <w:tcPr>
            <w:tcW w:w="2703" w:type="dxa"/>
            <w:gridSpan w:val="7"/>
            <w:noWrap w:val="0"/>
            <w:vAlign w:val="center"/>
          </w:tcPr>
          <w:p>
            <w:pPr>
              <w:autoSpaceDN w:val="0"/>
              <w:spacing w:line="40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7"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1：16个街道（乡）实施科普信息化</w:t>
            </w:r>
          </w:p>
        </w:tc>
        <w:tc>
          <w:tcPr>
            <w:tcW w:w="2703" w:type="dxa"/>
            <w:gridSpan w:val="7"/>
            <w:noWrap w:val="0"/>
            <w:vAlign w:val="center"/>
          </w:tcPr>
          <w:p>
            <w:pPr>
              <w:autoSpaceDN w:val="0"/>
              <w:spacing w:line="40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7"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2：各街道（乡）均开展科普活动</w:t>
            </w:r>
          </w:p>
        </w:tc>
        <w:tc>
          <w:tcPr>
            <w:tcW w:w="2703" w:type="dxa"/>
            <w:gridSpan w:val="7"/>
            <w:noWrap w:val="0"/>
            <w:vAlign w:val="center"/>
          </w:tcPr>
          <w:p>
            <w:pPr>
              <w:autoSpaceDN w:val="0"/>
              <w:spacing w:line="40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0"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1：202</w:t>
            </w:r>
            <w:r>
              <w:rPr>
                <w:rFonts w:hint="eastAsia" w:ascii="仿宋_GB2312" w:hAnsi="仿宋_GB2312" w:eastAsia="仿宋_GB2312" w:cs="仿宋_GB2312"/>
                <w:color w:val="000000"/>
                <w:sz w:val="24"/>
                <w:lang w:val="en-US" w:eastAsia="zh-CN"/>
              </w:rPr>
              <w:t>1</w:t>
            </w:r>
            <w:r>
              <w:rPr>
                <w:rFonts w:hint="eastAsia" w:ascii="仿宋_GB2312" w:hAnsi="仿宋_GB2312" w:eastAsia="仿宋_GB2312" w:cs="仿宋_GB2312"/>
                <w:color w:val="000000"/>
                <w:sz w:val="24"/>
              </w:rPr>
              <w:t>年底</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0"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1：202</w:t>
            </w:r>
            <w:r>
              <w:rPr>
                <w:rFonts w:hint="eastAsia" w:ascii="仿宋_GB2312" w:hAnsi="仿宋_GB2312" w:eastAsia="仿宋_GB2312" w:cs="仿宋_GB2312"/>
                <w:color w:val="000000"/>
                <w:sz w:val="24"/>
                <w:lang w:val="en-US" w:eastAsia="zh-CN"/>
              </w:rPr>
              <w:t>1</w:t>
            </w:r>
            <w:r>
              <w:rPr>
                <w:rFonts w:hint="eastAsia" w:ascii="仿宋_GB2312" w:hAnsi="仿宋_GB2312" w:eastAsia="仿宋_GB2312" w:cs="仿宋_GB2312"/>
                <w:color w:val="000000"/>
                <w:sz w:val="24"/>
              </w:rPr>
              <w:t>年底</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7"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1：在社区开展科普知识讲座</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0"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2：面向群众发放科普读本</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0"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3.科普信息化</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0"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26"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25" w:type="dxa"/>
            <w:gridSpan w:val="3"/>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公民科学素质得到提升</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24"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25"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1：建省级科普示范教育基地</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2：建市级科普旅游示范基地</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20"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25"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无</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20" w:hRule="atLeast"/>
          <w:jc w:val="center"/>
        </w:trPr>
        <w:tc>
          <w:tcPr>
            <w:tcW w:w="1448" w:type="dxa"/>
            <w:vMerge w:val="continue"/>
            <w:noWrap w:val="0"/>
            <w:vAlign w:val="center"/>
          </w:tcPr>
          <w:p>
            <w:pPr>
              <w:spacing w:line="320" w:lineRule="exact"/>
              <w:rPr>
                <w:rFonts w:hint="eastAsia" w:ascii="仿宋_GB2312" w:hAnsi="仿宋_GB2312" w:eastAsia="仿宋_GB2312" w:cs="仿宋_GB2312"/>
                <w:sz w:val="24"/>
              </w:rPr>
            </w:pPr>
          </w:p>
        </w:tc>
        <w:tc>
          <w:tcPr>
            <w:tcW w:w="1558"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26"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25"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1.发放科普书籍</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2.开展健康知识科普讲座</w:t>
            </w:r>
          </w:p>
        </w:tc>
        <w:tc>
          <w:tcPr>
            <w:tcW w:w="2703"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满意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44" w:hRule="atLeast"/>
          <w:jc w:val="center"/>
        </w:trPr>
        <w:tc>
          <w:tcPr>
            <w:tcW w:w="3006"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54"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44" w:hRule="atLeast"/>
          <w:jc w:val="center"/>
        </w:trPr>
        <w:tc>
          <w:tcPr>
            <w:tcW w:w="3006"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54"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8" w:hRule="atLeast"/>
          <w:jc w:val="center"/>
        </w:trPr>
        <w:tc>
          <w:tcPr>
            <w:tcW w:w="986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44"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82"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985"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2630"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8"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段雅丽</w:t>
            </w:r>
          </w:p>
        </w:tc>
        <w:tc>
          <w:tcPr>
            <w:tcW w:w="3582"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副主席</w:t>
            </w:r>
          </w:p>
        </w:tc>
        <w:tc>
          <w:tcPr>
            <w:tcW w:w="1985"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岳阳市岳阳楼区科学技术协会</w:t>
            </w:r>
          </w:p>
        </w:tc>
        <w:tc>
          <w:tcPr>
            <w:tcW w:w="2630"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8"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贺常红</w:t>
            </w:r>
          </w:p>
        </w:tc>
        <w:tc>
          <w:tcPr>
            <w:tcW w:w="3582"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学会部部长</w:t>
            </w:r>
          </w:p>
        </w:tc>
        <w:tc>
          <w:tcPr>
            <w:tcW w:w="1985"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岳阳市岳阳楼区科学技术协会</w:t>
            </w:r>
          </w:p>
        </w:tc>
        <w:tc>
          <w:tcPr>
            <w:tcW w:w="2630"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8"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82"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985"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630"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8" w:hRule="atLeast"/>
          <w:jc w:val="center"/>
        </w:trPr>
        <w:tc>
          <w:tcPr>
            <w:tcW w:w="166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82"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985"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630"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535" w:hRule="atLeast"/>
          <w:jc w:val="center"/>
        </w:trPr>
        <w:tc>
          <w:tcPr>
            <w:tcW w:w="986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535" w:hRule="atLeast"/>
          <w:jc w:val="center"/>
        </w:trPr>
        <w:tc>
          <w:tcPr>
            <w:tcW w:w="986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554" w:hRule="atLeast"/>
          <w:jc w:val="center"/>
        </w:trPr>
        <w:tc>
          <w:tcPr>
            <w:tcW w:w="986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 xml:space="preserve">填报人（签名）： </w:t>
      </w:r>
      <w:r>
        <w:rPr>
          <w:rFonts w:hint="eastAsia" w:eastAsia="仿宋_GB2312" w:cs="仿宋_GB2312"/>
          <w:bCs/>
          <w:sz w:val="28"/>
          <w:szCs w:val="28"/>
          <w:lang w:eastAsia="zh-CN"/>
        </w:rPr>
        <w:t>任文颖</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8245368</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ascii="Times New Roman" w:hAnsi="Times New Roman" w:eastAsia="仿宋_GB2312"/>
                <w:sz w:val="32"/>
                <w:szCs w:val="32"/>
              </w:rPr>
            </w:pP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 w:eastAsia="仿宋_GB2312"/>
                <w:sz w:val="28"/>
                <w:szCs w:val="28"/>
              </w:rPr>
              <w:t>岳阳楼区科学技术协会隶属区委群团机关，为正科级单位，内设办公室、科普部、学会部三个股室。年末实有编制9人，实有在职</w:t>
            </w:r>
            <w:r>
              <w:rPr>
                <w:rFonts w:hint="eastAsia" w:ascii="仿宋_GB2312" w:hAnsi="仿宋" w:eastAsia="仿宋_GB2312"/>
                <w:sz w:val="28"/>
                <w:szCs w:val="28"/>
                <w:lang w:val="en-US" w:eastAsia="zh-CN"/>
              </w:rPr>
              <w:t>11</w:t>
            </w:r>
            <w:r>
              <w:rPr>
                <w:rFonts w:hint="eastAsia" w:ascii="仿宋_GB2312" w:hAnsi="仿宋" w:eastAsia="仿宋_GB2312"/>
                <w:sz w:val="28"/>
                <w:szCs w:val="28"/>
              </w:rPr>
              <w:t>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400" w:lineRule="exact"/>
              <w:ind w:firstLine="560" w:firstLineChars="200"/>
              <w:rPr>
                <w:rFonts w:ascii="仿宋_GB2312" w:hAnsi="仿宋_GB2312" w:eastAsia="仿宋_GB2312" w:cs="仿宋_GB2312"/>
                <w:bCs/>
                <w:color w:val="FF0000"/>
                <w:sz w:val="28"/>
                <w:szCs w:val="28"/>
              </w:rPr>
            </w:pPr>
            <w:r>
              <w:rPr>
                <w:rFonts w:hint="eastAsia" w:ascii="仿宋_GB2312" w:hAnsi="仿宋" w:eastAsia="仿宋_GB2312"/>
                <w:sz w:val="28"/>
                <w:szCs w:val="28"/>
              </w:rPr>
              <w:t>岳阳楼区科协</w:t>
            </w:r>
            <w:r>
              <w:rPr>
                <w:rFonts w:hint="eastAsia" w:ascii="仿宋_GB2312" w:hAnsi="仿宋_GB2312" w:eastAsia="仿宋_GB2312" w:cs="仿宋_GB2312"/>
                <w:bCs/>
                <w:sz w:val="28"/>
                <w:szCs w:val="28"/>
              </w:rPr>
              <w:t>全年总支出为</w:t>
            </w:r>
            <w:r>
              <w:rPr>
                <w:rFonts w:hint="eastAsia" w:ascii="仿宋_GB2312" w:hAnsi="仿宋_GB2312" w:eastAsia="仿宋_GB2312" w:cs="仿宋_GB2312"/>
                <w:bCs/>
                <w:color w:val="auto"/>
                <w:sz w:val="28"/>
                <w:szCs w:val="28"/>
              </w:rPr>
              <w:t>2</w:t>
            </w:r>
            <w:r>
              <w:rPr>
                <w:rFonts w:hint="eastAsia" w:ascii="仿宋_GB2312" w:hAnsi="仿宋_GB2312" w:eastAsia="仿宋_GB2312" w:cs="仿宋_GB2312"/>
                <w:bCs/>
                <w:color w:val="auto"/>
                <w:sz w:val="28"/>
                <w:szCs w:val="28"/>
                <w:lang w:val="en-US" w:eastAsia="zh-CN"/>
              </w:rPr>
              <w:t>39.97</w:t>
            </w:r>
            <w:r>
              <w:rPr>
                <w:rFonts w:hint="eastAsia" w:ascii="仿宋_GB2312" w:hAnsi="仿宋_GB2312" w:eastAsia="仿宋_GB2312" w:cs="仿宋_GB2312"/>
                <w:bCs/>
                <w:color w:val="auto"/>
                <w:sz w:val="28"/>
                <w:szCs w:val="28"/>
              </w:rPr>
              <w:t>万元，基本支</w:t>
            </w:r>
            <w:r>
              <w:rPr>
                <w:rFonts w:hint="eastAsia" w:ascii="仿宋_GB2312" w:hAnsi="仿宋_GB2312" w:eastAsia="仿宋_GB2312" w:cs="仿宋_GB2312"/>
                <w:bCs/>
                <w:color w:val="auto"/>
                <w:sz w:val="28"/>
                <w:szCs w:val="28"/>
                <w:lang w:val="en-US" w:eastAsia="zh-CN"/>
              </w:rPr>
              <w:t>出239.97</w:t>
            </w:r>
            <w:r>
              <w:rPr>
                <w:rFonts w:hint="eastAsia" w:ascii="仿宋_GB2312" w:hAnsi="仿宋_GB2312" w:eastAsia="仿宋_GB2312" w:cs="仿宋_GB2312"/>
                <w:bCs/>
                <w:color w:val="auto"/>
                <w:sz w:val="28"/>
                <w:szCs w:val="28"/>
              </w:rPr>
              <w:t>万元（其中人员经费支出</w:t>
            </w:r>
            <w:r>
              <w:rPr>
                <w:rFonts w:hint="eastAsia" w:ascii="仿宋_GB2312" w:hAnsi="仿宋_GB2312" w:eastAsia="仿宋_GB2312" w:cs="仿宋_GB2312"/>
                <w:bCs/>
                <w:color w:val="auto"/>
                <w:sz w:val="28"/>
                <w:szCs w:val="28"/>
                <w:lang w:val="en-US" w:eastAsia="zh-CN"/>
              </w:rPr>
              <w:t>140.93</w:t>
            </w:r>
            <w:r>
              <w:rPr>
                <w:rFonts w:hint="eastAsia" w:ascii="仿宋_GB2312" w:hAnsi="仿宋_GB2312" w:eastAsia="仿宋_GB2312" w:cs="仿宋_GB2312"/>
                <w:bCs/>
                <w:color w:val="auto"/>
                <w:sz w:val="28"/>
                <w:szCs w:val="28"/>
              </w:rPr>
              <w:t>万元，公用经费支出</w:t>
            </w:r>
            <w:r>
              <w:rPr>
                <w:rFonts w:hint="eastAsia" w:ascii="仿宋_GB2312" w:hAnsi="仿宋_GB2312" w:eastAsia="仿宋_GB2312" w:cs="仿宋_GB2312"/>
                <w:bCs/>
                <w:color w:val="auto"/>
                <w:sz w:val="28"/>
                <w:szCs w:val="28"/>
                <w:lang w:val="en-US" w:eastAsia="zh-CN"/>
              </w:rPr>
              <w:t>99.04</w:t>
            </w:r>
            <w:r>
              <w:rPr>
                <w:rFonts w:hint="eastAsia" w:ascii="仿宋_GB2312" w:hAnsi="仿宋_GB2312" w:eastAsia="仿宋_GB2312" w:cs="仿宋_GB2312"/>
                <w:bCs/>
                <w:color w:val="auto"/>
                <w:sz w:val="28"/>
                <w:szCs w:val="28"/>
              </w:rPr>
              <w:t>万元），主要用于科普活动等。</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全年基本支出共2</w:t>
            </w:r>
            <w:r>
              <w:rPr>
                <w:rFonts w:hint="eastAsia" w:ascii="仿宋_GB2312" w:hAnsi="仿宋_GB2312" w:eastAsia="仿宋_GB2312" w:cs="仿宋_GB2312"/>
                <w:bCs/>
                <w:sz w:val="28"/>
                <w:szCs w:val="28"/>
                <w:lang w:val="en-US" w:eastAsia="zh-CN"/>
              </w:rPr>
              <w:t>39.97</w:t>
            </w:r>
            <w:r>
              <w:rPr>
                <w:rFonts w:hint="eastAsia" w:ascii="仿宋_GB2312" w:hAnsi="仿宋_GB2312" w:eastAsia="仿宋_GB2312" w:cs="仿宋_GB2312"/>
                <w:bCs/>
                <w:sz w:val="28"/>
                <w:szCs w:val="28"/>
              </w:rPr>
              <w:t>万元，其中人员经费</w:t>
            </w:r>
            <w:r>
              <w:rPr>
                <w:rFonts w:hint="eastAsia" w:ascii="仿宋_GB2312" w:hAnsi="仿宋_GB2312" w:eastAsia="仿宋_GB2312" w:cs="仿宋_GB2312"/>
                <w:bCs/>
                <w:sz w:val="28"/>
                <w:szCs w:val="28"/>
                <w:lang w:val="en-US" w:eastAsia="zh-CN"/>
              </w:rPr>
              <w:t>140.93</w:t>
            </w:r>
            <w:r>
              <w:rPr>
                <w:rFonts w:hint="eastAsia" w:ascii="仿宋_GB2312" w:hAnsi="仿宋_GB2312" w:eastAsia="仿宋_GB2312" w:cs="仿宋_GB2312"/>
                <w:bCs/>
                <w:sz w:val="28"/>
                <w:szCs w:val="28"/>
              </w:rPr>
              <w:t>万元，主要用于干部职工的工资发放，社会保障缴费及其他工资福利支出等。公用经费支出</w:t>
            </w:r>
            <w:r>
              <w:rPr>
                <w:rFonts w:hint="eastAsia" w:ascii="仿宋_GB2312" w:hAnsi="仿宋_GB2312" w:eastAsia="仿宋_GB2312" w:cs="仿宋_GB2312"/>
                <w:bCs/>
                <w:sz w:val="28"/>
                <w:szCs w:val="28"/>
                <w:lang w:val="en-US" w:eastAsia="zh-CN"/>
              </w:rPr>
              <w:t>99.04</w:t>
            </w:r>
            <w:r>
              <w:rPr>
                <w:rFonts w:hint="eastAsia" w:ascii="仿宋_GB2312" w:hAnsi="仿宋_GB2312" w:eastAsia="仿宋_GB2312" w:cs="仿宋_GB2312"/>
                <w:bCs/>
                <w:sz w:val="28"/>
                <w:szCs w:val="28"/>
              </w:rPr>
              <w:t>万元，主要用于日常办公的办公费、印刷及其他商品服务支出费用。</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1、专项资金安排落实、总投入等情况分析</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全年</w:t>
            </w:r>
            <w:r>
              <w:rPr>
                <w:rFonts w:hint="eastAsia" w:ascii="仿宋_GB2312" w:hAnsi="仿宋_GB2312" w:eastAsia="仿宋_GB2312" w:cs="仿宋_GB2312"/>
                <w:bCs/>
                <w:sz w:val="28"/>
                <w:szCs w:val="28"/>
                <w:lang w:val="en-US" w:eastAsia="zh-CN"/>
              </w:rPr>
              <w:t>无</w:t>
            </w:r>
            <w:r>
              <w:rPr>
                <w:rFonts w:hint="eastAsia" w:ascii="仿宋_GB2312" w:hAnsi="仿宋_GB2312" w:eastAsia="仿宋_GB2312" w:cs="仿宋_GB2312"/>
                <w:bCs/>
                <w:sz w:val="28"/>
                <w:szCs w:val="28"/>
              </w:rPr>
              <w:t>纳入预算</w:t>
            </w:r>
            <w:r>
              <w:rPr>
                <w:rFonts w:hint="eastAsia" w:ascii="仿宋_GB2312" w:hAnsi="仿宋_GB2312" w:eastAsia="仿宋_GB2312" w:cs="仿宋_GB2312"/>
                <w:bCs/>
                <w:sz w:val="28"/>
                <w:szCs w:val="28"/>
                <w:lang w:val="en-US" w:eastAsia="zh-CN"/>
              </w:rPr>
              <w:t>的专项支出</w:t>
            </w:r>
            <w:r>
              <w:rPr>
                <w:rFonts w:hint="eastAsia" w:ascii="仿宋_GB2312" w:hAnsi="仿宋_GB2312" w:eastAsia="仿宋_GB2312" w:cs="仿宋_GB2312"/>
                <w:bCs/>
                <w:color w:val="000000"/>
                <w:sz w:val="28"/>
                <w:szCs w:val="28"/>
              </w:rPr>
              <w:t>。</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2、专项资金实际使用情况分析</w:t>
            </w:r>
            <w:r>
              <w:rPr>
                <w:rFonts w:hint="eastAsia" w:ascii="仿宋_GB2312" w:hAnsi="仿宋_GB2312" w:eastAsia="仿宋_GB2312" w:cs="仿宋_GB2312"/>
                <w:bCs/>
                <w:sz w:val="28"/>
                <w:szCs w:val="28"/>
                <w:lang w:val="en-US" w:eastAsia="zh-CN"/>
              </w:rPr>
              <w:t xml:space="preserve"> </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无专</w:t>
            </w:r>
            <w:r>
              <w:rPr>
                <w:rFonts w:hint="eastAsia" w:ascii="仿宋_GB2312" w:hAnsi="仿宋_GB2312" w:eastAsia="仿宋_GB2312" w:cs="仿宋_GB2312"/>
                <w:bCs/>
                <w:sz w:val="28"/>
                <w:szCs w:val="28"/>
              </w:rPr>
              <w:t>项</w:t>
            </w:r>
            <w:r>
              <w:rPr>
                <w:rFonts w:hint="eastAsia" w:ascii="仿宋_GB2312" w:hAnsi="仿宋_GB2312" w:eastAsia="仿宋_GB2312" w:cs="仿宋_GB2312"/>
                <w:bCs/>
                <w:color w:val="000000"/>
                <w:sz w:val="28"/>
                <w:szCs w:val="28"/>
              </w:rPr>
              <w:t>支出</w:t>
            </w:r>
            <w:r>
              <w:rPr>
                <w:rFonts w:hint="eastAsia" w:ascii="仿宋_GB2312" w:hAnsi="仿宋_GB2312" w:eastAsia="仿宋_GB2312" w:cs="仿宋_GB2312"/>
                <w:bCs/>
                <w:sz w:val="28"/>
                <w:szCs w:val="28"/>
              </w:rPr>
              <w:t>。</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各项资金本着专款专用的原则，严格执行项目资金批准的使用计划和项目批复内容，不擅自调项、扩项、缩项，不拆借、挪用、挤占。资金拨付动向按不同专项资金的要求执行。同时对每笔专项资金的支付，严格执行财务制度，落实专项资金审核程序。</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各项专项资金都安排责任人，按专项资金的用途专款专用。</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在使用专项资金时，严格执行专项资使用制度和财务制度，同时对各项专项资金的使用流程进行监督，定时查看财务报表检查专项资金使用情况。</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本单位项目资金其主要用途是确保单位的正常运转，促进各项科普工作任务顺利完成。在人员经费支出、公共支出严格执行区委区政府的各项制度；在项目经费的使用上，在保证各项任务顺利完成的同时，严格落实厉行节约的原则；三公经费的使用严格控制在预算申报的范围内。</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五、存在的主要问题</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主要存在问题：在使用公务卡方面需要进一步加强；成本有待进一步降低；财务人员业务水平需进一步提升。</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spacing w:line="400" w:lineRule="exact"/>
              <w:ind w:firstLine="560" w:firstLineChars="200"/>
              <w:rPr>
                <w:rFonts w:ascii="黑体" w:hAnsi="黑体" w:eastAsia="黑体" w:cs="黑体"/>
                <w:bCs/>
                <w:sz w:val="28"/>
                <w:szCs w:val="28"/>
              </w:rPr>
            </w:pPr>
            <w:r>
              <w:rPr>
                <w:rFonts w:hint="eastAsia" w:ascii="仿宋_GB2312" w:hAnsi="仿宋_GB2312" w:eastAsia="仿宋_GB2312" w:cs="仿宋_GB2312"/>
                <w:bCs/>
                <w:sz w:val="28"/>
                <w:szCs w:val="28"/>
              </w:rPr>
              <w:t>一是加大对公务卡的使用力度。二是进一步控制项目经费支出，在确保各项任务完成的同时，力争把成本降底。三是财务人员加强学习，建议区财政局多组织财务人员进行业务知识方面的培训。</w:t>
            </w:r>
          </w:p>
          <w:p>
            <w:pPr>
              <w:spacing w:line="560" w:lineRule="exact"/>
              <w:ind w:firstLine="560" w:firstLineChars="200"/>
              <w:rPr>
                <w:rFonts w:ascii="黑体" w:hAnsi="黑体" w:eastAsia="黑体" w:cs="黑体"/>
                <w:bCs/>
                <w:sz w:val="28"/>
                <w:szCs w:val="28"/>
              </w:rPr>
            </w:pPr>
          </w:p>
          <w:p>
            <w:pPr>
              <w:rPr>
                <w:rFonts w:eastAsia="楷体_GB2312"/>
                <w:bCs/>
                <w:sz w:val="28"/>
                <w:szCs w:val="28"/>
              </w:rPr>
            </w:pPr>
          </w:p>
        </w:tc>
      </w:tr>
    </w:tbl>
    <w:p>
      <w:pPr>
        <w:spacing w:line="348" w:lineRule="auto"/>
        <w:rPr>
          <w:rFonts w:hint="eastAsia" w:eastAsia="黑体" w:cs="黑体"/>
          <w:bCs/>
          <w:sz w:val="32"/>
          <w:szCs w:val="32"/>
        </w:rPr>
      </w:pPr>
      <w:r>
        <w:rPr>
          <w:rFonts w:hint="eastAsia" w:eastAsia="黑体" w:cs="黑体"/>
          <w:bCs/>
          <w:sz w:val="32"/>
          <w:szCs w:val="32"/>
        </w:rPr>
        <w:t>附件</w:t>
      </w:r>
      <w:r>
        <w:rPr>
          <w:rFonts w:hint="eastAsia" w:eastAsia="黑体" w:cs="黑体"/>
          <w:bCs/>
          <w:sz w:val="32"/>
          <w:szCs w:val="32"/>
          <w:lang w:val="en-US" w:eastAsia="zh-CN"/>
        </w:rPr>
        <w:t>2</w:t>
      </w:r>
      <w:r>
        <w:rPr>
          <w:rFonts w:hint="eastAsia" w:eastAsia="黑体" w:cs="黑体"/>
          <w:bCs/>
          <w:sz w:val="32"/>
          <w:szCs w:val="32"/>
        </w:rPr>
        <w:t>-2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b/>
                <w:bCs/>
                <w:spacing w:val="-10"/>
                <w:kern w:val="0"/>
                <w:sz w:val="18"/>
                <w:szCs w:val="18"/>
              </w:rPr>
            </w:pPr>
            <w:r>
              <w:rPr>
                <w:rFonts w:hint="eastAsia" w:ascii="宋体" w:hAnsi="宋体" w:eastAsia="宋体"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投  入</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预算配置</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财政供养人员</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以100%为标准。在职人员控制率≦100%，计5分；每超过一个百分点扣0.5分，扣完为止。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“三公经费”</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“三公经费”变动率≦0,计5分；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重点支出</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过  程</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预算执行</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春节前下达全部专项资金的50%；6月底前所有专项资金指标全部下达完。</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“三公经费”</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以100%为标准。三公经费控制率≦100%，计6分；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预算管理</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管理制度</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①已制定或具有预算资金管理办法，内部财务管理制度、会计核算制度等管理制度，1分；</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②相关管理制度合法、合规、完整，1分；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资金使用</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①支出符合国家财经法规和财务管理制度规定以及有关专项资金管理办法的规定；</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②资金拨付有完整的审批程序和手续；</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③项目支出按规定经过评估论证；</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④支出符合部门预算批复的用途；</w:t>
            </w:r>
          </w:p>
          <w:p>
            <w:pPr>
              <w:widowControl/>
              <w:spacing w:line="240" w:lineRule="exact"/>
              <w:jc w:val="left"/>
              <w:rPr>
                <w:rFonts w:hint="eastAsia" w:ascii="宋体" w:hAnsi="宋体" w:eastAsia="宋体" w:cs="宋体"/>
                <w:spacing w:val="-6"/>
                <w:kern w:val="0"/>
                <w:sz w:val="18"/>
                <w:szCs w:val="18"/>
                <w:lang w:eastAsia="zh-CN"/>
              </w:rPr>
            </w:pPr>
            <w:r>
              <w:rPr>
                <w:rFonts w:hint="eastAsia" w:ascii="宋体" w:hAnsi="宋体" w:eastAsia="宋体" w:cs="宋体"/>
                <w:spacing w:val="-6"/>
                <w:kern w:val="0"/>
                <w:sz w:val="18"/>
                <w:szCs w:val="18"/>
              </w:rPr>
              <w:t>⑤资金使用无截留、挤占、挪用、虚列支出等情况。</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①按规定内容公开预决算信息，1分；</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②按规定时限公开预决算信息，0.5分；</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③基础数据信息和会计信息资料真实，0.5分；</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④基础数据信息和会计信息资料完整，0.5分；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政府采购</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政府采购执行率等于100%的，得3分；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公务卡刷卡率达50％以上的，得3分。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2.6</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资产管理</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管理制度</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①已制定或具有资产管理制度，且相关资产管理制度合法、合规、完整，2分；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bl>
    <w:p>
      <w:pPr>
        <w:rPr>
          <w:rFonts w:hint="eastAsia" w:ascii="宋体" w:hAnsi="宋体" w:eastAsia="宋体" w:cs="宋体"/>
          <w:sz w:val="21"/>
          <w:szCs w:val="22"/>
        </w:rPr>
      </w:pPr>
      <w:bookmarkStart w:id="0" w:name="_GoBack"/>
      <w:bookmarkEnd w:id="0"/>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b/>
                <w:bCs/>
                <w:spacing w:val="-12"/>
                <w:kern w:val="0"/>
                <w:sz w:val="18"/>
                <w:szCs w:val="18"/>
              </w:rPr>
            </w:pPr>
            <w:r>
              <w:rPr>
                <w:rFonts w:hint="eastAsia" w:ascii="宋体" w:hAnsi="宋体" w:eastAsia="宋体"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过  程</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资产管理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资产管理</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①资产保存完整；</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②资产配置合理；</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 xml:space="preserve">③资产处置规范； </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④资产账务管理合规，帐实相符；</w:t>
            </w:r>
          </w:p>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⑤资产有偿使用及处置收入及时足额上缴；</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固定资产</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职责履行</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lang w:eastAsia="zh-CN"/>
              </w:rPr>
            </w:pPr>
            <w:r>
              <w:rPr>
                <w:rFonts w:hint="eastAsia" w:ascii="宋体" w:hAnsi="宋体" w:eastAsia="宋体" w:cs="宋体"/>
                <w:kern w:val="0"/>
                <w:sz w:val="18"/>
                <w:szCs w:val="18"/>
              </w:rPr>
              <w:t>此项指标根据区综合绩效考核领导小组办公室2018年对各部门的部门工作实绩考核分数折算考核内容设置。</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  果</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履职效益</w:t>
            </w:r>
          </w:p>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此三项指标为设置部门整体支出绩效评价指标时必须考虑的共性要素。</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宋体" w:hAnsi="宋体" w:eastAsia="宋体"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95%（含）以上计5分；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85%（含）-95%，计3分；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75%（含）-85%，计1分；</w:t>
            </w:r>
          </w:p>
          <w:p>
            <w:pPr>
              <w:widowControl/>
              <w:spacing w:line="240" w:lineRule="exact"/>
              <w:jc w:val="left"/>
              <w:rPr>
                <w:rFonts w:hint="eastAsia" w:ascii="宋体" w:hAnsi="宋体" w:eastAsia="宋体" w:cs="宋体"/>
                <w:kern w:val="0"/>
                <w:sz w:val="18"/>
                <w:szCs w:val="18"/>
              </w:rPr>
            </w:pPr>
            <w:r>
              <w:rPr>
                <w:rFonts w:hint="eastAsia" w:ascii="宋体" w:hAnsi="宋体" w:eastAsia="宋体"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r>
              <w:rPr>
                <w:rFonts w:hint="eastAsia" w:ascii="宋体" w:hAnsi="宋体" w:eastAsia="宋体" w:cs="宋体"/>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b/>
                <w:bCs/>
                <w:spacing w:val="-8"/>
                <w:kern w:val="0"/>
                <w:sz w:val="18"/>
                <w:szCs w:val="18"/>
              </w:rPr>
            </w:pPr>
            <w:r>
              <w:rPr>
                <w:rFonts w:hint="eastAsia" w:ascii="宋体" w:hAnsi="宋体" w:eastAsia="宋体"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98.1</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b/>
                <w:bCs/>
                <w:kern w:val="0"/>
                <w:sz w:val="18"/>
                <w:szCs w:val="18"/>
              </w:rPr>
            </w:pPr>
          </w:p>
        </w:tc>
      </w:tr>
    </w:tbl>
    <w:p>
      <w:pPr>
        <w:adjustRightInd w:val="0"/>
        <w:snapToGrid w:val="0"/>
        <w:spacing w:before="156" w:beforeLines="50"/>
        <w:contextualSpacing/>
      </w:pPr>
    </w:p>
    <w:sectPr>
      <w:headerReference r:id="rId5" w:type="default"/>
      <w:footerReference r:id="rId6"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20</w:t>
    </w:r>
    <w:r>
      <w:rPr>
        <w:b/>
        <w:bCs/>
        <w:sz w:val="24"/>
        <w:szCs w:val="24"/>
      </w:rPr>
      <w:fldChar w:fldCharType="end"/>
    </w:r>
    <w:r>
      <w:rPr>
        <w:lang w:val="zh-CN" w:eastAsia="zh-CN"/>
      </w:rPr>
      <w:t xml:space="preserve"> </w:t>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FkMGM1YzBkNDg5M2MwOWEzM2VkZThkMzc4Y2YyYTEifQ=="/>
  </w:docVars>
  <w:rsids>
    <w:rsidRoot w:val="431A7C3E"/>
    <w:rsid w:val="074365B5"/>
    <w:rsid w:val="08481BCE"/>
    <w:rsid w:val="08BF372B"/>
    <w:rsid w:val="2D9A22AF"/>
    <w:rsid w:val="33D3024C"/>
    <w:rsid w:val="3A6351E0"/>
    <w:rsid w:val="431A7C3E"/>
    <w:rsid w:val="4B2F463D"/>
    <w:rsid w:val="4D095BB3"/>
    <w:rsid w:val="569B0CD0"/>
    <w:rsid w:val="5E7D5801"/>
    <w:rsid w:val="60B30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kern w:val="0"/>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3731</Words>
  <Characters>4004</Characters>
  <Lines>0</Lines>
  <Paragraphs>0</Paragraphs>
  <TotalTime>8</TotalTime>
  <ScaleCrop>false</ScaleCrop>
  <LinksUpToDate>false</LinksUpToDate>
  <CharactersWithSpaces>4506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2022-04-29T00:58:00Z</dcterms:created>
  <dc:creator>Administrator</dc:creator>
  <cp:lastModifiedBy>Hedy</cp:lastModifiedBy>
  <cp:lastPrinted>2022-04-29T02:07:00Z</cp:lastPrinted>
  <dcterms:modified xsi:type="dcterms:W3CDTF">2023-04-25T01:55:40Z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2BE324F6BD4147DA8F1FA54013D2ED27</vt:lpwstr>
  </property>
</Properties>
</file>