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shd w:val="clear"/>
        <w:jc w:val="center"/>
        <w:rPr>
          <w:color w:val="auto"/>
          <w:sz w:val="56"/>
          <w:szCs w:val="56"/>
          <w:highlight w:val="none"/>
        </w:rPr>
      </w:pPr>
    </w:p>
    <w:p>
      <w:pPr>
        <w:pStyle w:val="10"/>
        <w:shd w:val="clear"/>
        <w:jc w:val="center"/>
        <w:rPr>
          <w:color w:val="auto"/>
          <w:sz w:val="56"/>
          <w:szCs w:val="56"/>
          <w:highlight w:val="none"/>
        </w:rPr>
      </w:pPr>
    </w:p>
    <w:p>
      <w:pPr>
        <w:pStyle w:val="10"/>
        <w:shd w:val="clear"/>
        <w:jc w:val="center"/>
        <w:rPr>
          <w:color w:val="auto"/>
          <w:sz w:val="84"/>
          <w:szCs w:val="84"/>
          <w:highlight w:val="none"/>
        </w:rPr>
      </w:pPr>
    </w:p>
    <w:p>
      <w:pPr>
        <w:pStyle w:val="10"/>
        <w:shd w:val="clear"/>
        <w:jc w:val="center"/>
        <w:rPr>
          <w:color w:val="auto"/>
          <w:sz w:val="84"/>
          <w:szCs w:val="84"/>
          <w:highlight w:val="none"/>
        </w:rPr>
      </w:pPr>
    </w:p>
    <w:p>
      <w:pPr>
        <w:pStyle w:val="10"/>
        <w:shd w:val="clear"/>
        <w:jc w:val="center"/>
        <w:rPr>
          <w:color w:val="auto"/>
          <w:sz w:val="84"/>
          <w:szCs w:val="84"/>
          <w:highlight w:val="none"/>
        </w:rPr>
      </w:pPr>
      <w:r>
        <w:rPr>
          <w:rFonts w:hint="eastAsia"/>
          <w:color w:val="auto"/>
          <w:sz w:val="84"/>
          <w:szCs w:val="84"/>
          <w:highlight w:val="none"/>
        </w:rPr>
        <w:t>2021年度</w:t>
      </w:r>
    </w:p>
    <w:p>
      <w:pPr>
        <w:pStyle w:val="10"/>
        <w:shd w:val="clear"/>
        <w:jc w:val="center"/>
        <w:rPr>
          <w:color w:val="auto"/>
          <w:sz w:val="84"/>
          <w:szCs w:val="84"/>
          <w:highlight w:val="none"/>
        </w:rPr>
      </w:pPr>
      <w:r>
        <w:rPr>
          <w:rFonts w:hint="eastAsia"/>
          <w:color w:val="auto"/>
          <w:sz w:val="84"/>
          <w:szCs w:val="84"/>
          <w:highlight w:val="none"/>
        </w:rPr>
        <w:t>中国共产党岳阳市岳阳楼区委员会统一战线工作部部门决算</w:t>
      </w:r>
    </w:p>
    <w:p>
      <w:pPr>
        <w:pStyle w:val="10"/>
        <w:shd w:val="clear"/>
        <w:jc w:val="center"/>
        <w:rPr>
          <w:color w:val="auto"/>
          <w:sz w:val="56"/>
          <w:szCs w:val="56"/>
          <w:highlight w:val="none"/>
        </w:rPr>
      </w:pPr>
    </w:p>
    <w:p>
      <w:pPr>
        <w:pStyle w:val="10"/>
        <w:shd w:val="clear"/>
        <w:jc w:val="center"/>
        <w:rPr>
          <w:color w:val="auto"/>
          <w:sz w:val="56"/>
          <w:szCs w:val="56"/>
          <w:highlight w:val="none"/>
        </w:rPr>
      </w:pPr>
    </w:p>
    <w:p>
      <w:pPr>
        <w:pStyle w:val="10"/>
        <w:shd w:val="clear"/>
        <w:jc w:val="center"/>
        <w:rPr>
          <w:color w:val="auto"/>
          <w:sz w:val="56"/>
          <w:szCs w:val="56"/>
          <w:highlight w:val="none"/>
        </w:rPr>
      </w:pPr>
    </w:p>
    <w:p>
      <w:pPr>
        <w:pStyle w:val="10"/>
        <w:shd w:val="clear"/>
        <w:jc w:val="center"/>
        <w:rPr>
          <w:color w:val="auto"/>
          <w:sz w:val="56"/>
          <w:szCs w:val="56"/>
          <w:highlight w:val="none"/>
        </w:rPr>
      </w:pPr>
    </w:p>
    <w:p>
      <w:pPr>
        <w:pStyle w:val="10"/>
        <w:shd w:val="clear"/>
        <w:jc w:val="center"/>
        <w:rPr>
          <w:color w:val="auto"/>
          <w:sz w:val="32"/>
          <w:szCs w:val="32"/>
          <w:highlight w:val="none"/>
        </w:rPr>
      </w:pPr>
    </w:p>
    <w:p>
      <w:pPr>
        <w:pStyle w:val="10"/>
        <w:shd w:val="clear"/>
        <w:jc w:val="center"/>
        <w:rPr>
          <w:color w:val="auto"/>
          <w:sz w:val="32"/>
          <w:szCs w:val="32"/>
          <w:highlight w:val="none"/>
        </w:rPr>
      </w:pPr>
    </w:p>
    <w:p>
      <w:pPr>
        <w:pStyle w:val="10"/>
        <w:shd w:val="clear"/>
        <w:spacing w:line="500" w:lineRule="exact"/>
        <w:jc w:val="both"/>
        <w:rPr>
          <w:b/>
          <w:color w:val="auto"/>
          <w:sz w:val="36"/>
          <w:szCs w:val="28"/>
          <w:highlight w:val="none"/>
        </w:rPr>
      </w:pPr>
    </w:p>
    <w:p>
      <w:pPr>
        <w:pStyle w:val="10"/>
        <w:shd w:val="clear"/>
        <w:spacing w:line="500" w:lineRule="exact"/>
        <w:jc w:val="center"/>
        <w:rPr>
          <w:b/>
          <w:color w:val="auto"/>
          <w:sz w:val="36"/>
          <w:szCs w:val="28"/>
          <w:highlight w:val="none"/>
        </w:rPr>
      </w:pPr>
    </w:p>
    <w:p>
      <w:pPr>
        <w:pStyle w:val="10"/>
        <w:shd w:val="clear"/>
        <w:spacing w:line="480" w:lineRule="exact"/>
        <w:jc w:val="center"/>
        <w:rPr>
          <w:b/>
          <w:color w:val="auto"/>
          <w:sz w:val="36"/>
          <w:szCs w:val="28"/>
          <w:highlight w:val="none"/>
        </w:rPr>
      </w:pPr>
      <w:r>
        <w:rPr>
          <w:rFonts w:hint="eastAsia"/>
          <w:b/>
          <w:color w:val="auto"/>
          <w:sz w:val="36"/>
          <w:szCs w:val="28"/>
          <w:highlight w:val="none"/>
        </w:rPr>
        <w:t>目录</w:t>
      </w:r>
    </w:p>
    <w:p>
      <w:pPr>
        <w:pStyle w:val="10"/>
        <w:shd w:val="clear"/>
        <w:spacing w:line="480" w:lineRule="exact"/>
        <w:rPr>
          <w:rFonts w:ascii="仿宋_GB2312" w:hAnsi="仿宋_GB2312" w:cs="仿宋_GB2312"/>
          <w:b/>
          <w:color w:val="auto"/>
          <w:sz w:val="28"/>
          <w:szCs w:val="28"/>
          <w:highlight w:val="none"/>
        </w:rPr>
      </w:pPr>
      <w:r>
        <w:rPr>
          <w:rFonts w:hint="eastAsia"/>
          <w:b/>
          <w:color w:val="auto"/>
          <w:sz w:val="28"/>
          <w:szCs w:val="28"/>
          <w:highlight w:val="none"/>
        </w:rPr>
        <w:t>第一部分  中国共产党岳阳市岳阳楼区委员会统一战线工作部</w:t>
      </w:r>
      <w:r>
        <w:rPr>
          <w:rFonts w:hint="eastAsia"/>
          <w:b/>
          <w:sz w:val="28"/>
          <w:szCs w:val="28"/>
          <w:highlight w:val="none"/>
        </w:rPr>
        <w:t>部门</w:t>
      </w:r>
      <w:r>
        <w:rPr>
          <w:rFonts w:hint="eastAsia"/>
          <w:b/>
          <w:color w:val="auto"/>
          <w:sz w:val="28"/>
          <w:szCs w:val="28"/>
          <w:highlight w:val="none"/>
        </w:rPr>
        <w:t>概况</w:t>
      </w:r>
    </w:p>
    <w:p>
      <w:pPr>
        <w:pStyle w:val="10"/>
        <w:shd w:val="clear"/>
        <w:spacing w:line="480" w:lineRule="exact"/>
        <w:ind w:firstLine="700" w:firstLineChars="250"/>
        <w:rPr>
          <w:rFonts w:cs="仿宋_GB2312" w:asciiTheme="minorEastAsia" w:hAnsiTheme="minorEastAsia" w:eastAsiaTheme="minorEastAsia"/>
          <w:color w:val="auto"/>
          <w:sz w:val="28"/>
          <w:szCs w:val="28"/>
          <w:highlight w:val="none"/>
        </w:rPr>
      </w:pPr>
      <w:r>
        <w:rPr>
          <w:rFonts w:cs="仿宋_GB2312" w:asciiTheme="minorEastAsia" w:hAnsiTheme="minorEastAsia" w:eastAsiaTheme="minorEastAsia"/>
          <w:color w:val="auto"/>
          <w:sz w:val="28"/>
          <w:szCs w:val="28"/>
          <w:highlight w:val="none"/>
        </w:rPr>
        <w:t>一、部门职责</w:t>
      </w:r>
    </w:p>
    <w:p>
      <w:pPr>
        <w:pStyle w:val="10"/>
        <w:shd w:val="clear"/>
        <w:spacing w:line="480" w:lineRule="exact"/>
        <w:ind w:firstLine="700" w:firstLineChars="250"/>
        <w:rPr>
          <w:rFonts w:cs="仿宋_GB2312" w:asciiTheme="minorEastAsia" w:hAnsiTheme="minorEastAsia" w:eastAsiaTheme="minorEastAsia"/>
          <w:color w:val="auto"/>
          <w:sz w:val="28"/>
          <w:szCs w:val="28"/>
          <w:highlight w:val="none"/>
        </w:rPr>
      </w:pPr>
      <w:r>
        <w:rPr>
          <w:rFonts w:cs="仿宋_GB2312" w:asciiTheme="minorEastAsia" w:hAnsiTheme="minorEastAsia" w:eastAsiaTheme="minorEastAsia"/>
          <w:color w:val="auto"/>
          <w:sz w:val="28"/>
          <w:szCs w:val="28"/>
          <w:highlight w:val="none"/>
        </w:rPr>
        <w:t>二、机构设置</w:t>
      </w:r>
    </w:p>
    <w:p>
      <w:pPr>
        <w:pStyle w:val="10"/>
        <w:shd w:val="clear"/>
        <w:spacing w:line="480" w:lineRule="exact"/>
        <w:rPr>
          <w:rFonts w:ascii="仿宋_GB2312" w:hAnsi="仿宋_GB2312" w:cs="仿宋_GB2312"/>
          <w:b/>
          <w:color w:val="auto"/>
          <w:sz w:val="28"/>
          <w:szCs w:val="28"/>
          <w:highlight w:val="none"/>
        </w:rPr>
      </w:pPr>
      <w:r>
        <w:rPr>
          <w:rFonts w:hint="eastAsia" w:hAnsi="仿宋_GB2312"/>
          <w:b/>
          <w:color w:val="auto"/>
          <w:sz w:val="28"/>
          <w:szCs w:val="28"/>
          <w:highlight w:val="none"/>
        </w:rPr>
        <w:t xml:space="preserve">第二部分  </w:t>
      </w:r>
      <w:r>
        <w:rPr>
          <w:rFonts w:hAnsi="仿宋_GB2312"/>
          <w:b/>
          <w:color w:val="auto"/>
          <w:sz w:val="28"/>
          <w:szCs w:val="28"/>
          <w:highlight w:val="none"/>
        </w:rPr>
        <w:t>20</w:t>
      </w:r>
      <w:r>
        <w:rPr>
          <w:rFonts w:hint="eastAsia" w:hAnsi="仿宋_GB2312"/>
          <w:b/>
          <w:color w:val="auto"/>
          <w:sz w:val="28"/>
          <w:szCs w:val="28"/>
          <w:highlight w:val="none"/>
        </w:rPr>
        <w:t>21年度部门决算表</w:t>
      </w:r>
    </w:p>
    <w:p>
      <w:pPr>
        <w:pStyle w:val="10"/>
        <w:shd w:val="clear"/>
        <w:spacing w:line="480" w:lineRule="exact"/>
        <w:ind w:firstLine="700" w:firstLineChars="250"/>
        <w:rPr>
          <w:rFonts w:cs="仿宋_GB2312" w:asciiTheme="minorEastAsia" w:hAnsiTheme="minorEastAsia" w:eastAsiaTheme="minorEastAsia"/>
          <w:color w:val="auto"/>
          <w:sz w:val="28"/>
          <w:szCs w:val="28"/>
          <w:highlight w:val="none"/>
        </w:rPr>
      </w:pPr>
      <w:r>
        <w:rPr>
          <w:rFonts w:cs="仿宋_GB2312" w:asciiTheme="minorEastAsia" w:hAnsiTheme="minorEastAsia" w:eastAsiaTheme="minorEastAsia"/>
          <w:color w:val="auto"/>
          <w:sz w:val="28"/>
          <w:szCs w:val="28"/>
          <w:highlight w:val="none"/>
        </w:rPr>
        <w:t>一、收入支出决算总表</w:t>
      </w:r>
    </w:p>
    <w:p>
      <w:pPr>
        <w:pStyle w:val="10"/>
        <w:shd w:val="clear"/>
        <w:spacing w:line="480" w:lineRule="exact"/>
        <w:ind w:firstLine="700" w:firstLineChars="250"/>
        <w:rPr>
          <w:rFonts w:cs="仿宋_GB2312" w:asciiTheme="minorEastAsia" w:hAnsiTheme="minorEastAsia" w:eastAsiaTheme="minorEastAsia"/>
          <w:color w:val="auto"/>
          <w:sz w:val="28"/>
          <w:szCs w:val="28"/>
          <w:highlight w:val="none"/>
        </w:rPr>
      </w:pPr>
      <w:r>
        <w:rPr>
          <w:rFonts w:cs="仿宋_GB2312" w:asciiTheme="minorEastAsia" w:hAnsiTheme="minorEastAsia" w:eastAsiaTheme="minorEastAsia"/>
          <w:color w:val="auto"/>
          <w:sz w:val="28"/>
          <w:szCs w:val="28"/>
          <w:highlight w:val="none"/>
        </w:rPr>
        <w:t>二、收入决算表</w:t>
      </w:r>
    </w:p>
    <w:p>
      <w:pPr>
        <w:pStyle w:val="10"/>
        <w:shd w:val="clear"/>
        <w:spacing w:line="480" w:lineRule="exact"/>
        <w:ind w:firstLine="700" w:firstLineChars="250"/>
        <w:rPr>
          <w:rFonts w:cs="仿宋_GB2312" w:asciiTheme="minorEastAsia" w:hAnsiTheme="minorEastAsia" w:eastAsiaTheme="minorEastAsia"/>
          <w:color w:val="auto"/>
          <w:sz w:val="28"/>
          <w:szCs w:val="28"/>
          <w:highlight w:val="none"/>
        </w:rPr>
      </w:pPr>
      <w:r>
        <w:rPr>
          <w:rFonts w:cs="仿宋_GB2312" w:asciiTheme="minorEastAsia" w:hAnsiTheme="minorEastAsia" w:eastAsiaTheme="minorEastAsia"/>
          <w:color w:val="auto"/>
          <w:sz w:val="28"/>
          <w:szCs w:val="28"/>
          <w:highlight w:val="none"/>
        </w:rPr>
        <w:t>三、支出决算表</w:t>
      </w:r>
    </w:p>
    <w:p>
      <w:pPr>
        <w:pStyle w:val="10"/>
        <w:shd w:val="clear"/>
        <w:spacing w:line="480" w:lineRule="exact"/>
        <w:ind w:firstLine="700" w:firstLineChars="250"/>
        <w:rPr>
          <w:rFonts w:cs="仿宋_GB2312" w:asciiTheme="minorEastAsia" w:hAnsiTheme="minorEastAsia" w:eastAsiaTheme="minorEastAsia"/>
          <w:color w:val="auto"/>
          <w:sz w:val="28"/>
          <w:szCs w:val="28"/>
          <w:highlight w:val="none"/>
        </w:rPr>
      </w:pPr>
      <w:r>
        <w:rPr>
          <w:rFonts w:cs="仿宋_GB2312" w:asciiTheme="minorEastAsia" w:hAnsiTheme="minorEastAsia" w:eastAsiaTheme="minorEastAsia"/>
          <w:color w:val="auto"/>
          <w:sz w:val="28"/>
          <w:szCs w:val="28"/>
          <w:highlight w:val="none"/>
        </w:rPr>
        <w:t>四、财政拨款收入支出决算总表</w:t>
      </w:r>
    </w:p>
    <w:p>
      <w:pPr>
        <w:pStyle w:val="10"/>
        <w:shd w:val="clear"/>
        <w:spacing w:line="480" w:lineRule="exact"/>
        <w:ind w:firstLine="700" w:firstLineChars="250"/>
        <w:rPr>
          <w:rFonts w:cs="仿宋_GB2312" w:asciiTheme="minorEastAsia" w:hAnsiTheme="minorEastAsia" w:eastAsiaTheme="minorEastAsia"/>
          <w:color w:val="auto"/>
          <w:sz w:val="28"/>
          <w:szCs w:val="28"/>
          <w:highlight w:val="none"/>
        </w:rPr>
      </w:pPr>
      <w:r>
        <w:rPr>
          <w:rFonts w:cs="仿宋_GB2312" w:asciiTheme="minorEastAsia" w:hAnsiTheme="minorEastAsia" w:eastAsiaTheme="minorEastAsia"/>
          <w:color w:val="auto"/>
          <w:sz w:val="28"/>
          <w:szCs w:val="28"/>
          <w:highlight w:val="none"/>
        </w:rPr>
        <w:t>五、一般公共预算财政拨款支出决算表</w:t>
      </w:r>
    </w:p>
    <w:p>
      <w:pPr>
        <w:pStyle w:val="10"/>
        <w:shd w:val="clear"/>
        <w:spacing w:line="480" w:lineRule="exact"/>
        <w:ind w:firstLine="700" w:firstLineChars="250"/>
        <w:rPr>
          <w:rFonts w:cs="仿宋_GB2312" w:asciiTheme="minorEastAsia" w:hAnsiTheme="minorEastAsia" w:eastAsiaTheme="minorEastAsia"/>
          <w:color w:val="auto"/>
          <w:sz w:val="28"/>
          <w:szCs w:val="28"/>
          <w:highlight w:val="none"/>
        </w:rPr>
      </w:pPr>
      <w:r>
        <w:rPr>
          <w:rFonts w:cs="仿宋_GB2312" w:asciiTheme="minorEastAsia" w:hAnsiTheme="minorEastAsia" w:eastAsiaTheme="minorEastAsia"/>
          <w:color w:val="auto"/>
          <w:sz w:val="28"/>
          <w:szCs w:val="28"/>
          <w:highlight w:val="none"/>
        </w:rPr>
        <w:t>六、一般公共预算财政拨款基本支出决算</w:t>
      </w:r>
      <w:r>
        <w:rPr>
          <w:rFonts w:hint="eastAsia" w:cs="仿宋_GB2312" w:asciiTheme="minorEastAsia" w:hAnsiTheme="minorEastAsia" w:eastAsiaTheme="minorEastAsia"/>
          <w:color w:val="auto"/>
          <w:sz w:val="28"/>
          <w:szCs w:val="28"/>
          <w:highlight w:val="none"/>
        </w:rPr>
        <w:t>明细</w:t>
      </w:r>
      <w:r>
        <w:rPr>
          <w:rFonts w:cs="仿宋_GB2312" w:asciiTheme="minorEastAsia" w:hAnsiTheme="minorEastAsia" w:eastAsiaTheme="minorEastAsia"/>
          <w:color w:val="auto"/>
          <w:sz w:val="28"/>
          <w:szCs w:val="28"/>
          <w:highlight w:val="none"/>
        </w:rPr>
        <w:t>表</w:t>
      </w:r>
    </w:p>
    <w:p>
      <w:pPr>
        <w:pStyle w:val="10"/>
        <w:shd w:val="clear"/>
        <w:spacing w:line="480" w:lineRule="exact"/>
        <w:ind w:firstLine="700" w:firstLineChars="250"/>
        <w:rPr>
          <w:rFonts w:cs="仿宋_GB2312" w:asciiTheme="minorEastAsia" w:hAnsiTheme="minorEastAsia" w:eastAsiaTheme="minorEastAsia"/>
          <w:color w:val="auto"/>
          <w:sz w:val="28"/>
          <w:szCs w:val="28"/>
          <w:highlight w:val="none"/>
        </w:rPr>
      </w:pPr>
      <w:r>
        <w:rPr>
          <w:rFonts w:cs="仿宋_GB2312" w:asciiTheme="minorEastAsia" w:hAnsiTheme="minorEastAsia" w:eastAsiaTheme="minorEastAsia"/>
          <w:color w:val="auto"/>
          <w:sz w:val="28"/>
          <w:szCs w:val="28"/>
          <w:highlight w:val="none"/>
        </w:rPr>
        <w:t>七、一般公共预算财政拨款“三公”经费支出决算表</w:t>
      </w:r>
    </w:p>
    <w:p>
      <w:pPr>
        <w:pStyle w:val="10"/>
        <w:shd w:val="clear"/>
        <w:spacing w:line="480" w:lineRule="exact"/>
        <w:ind w:firstLine="700" w:firstLineChars="250"/>
        <w:rPr>
          <w:rFonts w:cs="仿宋_GB2312" w:asciiTheme="minorEastAsia" w:hAnsiTheme="minorEastAsia" w:eastAsiaTheme="minorEastAsia"/>
          <w:color w:val="auto"/>
          <w:sz w:val="28"/>
          <w:szCs w:val="28"/>
          <w:highlight w:val="none"/>
        </w:rPr>
      </w:pPr>
      <w:r>
        <w:rPr>
          <w:rFonts w:cs="仿宋_GB2312" w:asciiTheme="minorEastAsia" w:hAnsiTheme="minorEastAsia" w:eastAsiaTheme="minorEastAsia"/>
          <w:color w:val="auto"/>
          <w:sz w:val="28"/>
          <w:szCs w:val="28"/>
          <w:highlight w:val="none"/>
        </w:rPr>
        <w:t>八、政府性基金预算财政拨款收入支出决算表</w:t>
      </w:r>
    </w:p>
    <w:p>
      <w:pPr>
        <w:pStyle w:val="10"/>
        <w:shd w:val="clear"/>
        <w:spacing w:line="480" w:lineRule="exact"/>
        <w:ind w:firstLine="700" w:firstLineChars="250"/>
        <w:rPr>
          <w:rFonts w:cs="仿宋_GB2312" w:asciiTheme="minorEastAsia" w:hAnsiTheme="minorEastAsia" w:eastAsiaTheme="minorEastAsia"/>
          <w:color w:val="auto"/>
          <w:sz w:val="28"/>
          <w:szCs w:val="28"/>
          <w:highlight w:val="none"/>
        </w:rPr>
      </w:pPr>
      <w:r>
        <w:rPr>
          <w:rFonts w:hint="eastAsia" w:cs="仿宋_GB2312" w:asciiTheme="minorEastAsia" w:hAnsiTheme="minorEastAsia" w:eastAsiaTheme="minorEastAsia"/>
          <w:color w:val="auto"/>
          <w:sz w:val="28"/>
          <w:szCs w:val="28"/>
          <w:highlight w:val="none"/>
        </w:rPr>
        <w:t>九、国有资本经营预算财政拨款支出决算表</w:t>
      </w:r>
    </w:p>
    <w:p>
      <w:pPr>
        <w:pStyle w:val="10"/>
        <w:shd w:val="clear"/>
        <w:spacing w:line="480" w:lineRule="exact"/>
        <w:rPr>
          <w:rFonts w:ascii="仿宋_GB2312" w:hAnsi="仿宋_GB2312" w:cs="仿宋_GB2312"/>
          <w:b/>
          <w:color w:val="auto"/>
          <w:sz w:val="28"/>
          <w:szCs w:val="28"/>
          <w:highlight w:val="none"/>
        </w:rPr>
      </w:pPr>
      <w:r>
        <w:rPr>
          <w:rFonts w:hint="eastAsia" w:hAnsi="仿宋_GB2312"/>
          <w:b/>
          <w:color w:val="auto"/>
          <w:sz w:val="28"/>
          <w:szCs w:val="28"/>
          <w:highlight w:val="none"/>
        </w:rPr>
        <w:t xml:space="preserve">第三部分  </w:t>
      </w:r>
      <w:r>
        <w:rPr>
          <w:rFonts w:hAnsi="仿宋_GB2312"/>
          <w:b/>
          <w:color w:val="auto"/>
          <w:sz w:val="28"/>
          <w:szCs w:val="28"/>
          <w:highlight w:val="none"/>
        </w:rPr>
        <w:t>20</w:t>
      </w:r>
      <w:r>
        <w:rPr>
          <w:rFonts w:hint="eastAsia" w:hAnsi="仿宋_GB2312"/>
          <w:b/>
          <w:color w:val="auto"/>
          <w:sz w:val="28"/>
          <w:szCs w:val="28"/>
          <w:highlight w:val="none"/>
        </w:rPr>
        <w:t>21年度部门决算情况说明</w:t>
      </w:r>
    </w:p>
    <w:p>
      <w:pPr>
        <w:pStyle w:val="10"/>
        <w:shd w:val="clear"/>
        <w:spacing w:line="480" w:lineRule="exact"/>
        <w:ind w:firstLine="700" w:firstLineChars="250"/>
        <w:rPr>
          <w:rFonts w:cs="仿宋_GB2312" w:asciiTheme="minorEastAsia" w:hAnsiTheme="minorEastAsia" w:eastAsiaTheme="minorEastAsia"/>
          <w:color w:val="auto"/>
          <w:sz w:val="28"/>
          <w:szCs w:val="28"/>
          <w:highlight w:val="none"/>
        </w:rPr>
      </w:pPr>
      <w:r>
        <w:rPr>
          <w:rFonts w:cs="仿宋_GB2312" w:asciiTheme="minorEastAsia" w:hAnsiTheme="minorEastAsia" w:eastAsiaTheme="minorEastAsia"/>
          <w:color w:val="auto"/>
          <w:sz w:val="28"/>
          <w:szCs w:val="28"/>
          <w:highlight w:val="none"/>
        </w:rPr>
        <w:t>一、收入支出决算总体情况说明</w:t>
      </w:r>
    </w:p>
    <w:p>
      <w:pPr>
        <w:shd w:val="clear"/>
        <w:spacing w:line="480" w:lineRule="exact"/>
        <w:ind w:firstLine="700" w:firstLineChars="250"/>
        <w:jc w:val="left"/>
        <w:rPr>
          <w:rFonts w:ascii="仿宋_GB2312" w:hAnsi="仿宋_GB2312" w:cs="仿宋_GB2312"/>
          <w:color w:val="auto"/>
          <w:sz w:val="28"/>
          <w:szCs w:val="28"/>
          <w:highlight w:val="none"/>
        </w:rPr>
      </w:pPr>
      <w:r>
        <w:rPr>
          <w:rFonts w:ascii="仿宋_GB2312" w:hAnsi="仿宋_GB2312" w:cs="仿宋_GB2312"/>
          <w:color w:val="auto"/>
          <w:sz w:val="28"/>
          <w:szCs w:val="28"/>
          <w:highlight w:val="none"/>
        </w:rPr>
        <w:t>二、收入决算情况说明</w:t>
      </w:r>
    </w:p>
    <w:p>
      <w:pPr>
        <w:shd w:val="clear"/>
        <w:autoSpaceDE w:val="0"/>
        <w:autoSpaceDN w:val="0"/>
        <w:adjustRightInd w:val="0"/>
        <w:spacing w:line="480" w:lineRule="exact"/>
        <w:ind w:firstLine="700" w:firstLineChars="250"/>
        <w:jc w:val="left"/>
        <w:rPr>
          <w:rFonts w:ascii="仿宋_GB2312" w:hAnsi="仿宋_GB2312" w:cs="仿宋_GB2312"/>
          <w:color w:val="auto"/>
          <w:kern w:val="0"/>
          <w:sz w:val="28"/>
          <w:szCs w:val="28"/>
          <w:highlight w:val="none"/>
        </w:rPr>
      </w:pPr>
      <w:r>
        <w:rPr>
          <w:rFonts w:ascii="仿宋_GB2312" w:hAnsi="仿宋_GB2312" w:cs="仿宋_GB2312"/>
          <w:color w:val="auto"/>
          <w:kern w:val="0"/>
          <w:sz w:val="28"/>
          <w:szCs w:val="28"/>
          <w:highlight w:val="none"/>
        </w:rPr>
        <w:t>三、支出决算情况说明</w:t>
      </w:r>
    </w:p>
    <w:p>
      <w:pPr>
        <w:shd w:val="clear"/>
        <w:autoSpaceDE w:val="0"/>
        <w:autoSpaceDN w:val="0"/>
        <w:adjustRightInd w:val="0"/>
        <w:spacing w:line="480" w:lineRule="exact"/>
        <w:ind w:firstLine="700" w:firstLineChars="250"/>
        <w:jc w:val="left"/>
        <w:rPr>
          <w:rFonts w:ascii="仿宋_GB2312" w:hAnsi="仿宋_GB2312" w:cs="仿宋_GB2312"/>
          <w:color w:val="auto"/>
          <w:kern w:val="0"/>
          <w:sz w:val="28"/>
          <w:szCs w:val="28"/>
          <w:highlight w:val="none"/>
        </w:rPr>
      </w:pPr>
      <w:r>
        <w:rPr>
          <w:rFonts w:ascii="仿宋_GB2312" w:hAnsi="仿宋_GB2312" w:cs="仿宋_GB2312"/>
          <w:color w:val="auto"/>
          <w:kern w:val="0"/>
          <w:sz w:val="28"/>
          <w:szCs w:val="28"/>
          <w:highlight w:val="none"/>
        </w:rPr>
        <w:t>四、财政拨款收入支出决算总体情况说明</w:t>
      </w:r>
    </w:p>
    <w:p>
      <w:pPr>
        <w:shd w:val="clear"/>
        <w:autoSpaceDE w:val="0"/>
        <w:autoSpaceDN w:val="0"/>
        <w:adjustRightInd w:val="0"/>
        <w:spacing w:line="480" w:lineRule="exact"/>
        <w:ind w:firstLine="700" w:firstLineChars="250"/>
        <w:jc w:val="left"/>
        <w:rPr>
          <w:rFonts w:ascii="仿宋_GB2312" w:hAnsi="仿宋_GB2312" w:cs="仿宋_GB2312"/>
          <w:color w:val="auto"/>
          <w:kern w:val="0"/>
          <w:sz w:val="28"/>
          <w:szCs w:val="28"/>
          <w:highlight w:val="none"/>
        </w:rPr>
      </w:pPr>
      <w:r>
        <w:rPr>
          <w:rFonts w:ascii="仿宋_GB2312" w:hAnsi="仿宋_GB2312" w:cs="仿宋_GB2312"/>
          <w:color w:val="auto"/>
          <w:kern w:val="0"/>
          <w:sz w:val="28"/>
          <w:szCs w:val="28"/>
          <w:highlight w:val="none"/>
        </w:rPr>
        <w:t>五、一般公共预算财政拨款支出决算情况说明</w:t>
      </w:r>
    </w:p>
    <w:p>
      <w:pPr>
        <w:shd w:val="clear"/>
        <w:autoSpaceDE w:val="0"/>
        <w:autoSpaceDN w:val="0"/>
        <w:adjustRightInd w:val="0"/>
        <w:spacing w:line="480" w:lineRule="exact"/>
        <w:ind w:firstLine="700" w:firstLineChars="250"/>
        <w:jc w:val="left"/>
        <w:rPr>
          <w:rFonts w:ascii="仿宋_GB2312" w:hAnsi="仿宋_GB2312" w:cs="仿宋_GB2312"/>
          <w:color w:val="auto"/>
          <w:kern w:val="0"/>
          <w:sz w:val="28"/>
          <w:szCs w:val="28"/>
          <w:highlight w:val="none"/>
        </w:rPr>
      </w:pPr>
      <w:r>
        <w:rPr>
          <w:rFonts w:ascii="仿宋_GB2312" w:hAnsi="仿宋_GB2312" w:cs="仿宋_GB2312"/>
          <w:color w:val="auto"/>
          <w:kern w:val="0"/>
          <w:sz w:val="28"/>
          <w:szCs w:val="28"/>
          <w:highlight w:val="none"/>
        </w:rPr>
        <w:t>六、一般公共预算财政拨款基本支出决算情况说明</w:t>
      </w:r>
    </w:p>
    <w:p>
      <w:pPr>
        <w:shd w:val="clear"/>
        <w:autoSpaceDE w:val="0"/>
        <w:autoSpaceDN w:val="0"/>
        <w:adjustRightInd w:val="0"/>
        <w:spacing w:line="480" w:lineRule="exact"/>
        <w:ind w:firstLine="700" w:firstLineChars="250"/>
        <w:jc w:val="left"/>
        <w:rPr>
          <w:rFonts w:ascii="仿宋_GB2312" w:hAnsi="仿宋_GB2312" w:cs="仿宋_GB2312"/>
          <w:color w:val="auto"/>
          <w:kern w:val="0"/>
          <w:sz w:val="28"/>
          <w:szCs w:val="28"/>
          <w:highlight w:val="none"/>
        </w:rPr>
      </w:pPr>
      <w:r>
        <w:rPr>
          <w:rFonts w:ascii="仿宋_GB2312" w:hAnsi="仿宋_GB2312" w:cs="仿宋_GB2312"/>
          <w:color w:val="auto"/>
          <w:kern w:val="0"/>
          <w:sz w:val="28"/>
          <w:szCs w:val="28"/>
          <w:highlight w:val="none"/>
        </w:rPr>
        <w:t>七、一般公共预算财政拨款</w:t>
      </w:r>
      <w:r>
        <w:rPr>
          <w:rFonts w:hint="eastAsia" w:ascii="仿宋_GB2312" w:hAnsi="仿宋_GB2312" w:cs="仿宋_GB2312"/>
          <w:color w:val="auto"/>
          <w:kern w:val="0"/>
          <w:sz w:val="28"/>
          <w:szCs w:val="28"/>
          <w:highlight w:val="none"/>
        </w:rPr>
        <w:t>“</w:t>
      </w:r>
      <w:r>
        <w:rPr>
          <w:rFonts w:ascii="仿宋_GB2312" w:hAnsi="仿宋_GB2312" w:cs="仿宋_GB2312"/>
          <w:color w:val="auto"/>
          <w:kern w:val="0"/>
          <w:sz w:val="28"/>
          <w:szCs w:val="28"/>
          <w:highlight w:val="none"/>
        </w:rPr>
        <w:t>三公</w:t>
      </w:r>
      <w:r>
        <w:rPr>
          <w:rFonts w:hint="eastAsia" w:ascii="仿宋_GB2312" w:hAnsi="仿宋_GB2312" w:cs="仿宋_GB2312"/>
          <w:color w:val="auto"/>
          <w:kern w:val="0"/>
          <w:sz w:val="28"/>
          <w:szCs w:val="28"/>
          <w:highlight w:val="none"/>
        </w:rPr>
        <w:t>”</w:t>
      </w:r>
      <w:r>
        <w:rPr>
          <w:rFonts w:ascii="仿宋_GB2312" w:hAnsi="仿宋_GB2312" w:cs="仿宋_GB2312"/>
          <w:color w:val="auto"/>
          <w:kern w:val="0"/>
          <w:sz w:val="28"/>
          <w:szCs w:val="28"/>
          <w:highlight w:val="none"/>
        </w:rPr>
        <w:t>经费支出决算情况说明</w:t>
      </w:r>
    </w:p>
    <w:p>
      <w:pPr>
        <w:shd w:val="clear"/>
        <w:autoSpaceDE w:val="0"/>
        <w:autoSpaceDN w:val="0"/>
        <w:adjustRightInd w:val="0"/>
        <w:spacing w:line="480" w:lineRule="exact"/>
        <w:ind w:firstLine="700" w:firstLineChars="250"/>
        <w:jc w:val="left"/>
        <w:rPr>
          <w:rFonts w:ascii="仿宋_GB2312" w:hAnsi="仿宋_GB2312" w:cs="仿宋_GB2312"/>
          <w:color w:val="auto"/>
          <w:kern w:val="0"/>
          <w:sz w:val="28"/>
          <w:szCs w:val="28"/>
          <w:highlight w:val="none"/>
        </w:rPr>
      </w:pPr>
      <w:r>
        <w:rPr>
          <w:rFonts w:hint="eastAsia" w:ascii="仿宋_GB2312" w:hAnsi="仿宋_GB2312" w:cs="仿宋_GB2312"/>
          <w:color w:val="auto"/>
          <w:kern w:val="0"/>
          <w:sz w:val="28"/>
          <w:szCs w:val="28"/>
          <w:highlight w:val="none"/>
        </w:rPr>
        <w:t>八</w:t>
      </w:r>
      <w:r>
        <w:rPr>
          <w:rFonts w:ascii="仿宋_GB2312" w:hAnsi="仿宋_GB2312" w:cs="仿宋_GB2312"/>
          <w:color w:val="auto"/>
          <w:kern w:val="0"/>
          <w:sz w:val="28"/>
          <w:szCs w:val="28"/>
          <w:highlight w:val="none"/>
        </w:rPr>
        <w:t>、</w:t>
      </w:r>
      <w:r>
        <w:rPr>
          <w:rFonts w:hint="eastAsia" w:ascii="仿宋_GB2312" w:hAnsi="仿宋_GB2312" w:cs="仿宋_GB2312"/>
          <w:color w:val="auto"/>
          <w:kern w:val="0"/>
          <w:sz w:val="28"/>
          <w:szCs w:val="28"/>
          <w:highlight w:val="none"/>
        </w:rPr>
        <w:t>政府性基金预算收入支出决算情况</w:t>
      </w:r>
    </w:p>
    <w:p>
      <w:pPr>
        <w:shd w:val="clear"/>
        <w:autoSpaceDE w:val="0"/>
        <w:autoSpaceDN w:val="0"/>
        <w:adjustRightInd w:val="0"/>
        <w:spacing w:line="500" w:lineRule="exact"/>
        <w:ind w:firstLine="700"/>
        <w:jc w:val="left"/>
        <w:rPr>
          <w:rFonts w:ascii="仿宋_GB2312" w:hAnsi="仿宋_GB2312" w:cs="仿宋_GB2312"/>
          <w:color w:val="auto"/>
          <w:kern w:val="0"/>
          <w:sz w:val="28"/>
          <w:szCs w:val="28"/>
          <w:highlight w:val="none"/>
        </w:rPr>
      </w:pPr>
      <w:r>
        <w:rPr>
          <w:rFonts w:hint="eastAsia" w:ascii="宋体" w:hAnsi="Times New Roman" w:eastAsia="宋体" w:cs="宋体"/>
          <w:color w:val="auto"/>
          <w:kern w:val="0"/>
          <w:sz w:val="28"/>
          <w:szCs w:val="28"/>
          <w:highlight w:val="none"/>
        </w:rPr>
        <w:t>九、国有资本经营预算财政拨款支出决算情况</w:t>
      </w:r>
    </w:p>
    <w:p>
      <w:pPr>
        <w:shd w:val="clear"/>
        <w:autoSpaceDE w:val="0"/>
        <w:autoSpaceDN w:val="0"/>
        <w:adjustRightInd w:val="0"/>
        <w:spacing w:line="480" w:lineRule="exact"/>
        <w:ind w:firstLine="700" w:firstLineChars="250"/>
        <w:jc w:val="left"/>
        <w:rPr>
          <w:rFonts w:ascii="仿宋_GB2312" w:hAnsi="仿宋_GB2312" w:cs="仿宋_GB2312"/>
          <w:color w:val="auto"/>
          <w:kern w:val="0"/>
          <w:sz w:val="28"/>
          <w:szCs w:val="28"/>
          <w:highlight w:val="none"/>
        </w:rPr>
      </w:pPr>
      <w:r>
        <w:rPr>
          <w:rFonts w:hint="eastAsia" w:ascii="仿宋_GB2312" w:hAnsi="仿宋_GB2312" w:cs="仿宋_GB2312"/>
          <w:color w:val="auto"/>
          <w:kern w:val="0"/>
          <w:sz w:val="28"/>
          <w:szCs w:val="28"/>
          <w:highlight w:val="none"/>
        </w:rPr>
        <w:t>十、机关运行经费支出说明</w:t>
      </w:r>
    </w:p>
    <w:p>
      <w:pPr>
        <w:shd w:val="clear"/>
        <w:autoSpaceDE w:val="0"/>
        <w:autoSpaceDN w:val="0"/>
        <w:adjustRightInd w:val="0"/>
        <w:spacing w:line="480" w:lineRule="exact"/>
        <w:ind w:firstLine="700" w:firstLineChars="250"/>
        <w:jc w:val="left"/>
        <w:rPr>
          <w:rFonts w:ascii="仿宋_GB2312" w:hAnsi="仿宋_GB2312" w:cs="仿宋_GB2312"/>
          <w:color w:val="auto"/>
          <w:kern w:val="0"/>
          <w:sz w:val="28"/>
          <w:szCs w:val="28"/>
          <w:highlight w:val="none"/>
        </w:rPr>
      </w:pPr>
      <w:r>
        <w:rPr>
          <w:rFonts w:hint="eastAsia" w:ascii="仿宋_GB2312" w:hAnsi="仿宋_GB2312" w:cs="仿宋_GB2312"/>
          <w:color w:val="auto"/>
          <w:kern w:val="0"/>
          <w:sz w:val="28"/>
          <w:szCs w:val="28"/>
          <w:highlight w:val="none"/>
        </w:rPr>
        <w:t>十一、一般性支出情况说明</w:t>
      </w:r>
    </w:p>
    <w:p>
      <w:pPr>
        <w:shd w:val="clear"/>
        <w:autoSpaceDE w:val="0"/>
        <w:autoSpaceDN w:val="0"/>
        <w:adjustRightInd w:val="0"/>
        <w:spacing w:line="480" w:lineRule="exact"/>
        <w:ind w:firstLine="700" w:firstLineChars="250"/>
        <w:jc w:val="left"/>
        <w:rPr>
          <w:rFonts w:ascii="仿宋_GB2312" w:hAnsi="仿宋_GB2312" w:cs="仿宋_GB2312"/>
          <w:color w:val="auto"/>
          <w:sz w:val="28"/>
          <w:szCs w:val="28"/>
          <w:highlight w:val="none"/>
        </w:rPr>
      </w:pPr>
      <w:r>
        <w:rPr>
          <w:rFonts w:hint="eastAsia" w:ascii="仿宋_GB2312" w:hAnsi="仿宋_GB2312" w:cs="仿宋_GB2312"/>
          <w:color w:val="auto"/>
          <w:sz w:val="28"/>
          <w:szCs w:val="28"/>
          <w:highlight w:val="none"/>
        </w:rPr>
        <w:t>十二、</w:t>
      </w:r>
      <w:r>
        <w:rPr>
          <w:rFonts w:hint="eastAsia" w:ascii="仿宋_GB2312" w:hAnsi="仿宋_GB2312" w:cs="仿宋_GB2312"/>
          <w:color w:val="auto"/>
          <w:kern w:val="0"/>
          <w:sz w:val="28"/>
          <w:szCs w:val="28"/>
          <w:highlight w:val="none"/>
        </w:rPr>
        <w:t>政府采购支出说明</w:t>
      </w:r>
    </w:p>
    <w:p>
      <w:pPr>
        <w:pStyle w:val="10"/>
        <w:shd w:val="clear"/>
        <w:spacing w:line="480" w:lineRule="exact"/>
        <w:ind w:firstLine="700" w:firstLineChars="250"/>
        <w:rPr>
          <w:rFonts w:ascii="仿宋_GB2312" w:hAnsi="仿宋_GB2312" w:cs="仿宋_GB2312" w:eastAsiaTheme="minorEastAsia"/>
          <w:color w:val="auto"/>
          <w:sz w:val="28"/>
          <w:szCs w:val="28"/>
          <w:highlight w:val="none"/>
        </w:rPr>
      </w:pPr>
      <w:r>
        <w:rPr>
          <w:rFonts w:hint="eastAsia" w:ascii="仿宋_GB2312" w:hAnsi="仿宋_GB2312" w:cs="仿宋_GB2312" w:eastAsiaTheme="minorEastAsia"/>
          <w:color w:val="auto"/>
          <w:sz w:val="28"/>
          <w:szCs w:val="28"/>
          <w:highlight w:val="none"/>
        </w:rPr>
        <w:t>十三、国有资产占用情况说明</w:t>
      </w:r>
    </w:p>
    <w:p>
      <w:pPr>
        <w:pStyle w:val="10"/>
        <w:shd w:val="clear"/>
        <w:spacing w:line="480" w:lineRule="exact"/>
        <w:ind w:firstLine="700" w:firstLineChars="250"/>
        <w:rPr>
          <w:rFonts w:ascii="仿宋_GB2312" w:hAnsi="仿宋_GB2312" w:cs="仿宋_GB2312" w:eastAsiaTheme="minorEastAsia"/>
          <w:color w:val="auto"/>
          <w:sz w:val="28"/>
          <w:szCs w:val="28"/>
          <w:highlight w:val="none"/>
        </w:rPr>
      </w:pPr>
      <w:r>
        <w:rPr>
          <w:rFonts w:hint="eastAsia" w:ascii="仿宋_GB2312" w:hAnsi="仿宋_GB2312" w:cs="仿宋_GB2312" w:eastAsiaTheme="minorEastAsia"/>
          <w:color w:val="auto"/>
          <w:sz w:val="28"/>
          <w:szCs w:val="28"/>
          <w:highlight w:val="none"/>
        </w:rPr>
        <w:t>十四、</w:t>
      </w:r>
      <w:r>
        <w:rPr>
          <w:rFonts w:hint="eastAsia" w:cs="仿宋_GB2312" w:asciiTheme="minorEastAsia" w:hAnsiTheme="minorEastAsia" w:eastAsiaTheme="minorEastAsia"/>
          <w:color w:val="auto"/>
          <w:sz w:val="28"/>
          <w:szCs w:val="28"/>
          <w:highlight w:val="none"/>
        </w:rPr>
        <w:t>2021年</w:t>
      </w:r>
      <w:r>
        <w:rPr>
          <w:rFonts w:hint="eastAsia" w:ascii="仿宋_GB2312" w:hAnsi="仿宋_GB2312" w:cs="仿宋_GB2312" w:eastAsiaTheme="minorEastAsia"/>
          <w:color w:val="auto"/>
          <w:sz w:val="28"/>
          <w:szCs w:val="28"/>
          <w:highlight w:val="none"/>
        </w:rPr>
        <w:t>度预算绩效情况说明</w:t>
      </w:r>
    </w:p>
    <w:p>
      <w:pPr>
        <w:shd w:val="clear"/>
        <w:autoSpaceDE w:val="0"/>
        <w:autoSpaceDN w:val="0"/>
        <w:adjustRightInd w:val="0"/>
        <w:spacing w:line="480" w:lineRule="exact"/>
        <w:jc w:val="left"/>
        <w:rPr>
          <w:rFonts w:ascii="黑体" w:hAnsi="黑体" w:eastAsia="黑体" w:cs="黑体"/>
          <w:b/>
          <w:color w:val="auto"/>
          <w:kern w:val="0"/>
          <w:sz w:val="28"/>
          <w:szCs w:val="28"/>
          <w:highlight w:val="none"/>
        </w:rPr>
      </w:pPr>
      <w:r>
        <w:rPr>
          <w:rFonts w:ascii="黑体" w:hAnsi="黑体" w:eastAsia="黑体" w:cs="黑体"/>
          <w:b/>
          <w:color w:val="auto"/>
          <w:kern w:val="0"/>
          <w:sz w:val="28"/>
          <w:szCs w:val="28"/>
          <w:highlight w:val="none"/>
        </w:rPr>
        <w:t>第四部分</w:t>
      </w:r>
      <w:r>
        <w:rPr>
          <w:rFonts w:hint="eastAsia" w:ascii="黑体" w:hAnsi="黑体" w:eastAsia="黑体" w:cs="黑体"/>
          <w:b/>
          <w:color w:val="auto"/>
          <w:kern w:val="0"/>
          <w:sz w:val="28"/>
          <w:szCs w:val="28"/>
          <w:highlight w:val="none"/>
        </w:rPr>
        <w:t xml:space="preserve">  </w:t>
      </w:r>
      <w:r>
        <w:rPr>
          <w:rFonts w:ascii="黑体" w:hAnsi="黑体" w:eastAsia="黑体" w:cs="黑体"/>
          <w:b/>
          <w:color w:val="auto"/>
          <w:kern w:val="0"/>
          <w:sz w:val="28"/>
          <w:szCs w:val="28"/>
          <w:highlight w:val="none"/>
        </w:rPr>
        <w:t>名词解释</w:t>
      </w:r>
    </w:p>
    <w:p>
      <w:pPr>
        <w:shd w:val="clear"/>
        <w:autoSpaceDE w:val="0"/>
        <w:autoSpaceDN w:val="0"/>
        <w:adjustRightInd w:val="0"/>
        <w:spacing w:line="480" w:lineRule="exact"/>
        <w:jc w:val="left"/>
        <w:rPr>
          <w:rFonts w:ascii="黑体" w:hAnsi="黑体" w:eastAsia="黑体" w:cs="仿宋_GB2312"/>
          <w:b/>
          <w:color w:val="auto"/>
          <w:kern w:val="0"/>
          <w:sz w:val="28"/>
          <w:szCs w:val="28"/>
          <w:highlight w:val="none"/>
        </w:rPr>
      </w:pPr>
      <w:r>
        <w:rPr>
          <w:rFonts w:hint="eastAsia" w:ascii="黑体" w:hAnsi="黑体" w:eastAsia="黑体" w:cs="黑体"/>
          <w:b/>
          <w:color w:val="auto"/>
          <w:kern w:val="0"/>
          <w:sz w:val="28"/>
          <w:szCs w:val="28"/>
          <w:highlight w:val="none"/>
        </w:rPr>
        <w:t>第五部分  附件</w:t>
      </w:r>
    </w:p>
    <w:p>
      <w:pPr>
        <w:shd w:val="clear"/>
        <w:spacing w:line="620" w:lineRule="exact"/>
        <w:jc w:val="center"/>
        <w:rPr>
          <w:color w:val="auto"/>
          <w:sz w:val="72"/>
          <w:szCs w:val="72"/>
          <w:highlight w:val="none"/>
        </w:rPr>
      </w:pPr>
    </w:p>
    <w:p>
      <w:pPr>
        <w:shd w:val="clear"/>
        <w:jc w:val="center"/>
        <w:rPr>
          <w:color w:val="auto"/>
          <w:sz w:val="72"/>
          <w:szCs w:val="72"/>
          <w:highlight w:val="none"/>
        </w:rPr>
      </w:pPr>
    </w:p>
    <w:p>
      <w:pPr>
        <w:shd w:val="clear"/>
        <w:jc w:val="center"/>
        <w:rPr>
          <w:color w:val="auto"/>
          <w:sz w:val="72"/>
          <w:szCs w:val="72"/>
          <w:highlight w:val="none"/>
        </w:rPr>
      </w:pPr>
    </w:p>
    <w:p>
      <w:pPr>
        <w:shd w:val="clear"/>
        <w:jc w:val="center"/>
        <w:rPr>
          <w:color w:val="auto"/>
          <w:sz w:val="72"/>
          <w:szCs w:val="72"/>
          <w:highlight w:val="none"/>
        </w:rPr>
      </w:pPr>
    </w:p>
    <w:p>
      <w:pPr>
        <w:shd w:val="clear"/>
        <w:rPr>
          <w:color w:val="auto"/>
          <w:sz w:val="72"/>
          <w:szCs w:val="72"/>
          <w:highlight w:val="none"/>
        </w:rPr>
      </w:pPr>
    </w:p>
    <w:p>
      <w:pPr>
        <w:pStyle w:val="10"/>
        <w:shd w:val="clear"/>
        <w:jc w:val="center"/>
        <w:rPr>
          <w:color w:val="auto"/>
          <w:sz w:val="84"/>
          <w:szCs w:val="84"/>
          <w:highlight w:val="none"/>
        </w:rPr>
      </w:pPr>
      <w:r>
        <w:rPr>
          <w:rFonts w:hint="eastAsia"/>
          <w:color w:val="auto"/>
          <w:sz w:val="84"/>
          <w:szCs w:val="84"/>
          <w:highlight w:val="none"/>
        </w:rPr>
        <w:t>第一部分</w:t>
      </w:r>
      <w:r>
        <w:rPr>
          <w:color w:val="auto"/>
          <w:sz w:val="84"/>
          <w:szCs w:val="84"/>
          <w:highlight w:val="none"/>
        </w:rPr>
        <w:t xml:space="preserve"> </w:t>
      </w:r>
    </w:p>
    <w:p>
      <w:pPr>
        <w:pStyle w:val="10"/>
        <w:shd w:val="clear"/>
        <w:jc w:val="center"/>
        <w:rPr>
          <w:color w:val="auto"/>
          <w:sz w:val="84"/>
          <w:szCs w:val="84"/>
          <w:highlight w:val="none"/>
        </w:rPr>
      </w:pPr>
    </w:p>
    <w:p>
      <w:pPr>
        <w:pStyle w:val="10"/>
        <w:shd w:val="clear"/>
        <w:jc w:val="center"/>
        <w:rPr>
          <w:color w:val="auto"/>
          <w:sz w:val="84"/>
          <w:szCs w:val="84"/>
          <w:highlight w:val="none"/>
        </w:rPr>
      </w:pPr>
      <w:r>
        <w:rPr>
          <w:rFonts w:hint="eastAsia"/>
          <w:color w:val="auto"/>
          <w:sz w:val="84"/>
          <w:szCs w:val="84"/>
          <w:highlight w:val="none"/>
        </w:rPr>
        <w:t>中国共产党岳阳市岳阳楼区委员会统一战线工作部部门概况</w:t>
      </w:r>
    </w:p>
    <w:p>
      <w:pPr>
        <w:shd w:val="clear"/>
        <w:jc w:val="center"/>
        <w:rPr>
          <w:color w:val="auto"/>
          <w:sz w:val="72"/>
          <w:szCs w:val="72"/>
          <w:highlight w:val="none"/>
        </w:rPr>
      </w:pPr>
    </w:p>
    <w:p>
      <w:pPr>
        <w:shd w:val="clear"/>
        <w:jc w:val="center"/>
        <w:rPr>
          <w:color w:val="auto"/>
          <w:sz w:val="72"/>
          <w:szCs w:val="72"/>
          <w:highlight w:val="none"/>
        </w:rPr>
      </w:pPr>
    </w:p>
    <w:p>
      <w:pPr>
        <w:shd w:val="clear"/>
        <w:jc w:val="center"/>
        <w:rPr>
          <w:color w:val="auto"/>
          <w:sz w:val="72"/>
          <w:szCs w:val="72"/>
          <w:highlight w:val="none"/>
        </w:rPr>
      </w:pPr>
    </w:p>
    <w:p>
      <w:pPr>
        <w:shd w:val="clear"/>
        <w:jc w:val="center"/>
        <w:rPr>
          <w:color w:val="auto"/>
          <w:sz w:val="72"/>
          <w:szCs w:val="72"/>
          <w:highlight w:val="none"/>
        </w:rPr>
      </w:pPr>
    </w:p>
    <w:p>
      <w:pPr>
        <w:shd w:val="clear"/>
        <w:jc w:val="center"/>
        <w:rPr>
          <w:color w:val="auto"/>
          <w:sz w:val="72"/>
          <w:szCs w:val="72"/>
          <w:highlight w:val="none"/>
        </w:rPr>
      </w:pPr>
    </w:p>
    <w:p>
      <w:pPr>
        <w:pStyle w:val="11"/>
        <w:shd w:val="clear"/>
        <w:ind w:left="0" w:leftChars="0" w:firstLine="0" w:firstLineChars="0"/>
        <w:jc w:val="left"/>
        <w:rPr>
          <w:rFonts w:ascii="黑体" w:hAnsi="黑体" w:eastAsia="黑体"/>
          <w:color w:val="auto"/>
          <w:sz w:val="32"/>
          <w:szCs w:val="32"/>
          <w:highlight w:val="none"/>
        </w:rPr>
      </w:pPr>
    </w:p>
    <w:p>
      <w:pPr>
        <w:pStyle w:val="11"/>
        <w:numPr>
          <w:ilvl w:val="0"/>
          <w:numId w:val="1"/>
        </w:numPr>
        <w:shd w:val="clear"/>
        <w:ind w:firstLineChars="0"/>
        <w:jc w:val="left"/>
        <w:rPr>
          <w:rFonts w:ascii="黑体" w:hAnsi="黑体" w:eastAsia="黑体"/>
          <w:color w:val="auto"/>
          <w:sz w:val="32"/>
          <w:szCs w:val="32"/>
          <w:highlight w:val="none"/>
        </w:rPr>
      </w:pPr>
      <w:r>
        <w:rPr>
          <w:rFonts w:ascii="黑体" w:hAnsi="黑体" w:eastAsia="黑体"/>
          <w:color w:val="auto"/>
          <w:sz w:val="32"/>
          <w:szCs w:val="32"/>
          <w:highlight w:val="none"/>
        </w:rPr>
        <w:t>部门职责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left="0" w:right="0" w:firstLine="641"/>
        <w:jc w:val="both"/>
        <w:textAlignment w:val="center"/>
        <w:rPr>
          <w:rFonts w:ascii="微软雅黑" w:hAnsi="微软雅黑" w:eastAsia="微软雅黑" w:cs="微软雅黑"/>
          <w:i w:val="0"/>
          <w:caps w:val="0"/>
          <w:color w:val="auto"/>
          <w:spacing w:val="0"/>
          <w:sz w:val="24"/>
          <w:szCs w:val="24"/>
          <w:highlight w:val="none"/>
        </w:rPr>
      </w:pPr>
      <w:r>
        <w:rPr>
          <w:rFonts w:hint="eastAsia" w:ascii="宋体" w:hAnsi="宋体" w:eastAsia="宋体" w:cs="宋体"/>
          <w:i w:val="0"/>
          <w:caps w:val="0"/>
          <w:color w:val="auto"/>
          <w:spacing w:val="0"/>
          <w:sz w:val="32"/>
          <w:szCs w:val="32"/>
          <w:highlight w:val="none"/>
          <w:shd w:val="clear" w:fill="FFFFFF"/>
        </w:rPr>
        <w:t>（一）贯彻落实和加强党对统一战线工作集中统一领导的要求，发挥区委在统战工作方面的参谋机构、组织协调机构、具体执行机构、督促检查机构作用。了解情况、掌握政策、协调关系、安排人事、增进共识、加强团结，协调统一战线各方面关系。组织和落实中央、省委、市委、区委关于统一战线工作重大决策部署，巩固壮大最广泛的统一战线。</w:t>
      </w:r>
      <w:r>
        <w:rPr>
          <w:rFonts w:ascii="等线" w:hAnsi="等线" w:eastAsia="等线" w:cs="等线"/>
          <w:i w:val="0"/>
          <w:caps w:val="0"/>
          <w:color w:val="auto"/>
          <w:spacing w:val="0"/>
          <w:sz w:val="32"/>
          <w:szCs w:val="32"/>
          <w:highlight w:val="none"/>
          <w:shd w:val="clear" w:fill="FFFFFF"/>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left="0" w:right="0" w:firstLine="641"/>
        <w:jc w:val="both"/>
        <w:textAlignment w:val="center"/>
        <w:rPr>
          <w:rFonts w:hint="eastAsia" w:ascii="微软雅黑" w:hAnsi="微软雅黑" w:eastAsia="微软雅黑" w:cs="微软雅黑"/>
          <w:i w:val="0"/>
          <w:caps w:val="0"/>
          <w:color w:val="auto"/>
          <w:spacing w:val="0"/>
          <w:sz w:val="24"/>
          <w:szCs w:val="24"/>
          <w:highlight w:val="none"/>
        </w:rPr>
      </w:pPr>
      <w:r>
        <w:rPr>
          <w:rFonts w:hint="eastAsia" w:ascii="宋体" w:hAnsi="宋体" w:eastAsia="宋体" w:cs="宋体"/>
          <w:i w:val="0"/>
          <w:caps w:val="0"/>
          <w:color w:val="auto"/>
          <w:spacing w:val="0"/>
          <w:sz w:val="32"/>
          <w:szCs w:val="32"/>
          <w:highlight w:val="none"/>
          <w:shd w:val="clear" w:fill="FFFFFF"/>
        </w:rPr>
        <w:t>（二）协调开展全区统一战线重大理论研究，拟订全区统一战线政策并推动落实。深入调查研究，及时向区委报告统一战线工作情况并提出建议。统筹协调和指导各街道（乡）、区直各单位统一战线工作。</w:t>
      </w:r>
      <w:r>
        <w:rPr>
          <w:rFonts w:hint="default" w:ascii="等线" w:hAnsi="等线" w:eastAsia="等线" w:cs="等线"/>
          <w:i w:val="0"/>
          <w:caps w:val="0"/>
          <w:color w:val="auto"/>
          <w:spacing w:val="0"/>
          <w:sz w:val="32"/>
          <w:szCs w:val="32"/>
          <w:highlight w:val="none"/>
          <w:shd w:val="clear" w:fill="FFFFFF"/>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left="0" w:right="0" w:firstLine="641"/>
        <w:jc w:val="both"/>
        <w:textAlignment w:val="center"/>
        <w:rPr>
          <w:rFonts w:hint="eastAsia" w:ascii="微软雅黑" w:hAnsi="微软雅黑" w:eastAsia="微软雅黑" w:cs="微软雅黑"/>
          <w:i w:val="0"/>
          <w:caps w:val="0"/>
          <w:color w:val="auto"/>
          <w:spacing w:val="0"/>
          <w:sz w:val="24"/>
          <w:szCs w:val="24"/>
          <w:highlight w:val="none"/>
        </w:rPr>
      </w:pPr>
      <w:r>
        <w:rPr>
          <w:rFonts w:hint="eastAsia" w:ascii="宋体" w:hAnsi="宋体" w:eastAsia="宋体" w:cs="宋体"/>
          <w:i w:val="0"/>
          <w:caps w:val="0"/>
          <w:color w:val="auto"/>
          <w:spacing w:val="0"/>
          <w:sz w:val="32"/>
          <w:szCs w:val="32"/>
          <w:highlight w:val="none"/>
          <w:shd w:val="clear" w:fill="FFFFFF"/>
        </w:rPr>
        <w:t>（三）负责发现、培养党外代表人士，负责党外人士的政治安排，会同有关部门做好安排党外人士担任政府和司法机关等领导职务的工作，协助各民主党派驻区组织、区工商联做好干部管理工作，反映和协调解决党外代表人士工作生活中的实际困难。</w:t>
      </w:r>
      <w:r>
        <w:rPr>
          <w:rFonts w:hint="default" w:ascii="等线" w:hAnsi="等线" w:eastAsia="等线" w:cs="等线"/>
          <w:i w:val="0"/>
          <w:caps w:val="0"/>
          <w:color w:val="auto"/>
          <w:spacing w:val="0"/>
          <w:sz w:val="32"/>
          <w:szCs w:val="32"/>
          <w:highlight w:val="none"/>
          <w:shd w:val="clear" w:fill="FFFFFF"/>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left="0" w:right="0" w:firstLine="641"/>
        <w:jc w:val="both"/>
        <w:textAlignment w:val="center"/>
        <w:rPr>
          <w:rFonts w:hint="eastAsia" w:ascii="微软雅黑" w:hAnsi="微软雅黑" w:eastAsia="微软雅黑" w:cs="微软雅黑"/>
          <w:i w:val="0"/>
          <w:caps w:val="0"/>
          <w:color w:val="auto"/>
          <w:spacing w:val="0"/>
          <w:sz w:val="24"/>
          <w:szCs w:val="24"/>
          <w:highlight w:val="none"/>
        </w:rPr>
      </w:pPr>
      <w:r>
        <w:rPr>
          <w:rFonts w:hint="eastAsia" w:ascii="宋体" w:hAnsi="宋体" w:eastAsia="宋体" w:cs="宋体"/>
          <w:i w:val="0"/>
          <w:caps w:val="0"/>
          <w:color w:val="auto"/>
          <w:spacing w:val="0"/>
          <w:sz w:val="32"/>
          <w:szCs w:val="32"/>
          <w:highlight w:val="none"/>
          <w:shd w:val="clear" w:fill="FFFFFF"/>
        </w:rPr>
        <w:t>（四）贯彻落实党的宣传工作方针，统筹推进全区统一战线宣传工作，拟订全区统一战线宣传工作规划并组织实施，研判涉及统一战线的舆情并协调有关部门应对处置。</w:t>
      </w:r>
      <w:r>
        <w:rPr>
          <w:rFonts w:hint="default" w:ascii="等线" w:hAnsi="等线" w:eastAsia="等线" w:cs="等线"/>
          <w:i w:val="0"/>
          <w:caps w:val="0"/>
          <w:color w:val="auto"/>
          <w:spacing w:val="0"/>
          <w:sz w:val="32"/>
          <w:szCs w:val="32"/>
          <w:highlight w:val="none"/>
          <w:shd w:val="clear" w:fill="FFFFFF"/>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left="0" w:right="0" w:firstLine="641"/>
        <w:jc w:val="both"/>
        <w:textAlignment w:val="center"/>
        <w:rPr>
          <w:rFonts w:hint="eastAsia" w:ascii="微软雅黑" w:hAnsi="微软雅黑" w:eastAsia="微软雅黑" w:cs="微软雅黑"/>
          <w:i w:val="0"/>
          <w:caps w:val="0"/>
          <w:color w:val="auto"/>
          <w:spacing w:val="0"/>
          <w:sz w:val="24"/>
          <w:szCs w:val="24"/>
          <w:highlight w:val="none"/>
        </w:rPr>
      </w:pPr>
      <w:r>
        <w:rPr>
          <w:rFonts w:hint="eastAsia" w:ascii="宋体" w:hAnsi="宋体" w:eastAsia="宋体" w:cs="宋体"/>
          <w:i w:val="0"/>
          <w:caps w:val="0"/>
          <w:color w:val="auto"/>
          <w:spacing w:val="0"/>
          <w:sz w:val="32"/>
          <w:szCs w:val="32"/>
          <w:highlight w:val="none"/>
          <w:shd w:val="clear" w:fill="FFFFFF"/>
        </w:rPr>
        <w:t>（五）负责联系各民主党派，通报情况、反映意见，贯彻落实中国共产党领导的多党合作和政治协商制度以及对民主党派的方针政策，支持、帮助各民主党派加强自身建设，做好支持民主党派履行职责、发挥作用的工作。</w:t>
      </w:r>
      <w:r>
        <w:rPr>
          <w:rFonts w:hint="default" w:ascii="等线" w:hAnsi="等线" w:eastAsia="等线" w:cs="等线"/>
          <w:i w:val="0"/>
          <w:caps w:val="0"/>
          <w:color w:val="auto"/>
          <w:spacing w:val="0"/>
          <w:sz w:val="32"/>
          <w:szCs w:val="32"/>
          <w:highlight w:val="none"/>
          <w:shd w:val="clear" w:fill="FFFFFF"/>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left="0" w:right="0" w:firstLine="641"/>
        <w:jc w:val="both"/>
        <w:textAlignment w:val="center"/>
        <w:rPr>
          <w:rFonts w:hint="eastAsia" w:ascii="微软雅黑" w:hAnsi="微软雅黑" w:eastAsia="微软雅黑" w:cs="微软雅黑"/>
          <w:i w:val="0"/>
          <w:caps w:val="0"/>
          <w:color w:val="auto"/>
          <w:spacing w:val="0"/>
          <w:sz w:val="24"/>
          <w:szCs w:val="24"/>
          <w:highlight w:val="none"/>
        </w:rPr>
      </w:pPr>
      <w:r>
        <w:rPr>
          <w:rFonts w:hint="eastAsia" w:ascii="宋体" w:hAnsi="宋体" w:eastAsia="宋体" w:cs="宋体"/>
          <w:i w:val="0"/>
          <w:caps w:val="0"/>
          <w:color w:val="auto"/>
          <w:spacing w:val="0"/>
          <w:sz w:val="32"/>
          <w:szCs w:val="32"/>
          <w:highlight w:val="none"/>
          <w:shd w:val="clear" w:fill="FFFFFF"/>
        </w:rPr>
        <w:t>（六）统一管理民族宗教工作，贯彻落实党的民族和宗教工作方针和政策，研究拟订全区民族宗教工作的政策措施并督促落实，协调处理民族和宗教工作中的重大问题，依法管理民族宗教事务，根据分工做好少数民族干部工作，联系、培养宗教界代表人士，引导各宗教坚持中国化方向，巩固和发展党同宗教界的爱国统一战线。</w:t>
      </w:r>
      <w:r>
        <w:rPr>
          <w:rFonts w:hint="default" w:ascii="等线" w:hAnsi="等线" w:eastAsia="等线" w:cs="等线"/>
          <w:i w:val="0"/>
          <w:caps w:val="0"/>
          <w:color w:val="auto"/>
          <w:spacing w:val="0"/>
          <w:sz w:val="32"/>
          <w:szCs w:val="32"/>
          <w:highlight w:val="none"/>
          <w:shd w:val="clear" w:fill="FFFFFF"/>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left="0" w:right="0" w:firstLine="641"/>
        <w:jc w:val="both"/>
        <w:textAlignment w:val="center"/>
        <w:rPr>
          <w:rFonts w:hint="eastAsia" w:ascii="微软雅黑" w:hAnsi="微软雅黑" w:eastAsia="微软雅黑" w:cs="微软雅黑"/>
          <w:i w:val="0"/>
          <w:caps w:val="0"/>
          <w:color w:val="auto"/>
          <w:spacing w:val="0"/>
          <w:sz w:val="24"/>
          <w:szCs w:val="24"/>
          <w:highlight w:val="none"/>
        </w:rPr>
      </w:pPr>
      <w:r>
        <w:rPr>
          <w:rFonts w:hint="eastAsia" w:ascii="宋体" w:hAnsi="宋体" w:eastAsia="宋体" w:cs="宋体"/>
          <w:i w:val="0"/>
          <w:caps w:val="0"/>
          <w:color w:val="auto"/>
          <w:spacing w:val="0"/>
          <w:sz w:val="32"/>
          <w:szCs w:val="32"/>
          <w:highlight w:val="none"/>
          <w:shd w:val="clear" w:fill="FFFFFF"/>
        </w:rPr>
        <w:t>（七）负责联系、培养无党派代表人士，支持、帮助无党派人士加强自身建设、发挥作用，调查研究党外知识分子情况，反映意见，协调关系，提出政策建议；联系、培养党外知识分子，开展思想政治工作，指导国有企业等有关单位和社会组织开展党外知识分子统战工作。</w:t>
      </w:r>
      <w:r>
        <w:rPr>
          <w:rFonts w:hint="default" w:ascii="等线" w:hAnsi="等线" w:eastAsia="等线" w:cs="等线"/>
          <w:i w:val="0"/>
          <w:caps w:val="0"/>
          <w:color w:val="auto"/>
          <w:spacing w:val="0"/>
          <w:sz w:val="32"/>
          <w:szCs w:val="32"/>
          <w:highlight w:val="none"/>
          <w:shd w:val="clear" w:fill="FFFFFF"/>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left="0" w:right="0" w:firstLine="641"/>
        <w:jc w:val="both"/>
        <w:textAlignment w:val="center"/>
        <w:rPr>
          <w:rFonts w:hint="eastAsia" w:ascii="微软雅黑" w:hAnsi="微软雅黑" w:eastAsia="微软雅黑" w:cs="微软雅黑"/>
          <w:i w:val="0"/>
          <w:caps w:val="0"/>
          <w:color w:val="auto"/>
          <w:spacing w:val="0"/>
          <w:sz w:val="24"/>
          <w:szCs w:val="24"/>
          <w:highlight w:val="none"/>
        </w:rPr>
      </w:pPr>
      <w:r>
        <w:rPr>
          <w:rFonts w:hint="eastAsia" w:ascii="宋体" w:hAnsi="宋体" w:eastAsia="宋体" w:cs="宋体"/>
          <w:i w:val="0"/>
          <w:caps w:val="0"/>
          <w:color w:val="auto"/>
          <w:spacing w:val="0"/>
          <w:sz w:val="32"/>
          <w:szCs w:val="32"/>
          <w:highlight w:val="none"/>
          <w:shd w:val="clear" w:fill="FFFFFF"/>
        </w:rPr>
        <w:t>（八）调查研究新的社会阶层人士情况并提出政策建议；负责联系、培养新的社会阶层代表人士，充分发挥新的社会阶层人士在推动经济社会发展中的作用；积极探索建立新的社会阶层人士统战工作的机制和方法；建立一支高素质的新的社会阶层人士代表人士队伍。指导有关单位和社会组织开展新的社会阶层人士统战工作。</w:t>
      </w:r>
      <w:r>
        <w:rPr>
          <w:rFonts w:hint="default" w:ascii="等线" w:hAnsi="等线" w:eastAsia="等线" w:cs="等线"/>
          <w:i w:val="0"/>
          <w:caps w:val="0"/>
          <w:color w:val="auto"/>
          <w:spacing w:val="0"/>
          <w:sz w:val="32"/>
          <w:szCs w:val="32"/>
          <w:highlight w:val="none"/>
          <w:shd w:val="clear" w:fill="FFFFFF"/>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left="0" w:right="0" w:firstLine="641"/>
        <w:jc w:val="both"/>
        <w:textAlignment w:val="center"/>
        <w:rPr>
          <w:rFonts w:hint="eastAsia" w:ascii="微软雅黑" w:hAnsi="微软雅黑" w:eastAsia="微软雅黑" w:cs="微软雅黑"/>
          <w:i w:val="0"/>
          <w:caps w:val="0"/>
          <w:color w:val="auto"/>
          <w:spacing w:val="0"/>
          <w:sz w:val="24"/>
          <w:szCs w:val="24"/>
          <w:highlight w:val="none"/>
        </w:rPr>
      </w:pPr>
      <w:r>
        <w:rPr>
          <w:rFonts w:hint="eastAsia" w:ascii="宋体" w:hAnsi="宋体" w:eastAsia="宋体" w:cs="宋体"/>
          <w:i w:val="0"/>
          <w:caps w:val="0"/>
          <w:color w:val="auto"/>
          <w:spacing w:val="0"/>
          <w:sz w:val="32"/>
          <w:szCs w:val="32"/>
          <w:highlight w:val="none"/>
          <w:shd w:val="clear" w:fill="FFFFFF"/>
        </w:rPr>
        <w:t>（九）参与拟订、推动落实鼓励支持引导非公有制经济发展的政策，调查研究非公有制经济人士情况并提出政策建议，了解和反映非公有制经济人士的意见，团结、服务、引导、教育非公有制经济人士，促进非公有制经济健康发展和非公有制经济人士健康成长。</w:t>
      </w:r>
      <w:r>
        <w:rPr>
          <w:rFonts w:hint="default" w:ascii="等线" w:hAnsi="等线" w:eastAsia="等线" w:cs="等线"/>
          <w:i w:val="0"/>
          <w:caps w:val="0"/>
          <w:color w:val="auto"/>
          <w:spacing w:val="0"/>
          <w:sz w:val="32"/>
          <w:szCs w:val="32"/>
          <w:highlight w:val="none"/>
          <w:shd w:val="clear" w:fill="FFFFFF"/>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left="0" w:right="0" w:firstLine="641"/>
        <w:jc w:val="both"/>
        <w:textAlignment w:val="center"/>
        <w:rPr>
          <w:rFonts w:hint="eastAsia" w:ascii="微软雅黑" w:hAnsi="微软雅黑" w:eastAsia="微软雅黑" w:cs="微软雅黑"/>
          <w:i w:val="0"/>
          <w:caps w:val="0"/>
          <w:color w:val="auto"/>
          <w:spacing w:val="0"/>
          <w:sz w:val="24"/>
          <w:szCs w:val="24"/>
          <w:highlight w:val="none"/>
        </w:rPr>
      </w:pPr>
      <w:r>
        <w:rPr>
          <w:rFonts w:hint="eastAsia" w:ascii="宋体" w:hAnsi="宋体" w:eastAsia="宋体" w:cs="宋体"/>
          <w:i w:val="0"/>
          <w:caps w:val="0"/>
          <w:color w:val="auto"/>
          <w:spacing w:val="0"/>
          <w:sz w:val="32"/>
          <w:szCs w:val="32"/>
          <w:highlight w:val="none"/>
          <w:shd w:val="clear" w:fill="FFFFFF"/>
        </w:rPr>
        <w:t>（十）统一领导全区海外统战工作，牵头开展港澳统战工作，开展对台统战工作。联系香港、澳门、台湾有关党派、团体及代表人士，联系海外有关社团及代表人士，做好统一战线外事管理工作。</w:t>
      </w:r>
      <w:r>
        <w:rPr>
          <w:rFonts w:hint="default" w:ascii="等线" w:hAnsi="等线" w:eastAsia="等线" w:cs="等线"/>
          <w:i w:val="0"/>
          <w:caps w:val="0"/>
          <w:color w:val="auto"/>
          <w:spacing w:val="0"/>
          <w:sz w:val="32"/>
          <w:szCs w:val="32"/>
          <w:highlight w:val="none"/>
          <w:shd w:val="clear" w:fill="FFFFFF"/>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left="0" w:right="0" w:firstLine="641"/>
        <w:jc w:val="both"/>
        <w:textAlignment w:val="center"/>
        <w:rPr>
          <w:rFonts w:hint="eastAsia" w:ascii="微软雅黑" w:hAnsi="微软雅黑" w:eastAsia="微软雅黑" w:cs="微软雅黑"/>
          <w:i w:val="0"/>
          <w:caps w:val="0"/>
          <w:color w:val="auto"/>
          <w:spacing w:val="0"/>
          <w:sz w:val="24"/>
          <w:szCs w:val="24"/>
          <w:highlight w:val="none"/>
        </w:rPr>
      </w:pPr>
      <w:r>
        <w:rPr>
          <w:rFonts w:hint="eastAsia" w:ascii="宋体" w:hAnsi="宋体" w:eastAsia="宋体" w:cs="宋体"/>
          <w:i w:val="0"/>
          <w:caps w:val="0"/>
          <w:color w:val="auto"/>
          <w:spacing w:val="0"/>
          <w:sz w:val="32"/>
          <w:szCs w:val="32"/>
          <w:highlight w:val="none"/>
          <w:shd w:val="clear" w:fill="FFFFFF"/>
        </w:rPr>
        <w:t>（十一）统一管理全区侨务工作，贯彻落实党的侨务工作方针政策以及区委关于侨务工作的决定，调查研究全区有关侨情和侨务工作情况，管理侨务行政事务，统筹协调有关部门和社会团体涉侨工作，联系海外有关侨团和代表人士，指导推动涉侨宣传、文化交流、华文教育等工作，保护华侨和归侨侨眷合法权利和利益。</w:t>
      </w:r>
      <w:r>
        <w:rPr>
          <w:rFonts w:hint="default" w:ascii="等线" w:hAnsi="等线" w:eastAsia="等线" w:cs="等线"/>
          <w:i w:val="0"/>
          <w:caps w:val="0"/>
          <w:color w:val="auto"/>
          <w:spacing w:val="0"/>
          <w:sz w:val="32"/>
          <w:szCs w:val="32"/>
          <w:highlight w:val="none"/>
          <w:shd w:val="clear" w:fill="FFFFFF"/>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left="0" w:right="0" w:firstLine="641"/>
        <w:jc w:val="both"/>
        <w:textAlignment w:val="center"/>
        <w:rPr>
          <w:rFonts w:hint="eastAsia" w:ascii="微软雅黑" w:hAnsi="微软雅黑" w:eastAsia="微软雅黑" w:cs="微软雅黑"/>
          <w:i w:val="0"/>
          <w:caps w:val="0"/>
          <w:color w:val="auto"/>
          <w:spacing w:val="0"/>
          <w:sz w:val="24"/>
          <w:szCs w:val="24"/>
          <w:highlight w:val="none"/>
        </w:rPr>
      </w:pPr>
      <w:r>
        <w:rPr>
          <w:rFonts w:hint="eastAsia" w:ascii="宋体" w:hAnsi="宋体" w:eastAsia="宋体" w:cs="宋体"/>
          <w:i w:val="0"/>
          <w:caps w:val="0"/>
          <w:color w:val="auto"/>
          <w:spacing w:val="0"/>
          <w:sz w:val="32"/>
          <w:szCs w:val="32"/>
          <w:highlight w:val="none"/>
          <w:shd w:val="clear" w:fill="FFFFFF"/>
        </w:rPr>
        <w:t>（十二）指导街道（乡）党（工）委统一战线工作。指导协调政府有关部门统一战线工作。受区委委托，领导区工商联党组，指导区工商联工作和区侨联工作。</w:t>
      </w:r>
      <w:r>
        <w:rPr>
          <w:rFonts w:hint="default" w:ascii="等线" w:hAnsi="等线" w:eastAsia="等线" w:cs="等线"/>
          <w:i w:val="0"/>
          <w:caps w:val="0"/>
          <w:color w:val="auto"/>
          <w:spacing w:val="0"/>
          <w:sz w:val="32"/>
          <w:szCs w:val="32"/>
          <w:highlight w:val="none"/>
          <w:shd w:val="clear" w:fill="FFFFFF"/>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left="0" w:right="0" w:firstLine="641"/>
        <w:jc w:val="both"/>
        <w:textAlignment w:val="center"/>
        <w:rPr>
          <w:rFonts w:hint="default" w:ascii="等线" w:hAnsi="等线" w:eastAsia="等线" w:cs="等线"/>
          <w:i w:val="0"/>
          <w:caps w:val="0"/>
          <w:color w:val="auto"/>
          <w:spacing w:val="0"/>
          <w:sz w:val="32"/>
          <w:szCs w:val="32"/>
          <w:highlight w:val="none"/>
          <w:shd w:val="clear" w:fill="FFFFFF"/>
        </w:rPr>
      </w:pPr>
      <w:r>
        <w:rPr>
          <w:rFonts w:hint="eastAsia" w:ascii="宋体" w:hAnsi="宋体" w:eastAsia="宋体" w:cs="宋体"/>
          <w:i w:val="0"/>
          <w:caps w:val="0"/>
          <w:color w:val="auto"/>
          <w:spacing w:val="0"/>
          <w:sz w:val="32"/>
          <w:szCs w:val="32"/>
          <w:highlight w:val="none"/>
          <w:shd w:val="clear" w:fill="FFFFFF"/>
        </w:rPr>
        <w:t>（十三）负责本单位、本系统的信访维稳和安全生产工作，承办区委、区政府交办的其他工作。</w:t>
      </w:r>
      <w:r>
        <w:rPr>
          <w:rFonts w:hint="default" w:ascii="等线" w:hAnsi="等线" w:eastAsia="等线" w:cs="等线"/>
          <w:i w:val="0"/>
          <w:caps w:val="0"/>
          <w:color w:val="auto"/>
          <w:spacing w:val="0"/>
          <w:sz w:val="32"/>
          <w:szCs w:val="32"/>
          <w:highlight w:val="none"/>
          <w:shd w:val="clear" w:fill="FFFFFF"/>
        </w:rPr>
        <w:t> </w:t>
      </w:r>
    </w:p>
    <w:p>
      <w:pPr>
        <w:widowControl/>
        <w:shd w:val="clear"/>
        <w:spacing w:line="600" w:lineRule="exact"/>
        <w:rPr>
          <w:rFonts w:ascii="黑体" w:hAnsi="黑体" w:eastAsia="黑体"/>
          <w:bCs/>
          <w:color w:val="auto"/>
          <w:kern w:val="0"/>
          <w:sz w:val="32"/>
          <w:szCs w:val="32"/>
          <w:highlight w:val="none"/>
        </w:rPr>
      </w:pPr>
      <w:r>
        <w:rPr>
          <w:rFonts w:hint="eastAsia" w:ascii="黑体" w:hAnsi="黑体" w:eastAsia="黑体"/>
          <w:bCs/>
          <w:color w:val="auto"/>
          <w:kern w:val="0"/>
          <w:sz w:val="32"/>
          <w:szCs w:val="32"/>
          <w:highlight w:val="none"/>
        </w:rPr>
        <w:t>二、机构设置及决算单位构成</w:t>
      </w:r>
    </w:p>
    <w:p>
      <w:pPr>
        <w:widowControl/>
        <w:shd w:val="clear"/>
        <w:spacing w:line="600" w:lineRule="exact"/>
        <w:ind w:firstLine="640" w:firstLineChars="200"/>
        <w:rPr>
          <w:rFonts w:hint="default" w:eastAsia="宋体" w:asciiTheme="minorEastAsia" w:hAnsiTheme="minorEastAsia"/>
          <w:bCs/>
          <w:color w:val="FF0000"/>
          <w:kern w:val="0"/>
          <w:sz w:val="32"/>
          <w:szCs w:val="32"/>
          <w:highlight w:val="yellow"/>
          <w:lang w:val="en-US" w:eastAsia="zh-CN"/>
        </w:rPr>
      </w:pPr>
      <w:r>
        <w:rPr>
          <w:rFonts w:hint="eastAsia" w:asciiTheme="minorEastAsia" w:hAnsiTheme="minorEastAsia"/>
          <w:bCs/>
          <w:color w:val="auto"/>
          <w:kern w:val="0"/>
          <w:sz w:val="32"/>
          <w:szCs w:val="32"/>
          <w:highlight w:val="none"/>
        </w:rPr>
        <w:t>（一）内设机构设置。</w:t>
      </w:r>
      <w:r>
        <w:rPr>
          <w:rFonts w:hint="eastAsia" w:ascii="宋体" w:hAnsi="宋体" w:eastAsia="宋体" w:cs="宋体"/>
          <w:i w:val="0"/>
          <w:caps w:val="0"/>
          <w:color w:val="auto"/>
          <w:spacing w:val="0"/>
          <w:sz w:val="32"/>
          <w:szCs w:val="32"/>
          <w:highlight w:val="none"/>
          <w:shd w:val="clear" w:fill="FFFFFF"/>
        </w:rPr>
        <w:t>中国共产党岳阳市岳阳楼区委员会统一战线工作委员会</w:t>
      </w:r>
      <w:r>
        <w:rPr>
          <w:rFonts w:hint="eastAsia" w:ascii="宋体" w:hAnsi="宋体" w:eastAsia="宋体" w:cs="宋体"/>
          <w:i w:val="0"/>
          <w:caps w:val="0"/>
          <w:color w:val="auto"/>
          <w:spacing w:val="0"/>
          <w:sz w:val="32"/>
          <w:szCs w:val="32"/>
          <w:highlight w:val="none"/>
          <w:shd w:val="clear" w:fill="FFFFFF"/>
          <w:lang w:val="en-US" w:eastAsia="zh-CN"/>
        </w:rPr>
        <w:t>单位</w:t>
      </w:r>
      <w:r>
        <w:rPr>
          <w:rFonts w:hint="eastAsia" w:ascii="宋体" w:hAnsi="宋体" w:eastAsia="宋体" w:cs="宋体"/>
          <w:i w:val="0"/>
          <w:caps w:val="0"/>
          <w:color w:val="auto"/>
          <w:spacing w:val="0"/>
          <w:sz w:val="32"/>
          <w:szCs w:val="32"/>
          <w:highlight w:val="none"/>
          <w:shd w:val="clear" w:fill="FFFFFF"/>
        </w:rPr>
        <w:t>内设机构包括：本部门共有编制人数9人，实有</w:t>
      </w:r>
      <w:r>
        <w:rPr>
          <w:rFonts w:hint="eastAsia" w:ascii="宋体" w:hAnsi="宋体" w:eastAsia="宋体" w:cs="宋体"/>
          <w:i w:val="0"/>
          <w:caps w:val="0"/>
          <w:color w:val="auto"/>
          <w:spacing w:val="0"/>
          <w:sz w:val="32"/>
          <w:szCs w:val="32"/>
          <w:highlight w:val="none"/>
          <w:shd w:val="clear" w:fill="FFFFFF"/>
          <w:lang w:val="en-US" w:eastAsia="zh-CN"/>
        </w:rPr>
        <w:t>8</w:t>
      </w:r>
      <w:r>
        <w:rPr>
          <w:rFonts w:hint="eastAsia" w:ascii="宋体" w:hAnsi="宋体" w:eastAsia="宋体" w:cs="宋体"/>
          <w:i w:val="0"/>
          <w:caps w:val="0"/>
          <w:color w:val="auto"/>
          <w:spacing w:val="0"/>
          <w:sz w:val="32"/>
          <w:szCs w:val="32"/>
          <w:highlight w:val="none"/>
          <w:shd w:val="clear" w:fill="FFFFFF"/>
        </w:rPr>
        <w:t>人。内设股室5个：办公室、民主党派和党外干部工作办公室、经济联络办公室、民族宗教事务办公室、侨务工作办公室。</w:t>
      </w:r>
    </w:p>
    <w:p>
      <w:pPr>
        <w:widowControl/>
        <w:numPr>
          <w:ilvl w:val="0"/>
          <w:numId w:val="0"/>
        </w:numPr>
        <w:shd w:val="clear"/>
        <w:spacing w:line="600" w:lineRule="exact"/>
        <w:ind w:firstLine="640" w:firstLineChars="200"/>
        <w:rPr>
          <w:rFonts w:asciiTheme="minorEastAsia" w:hAnsiTheme="minorEastAsia"/>
          <w:bCs/>
          <w:color w:val="auto"/>
          <w:kern w:val="0"/>
          <w:sz w:val="32"/>
          <w:szCs w:val="32"/>
          <w:highlight w:val="none"/>
        </w:rPr>
      </w:pPr>
      <w:r>
        <w:rPr>
          <w:rFonts w:hint="eastAsia" w:asciiTheme="minorEastAsia" w:hAnsiTheme="minorEastAsia"/>
          <w:bCs/>
          <w:color w:val="auto"/>
          <w:kern w:val="0"/>
          <w:sz w:val="32"/>
          <w:szCs w:val="32"/>
          <w:highlight w:val="none"/>
          <w:lang w:val="en-US" w:eastAsia="zh-CN"/>
        </w:rPr>
        <w:t>（二）</w:t>
      </w:r>
      <w:r>
        <w:rPr>
          <w:rFonts w:hint="eastAsia" w:asciiTheme="minorEastAsia" w:hAnsiTheme="minorEastAsia"/>
          <w:bCs/>
          <w:color w:val="auto"/>
          <w:kern w:val="0"/>
          <w:sz w:val="32"/>
          <w:szCs w:val="32"/>
          <w:highlight w:val="none"/>
        </w:rPr>
        <w:t>决算单位构成。</w:t>
      </w:r>
      <w:r>
        <w:rPr>
          <w:rFonts w:hint="eastAsia" w:asciiTheme="minorEastAsia" w:hAnsiTheme="minorEastAsia"/>
          <w:bCs/>
          <w:color w:val="auto"/>
          <w:kern w:val="0"/>
          <w:sz w:val="32"/>
          <w:szCs w:val="32"/>
          <w:highlight w:val="none"/>
          <w:lang w:eastAsia="zh-CN"/>
        </w:rPr>
        <w:t>中</w:t>
      </w:r>
      <w:r>
        <w:rPr>
          <w:rFonts w:hint="eastAsia" w:ascii="宋体" w:hAnsi="宋体" w:eastAsia="宋体" w:cs="宋体"/>
          <w:i w:val="0"/>
          <w:caps w:val="0"/>
          <w:color w:val="auto"/>
          <w:spacing w:val="0"/>
          <w:sz w:val="32"/>
          <w:szCs w:val="32"/>
          <w:highlight w:val="none"/>
          <w:shd w:val="clear" w:fill="FFFFFF"/>
        </w:rPr>
        <w:t>国共产党岳阳市岳阳楼区委员会统一战线工作委员会2021年部门决算汇总公开单位构成包括：中国共产党岳阳市岳阳楼区委员会统一战线工作委员会本级。</w:t>
      </w:r>
    </w:p>
    <w:p>
      <w:pPr>
        <w:shd w:val="clear"/>
        <w:jc w:val="center"/>
        <w:rPr>
          <w:rFonts w:ascii="黑体" w:hAnsi="黑体" w:eastAsia="黑体"/>
          <w:color w:val="FF0000"/>
          <w:sz w:val="28"/>
          <w:szCs w:val="28"/>
          <w:highlight w:val="yellow"/>
        </w:rPr>
      </w:pPr>
    </w:p>
    <w:p>
      <w:pPr>
        <w:shd w:val="clear"/>
        <w:jc w:val="center"/>
        <w:rPr>
          <w:rFonts w:ascii="黑体" w:hAnsi="黑体" w:eastAsia="黑体"/>
          <w:color w:val="auto"/>
          <w:sz w:val="28"/>
          <w:szCs w:val="28"/>
          <w:highlight w:val="none"/>
        </w:rPr>
      </w:pPr>
    </w:p>
    <w:p>
      <w:pPr>
        <w:shd w:val="clear"/>
        <w:jc w:val="center"/>
        <w:rPr>
          <w:rFonts w:ascii="黑体" w:hAnsi="黑体" w:eastAsia="黑体"/>
          <w:color w:val="auto"/>
          <w:sz w:val="28"/>
          <w:szCs w:val="28"/>
          <w:highlight w:val="none"/>
        </w:rPr>
      </w:pPr>
    </w:p>
    <w:p>
      <w:pPr>
        <w:shd w:val="clear"/>
        <w:jc w:val="center"/>
        <w:rPr>
          <w:rFonts w:ascii="黑体" w:hAnsi="黑体" w:eastAsia="黑体"/>
          <w:color w:val="auto"/>
          <w:sz w:val="28"/>
          <w:szCs w:val="28"/>
          <w:highlight w:val="none"/>
        </w:rPr>
      </w:pPr>
    </w:p>
    <w:p>
      <w:pPr>
        <w:shd w:val="clear"/>
        <w:jc w:val="center"/>
        <w:rPr>
          <w:rFonts w:ascii="黑体" w:hAnsi="黑体" w:eastAsia="黑体"/>
          <w:color w:val="auto"/>
          <w:sz w:val="28"/>
          <w:szCs w:val="28"/>
          <w:highlight w:val="none"/>
        </w:rPr>
      </w:pPr>
    </w:p>
    <w:p>
      <w:pPr>
        <w:shd w:val="clear"/>
        <w:jc w:val="center"/>
        <w:rPr>
          <w:rFonts w:ascii="黑体" w:hAnsi="黑体" w:eastAsia="黑体"/>
          <w:color w:val="auto"/>
          <w:sz w:val="28"/>
          <w:szCs w:val="28"/>
          <w:highlight w:val="none"/>
        </w:rPr>
      </w:pPr>
    </w:p>
    <w:p>
      <w:pPr>
        <w:shd w:val="clear"/>
        <w:jc w:val="center"/>
        <w:rPr>
          <w:rFonts w:ascii="黑体" w:hAnsi="黑体" w:eastAsia="黑体"/>
          <w:color w:val="auto"/>
          <w:sz w:val="28"/>
          <w:szCs w:val="28"/>
          <w:highlight w:val="none"/>
        </w:rPr>
      </w:pPr>
    </w:p>
    <w:p>
      <w:pPr>
        <w:shd w:val="clear"/>
        <w:jc w:val="center"/>
        <w:rPr>
          <w:rFonts w:ascii="黑体" w:hAnsi="黑体" w:eastAsia="黑体"/>
          <w:color w:val="auto"/>
          <w:sz w:val="28"/>
          <w:szCs w:val="28"/>
          <w:highlight w:val="none"/>
        </w:rPr>
      </w:pPr>
    </w:p>
    <w:p>
      <w:pPr>
        <w:shd w:val="clear"/>
        <w:jc w:val="center"/>
        <w:rPr>
          <w:rFonts w:ascii="黑体" w:hAnsi="黑体" w:eastAsia="黑体"/>
          <w:color w:val="auto"/>
          <w:sz w:val="28"/>
          <w:szCs w:val="28"/>
          <w:highlight w:val="none"/>
        </w:rPr>
      </w:pPr>
    </w:p>
    <w:p>
      <w:pPr>
        <w:shd w:val="clear"/>
        <w:jc w:val="center"/>
        <w:rPr>
          <w:rFonts w:ascii="黑体" w:hAnsi="黑体" w:eastAsia="黑体"/>
          <w:color w:val="auto"/>
          <w:sz w:val="28"/>
          <w:szCs w:val="28"/>
          <w:highlight w:val="none"/>
        </w:rPr>
      </w:pPr>
    </w:p>
    <w:p>
      <w:pPr>
        <w:shd w:val="clear"/>
        <w:jc w:val="center"/>
        <w:rPr>
          <w:rFonts w:ascii="黑体" w:hAnsi="黑体" w:eastAsia="黑体"/>
          <w:color w:val="auto"/>
          <w:sz w:val="28"/>
          <w:szCs w:val="28"/>
          <w:highlight w:val="none"/>
        </w:rPr>
      </w:pPr>
    </w:p>
    <w:p>
      <w:pPr>
        <w:shd w:val="clear"/>
        <w:jc w:val="center"/>
        <w:rPr>
          <w:color w:val="auto"/>
          <w:sz w:val="72"/>
          <w:szCs w:val="72"/>
          <w:highlight w:val="none"/>
        </w:rPr>
      </w:pPr>
    </w:p>
    <w:p>
      <w:pPr>
        <w:shd w:val="clear"/>
        <w:jc w:val="center"/>
        <w:rPr>
          <w:color w:val="auto"/>
          <w:sz w:val="72"/>
          <w:szCs w:val="72"/>
          <w:highlight w:val="none"/>
        </w:rPr>
      </w:pPr>
    </w:p>
    <w:p>
      <w:pPr>
        <w:shd w:val="clear"/>
        <w:jc w:val="center"/>
        <w:rPr>
          <w:color w:val="auto"/>
          <w:sz w:val="72"/>
          <w:szCs w:val="72"/>
          <w:highlight w:val="none"/>
        </w:rPr>
      </w:pPr>
    </w:p>
    <w:p>
      <w:pPr>
        <w:shd w:val="clear"/>
        <w:jc w:val="center"/>
        <w:rPr>
          <w:color w:val="auto"/>
          <w:sz w:val="72"/>
          <w:szCs w:val="72"/>
          <w:highlight w:val="none"/>
        </w:rPr>
      </w:pPr>
    </w:p>
    <w:p>
      <w:pPr>
        <w:shd w:val="clear"/>
        <w:jc w:val="center"/>
        <w:rPr>
          <w:color w:val="auto"/>
          <w:sz w:val="72"/>
          <w:szCs w:val="72"/>
          <w:highlight w:val="none"/>
        </w:rPr>
      </w:pPr>
    </w:p>
    <w:p>
      <w:pPr>
        <w:shd w:val="clear"/>
        <w:jc w:val="center"/>
        <w:rPr>
          <w:color w:val="auto"/>
          <w:sz w:val="72"/>
          <w:szCs w:val="72"/>
          <w:highlight w:val="none"/>
        </w:rPr>
      </w:pPr>
      <w:r>
        <w:rPr>
          <w:rFonts w:hint="eastAsia"/>
          <w:color w:val="auto"/>
          <w:sz w:val="72"/>
          <w:szCs w:val="72"/>
          <w:highlight w:val="none"/>
        </w:rPr>
        <w:t>第二部分</w:t>
      </w:r>
    </w:p>
    <w:p>
      <w:pPr>
        <w:shd w:val="clear"/>
        <w:jc w:val="center"/>
        <w:rPr>
          <w:color w:val="auto"/>
          <w:sz w:val="72"/>
          <w:szCs w:val="72"/>
          <w:highlight w:val="none"/>
        </w:rPr>
      </w:pPr>
    </w:p>
    <w:p>
      <w:pPr>
        <w:shd w:val="clear"/>
        <w:jc w:val="center"/>
        <w:rPr>
          <w:color w:val="auto"/>
          <w:sz w:val="72"/>
          <w:szCs w:val="72"/>
          <w:highlight w:val="none"/>
        </w:rPr>
      </w:pPr>
      <w:r>
        <w:rPr>
          <w:rFonts w:hint="eastAsia"/>
          <w:color w:val="auto"/>
          <w:sz w:val="72"/>
          <w:szCs w:val="72"/>
          <w:highlight w:val="none"/>
        </w:rPr>
        <w:t>2021年度部门决算表</w:t>
      </w:r>
    </w:p>
    <w:p>
      <w:pPr>
        <w:shd w:val="clear"/>
        <w:jc w:val="center"/>
        <w:rPr>
          <w:color w:val="auto"/>
          <w:sz w:val="72"/>
          <w:szCs w:val="72"/>
          <w:highlight w:val="none"/>
        </w:rPr>
      </w:pPr>
      <w:r>
        <w:rPr>
          <w:rFonts w:hint="eastAsia"/>
          <w:color w:val="auto"/>
          <w:sz w:val="72"/>
          <w:szCs w:val="72"/>
          <w:highlight w:val="none"/>
        </w:rPr>
        <w:t>（见附件）</w:t>
      </w:r>
    </w:p>
    <w:p>
      <w:pPr>
        <w:shd w:val="clear"/>
        <w:jc w:val="center"/>
        <w:rPr>
          <w:color w:val="auto"/>
          <w:sz w:val="72"/>
          <w:szCs w:val="72"/>
          <w:highlight w:val="none"/>
        </w:rPr>
      </w:pPr>
    </w:p>
    <w:p>
      <w:pPr>
        <w:shd w:val="clear"/>
        <w:jc w:val="center"/>
        <w:rPr>
          <w:color w:val="auto"/>
          <w:sz w:val="72"/>
          <w:szCs w:val="72"/>
          <w:highlight w:val="none"/>
        </w:rPr>
      </w:pPr>
    </w:p>
    <w:p>
      <w:pPr>
        <w:shd w:val="clear"/>
        <w:jc w:val="center"/>
        <w:rPr>
          <w:color w:val="auto"/>
          <w:sz w:val="72"/>
          <w:szCs w:val="72"/>
          <w:highlight w:val="none"/>
        </w:rPr>
      </w:pPr>
    </w:p>
    <w:p>
      <w:pPr>
        <w:shd w:val="clear"/>
        <w:jc w:val="center"/>
        <w:rPr>
          <w:color w:val="auto"/>
          <w:sz w:val="72"/>
          <w:szCs w:val="72"/>
          <w:highlight w:val="none"/>
        </w:rPr>
      </w:pPr>
    </w:p>
    <w:p>
      <w:pPr>
        <w:shd w:val="clear"/>
        <w:jc w:val="center"/>
        <w:rPr>
          <w:color w:val="auto"/>
          <w:sz w:val="72"/>
          <w:szCs w:val="72"/>
          <w:highlight w:val="none"/>
        </w:rPr>
      </w:pPr>
    </w:p>
    <w:p>
      <w:pPr>
        <w:shd w:val="clear"/>
        <w:jc w:val="left"/>
        <w:rPr>
          <w:rFonts w:asciiTheme="minorEastAsia" w:hAnsiTheme="minorEastAsia"/>
          <w:color w:val="auto"/>
          <w:sz w:val="32"/>
          <w:szCs w:val="32"/>
          <w:highlight w:val="none"/>
        </w:rPr>
        <w:sectPr>
          <w:pgSz w:w="11906" w:h="16838"/>
          <w:pgMar w:top="720" w:right="720" w:bottom="720" w:left="720" w:header="851" w:footer="992" w:gutter="0"/>
          <w:cols w:space="425" w:num="1"/>
          <w:docGrid w:type="lines" w:linePitch="312" w:charSpace="0"/>
        </w:sectPr>
      </w:pPr>
    </w:p>
    <w:p>
      <w:pPr>
        <w:pStyle w:val="10"/>
        <w:shd w:val="clear"/>
        <w:jc w:val="both"/>
        <w:rPr>
          <w:color w:val="auto"/>
          <w:sz w:val="72"/>
          <w:szCs w:val="72"/>
          <w:highlight w:val="none"/>
        </w:rPr>
      </w:pPr>
    </w:p>
    <w:p>
      <w:pPr>
        <w:pStyle w:val="10"/>
        <w:shd w:val="clear"/>
        <w:jc w:val="center"/>
        <w:rPr>
          <w:color w:val="auto"/>
          <w:sz w:val="72"/>
          <w:szCs w:val="72"/>
          <w:highlight w:val="none"/>
        </w:rPr>
      </w:pPr>
    </w:p>
    <w:p>
      <w:pPr>
        <w:pStyle w:val="10"/>
        <w:shd w:val="clear"/>
        <w:jc w:val="center"/>
        <w:rPr>
          <w:color w:val="auto"/>
          <w:sz w:val="72"/>
          <w:szCs w:val="72"/>
          <w:highlight w:val="none"/>
        </w:rPr>
      </w:pPr>
      <w:r>
        <w:rPr>
          <w:rFonts w:hint="eastAsia"/>
          <w:color w:val="auto"/>
          <w:sz w:val="72"/>
          <w:szCs w:val="72"/>
          <w:highlight w:val="none"/>
        </w:rPr>
        <w:t>第三部分</w:t>
      </w:r>
    </w:p>
    <w:p>
      <w:pPr>
        <w:pStyle w:val="10"/>
        <w:shd w:val="clear"/>
        <w:jc w:val="center"/>
        <w:rPr>
          <w:color w:val="auto"/>
          <w:sz w:val="70"/>
          <w:szCs w:val="70"/>
          <w:highlight w:val="none"/>
        </w:rPr>
      </w:pPr>
    </w:p>
    <w:p>
      <w:pPr>
        <w:pStyle w:val="10"/>
        <w:shd w:val="clear"/>
        <w:jc w:val="center"/>
        <w:rPr>
          <w:color w:val="auto"/>
          <w:sz w:val="70"/>
          <w:szCs w:val="70"/>
          <w:highlight w:val="none"/>
        </w:rPr>
      </w:pPr>
      <w:r>
        <w:rPr>
          <w:color w:val="auto"/>
          <w:sz w:val="70"/>
          <w:szCs w:val="70"/>
          <w:highlight w:val="none"/>
        </w:rPr>
        <w:t>20</w:t>
      </w:r>
      <w:r>
        <w:rPr>
          <w:rFonts w:hint="eastAsia"/>
          <w:color w:val="auto"/>
          <w:sz w:val="70"/>
          <w:szCs w:val="70"/>
          <w:highlight w:val="none"/>
        </w:rPr>
        <w:t>21年度部门决算情况说明</w:t>
      </w:r>
    </w:p>
    <w:p>
      <w:pPr>
        <w:widowControl/>
        <w:shd w:val="clear"/>
        <w:jc w:val="left"/>
        <w:rPr>
          <w:rFonts w:ascii="黑体" w:eastAsia="黑体" w:cs="黑体"/>
          <w:color w:val="auto"/>
          <w:kern w:val="0"/>
          <w:sz w:val="70"/>
          <w:szCs w:val="70"/>
          <w:highlight w:val="none"/>
        </w:rPr>
      </w:pPr>
      <w:r>
        <w:rPr>
          <w:color w:val="auto"/>
          <w:sz w:val="70"/>
          <w:szCs w:val="70"/>
          <w:highlight w:val="none"/>
        </w:rPr>
        <w:br w:type="page"/>
      </w:r>
    </w:p>
    <w:p>
      <w:pPr>
        <w:pStyle w:val="10"/>
        <w:shd w:val="clear"/>
        <w:rPr>
          <w:rFonts w:asciiTheme="minorEastAsia" w:hAnsiTheme="minorEastAsia" w:eastAsiaTheme="minorEastAsia"/>
          <w:color w:val="auto"/>
          <w:sz w:val="32"/>
          <w:szCs w:val="32"/>
          <w:highlight w:val="none"/>
        </w:rPr>
      </w:pPr>
    </w:p>
    <w:p>
      <w:pPr>
        <w:pStyle w:val="10"/>
        <w:shd w:val="clear"/>
        <w:rPr>
          <w:rFonts w:hAnsi="黑体"/>
          <w:b/>
          <w:color w:val="auto"/>
          <w:sz w:val="32"/>
          <w:szCs w:val="32"/>
          <w:highlight w:val="none"/>
        </w:rPr>
      </w:pPr>
      <w:r>
        <w:rPr>
          <w:rFonts w:hint="eastAsia" w:hAnsi="黑体"/>
          <w:b/>
          <w:color w:val="auto"/>
          <w:sz w:val="32"/>
          <w:szCs w:val="32"/>
          <w:highlight w:val="none"/>
        </w:rPr>
        <w:t>一、收入支出决算总体情况说明</w:t>
      </w:r>
    </w:p>
    <w:p>
      <w:pPr>
        <w:pStyle w:val="10"/>
        <w:shd w:val="clear"/>
        <w:ind w:firstLine="640" w:firstLineChars="200"/>
        <w:jc w:val="both"/>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2021年度收、支总计均为</w:t>
      </w:r>
      <w:r>
        <w:rPr>
          <w:rFonts w:hint="eastAsia" w:ascii="宋体" w:hAnsi="宋体" w:eastAsia="宋体" w:cs="宋体"/>
          <w:i w:val="0"/>
          <w:caps w:val="0"/>
          <w:color w:val="auto"/>
          <w:spacing w:val="0"/>
          <w:sz w:val="32"/>
          <w:szCs w:val="32"/>
          <w:highlight w:val="none"/>
          <w:shd w:val="clear" w:fill="FFFFFF"/>
        </w:rPr>
        <w:t>231.48</w:t>
      </w:r>
      <w:r>
        <w:rPr>
          <w:rFonts w:hint="eastAsia" w:asciiTheme="minorEastAsia" w:hAnsiTheme="minorEastAsia" w:eastAsiaTheme="minorEastAsia"/>
          <w:color w:val="auto"/>
          <w:sz w:val="32"/>
          <w:szCs w:val="32"/>
          <w:highlight w:val="none"/>
        </w:rPr>
        <w:t>万元。与上年相比</w:t>
      </w:r>
      <w:r>
        <w:rPr>
          <w:rFonts w:hint="eastAsia" w:asciiTheme="minorEastAsia" w:hAnsiTheme="minorEastAsia" w:eastAsiaTheme="minorEastAsia"/>
          <w:color w:val="auto"/>
          <w:sz w:val="32"/>
          <w:szCs w:val="32"/>
          <w:highlight w:val="none"/>
          <w:lang w:eastAsia="zh-CN"/>
        </w:rPr>
        <w:t>，</w:t>
      </w:r>
      <w:r>
        <w:rPr>
          <w:rFonts w:hint="eastAsia" w:asciiTheme="minorEastAsia" w:hAnsiTheme="minorEastAsia" w:eastAsiaTheme="minorEastAsia"/>
          <w:color w:val="auto"/>
          <w:sz w:val="32"/>
          <w:szCs w:val="32"/>
          <w:highlight w:val="none"/>
        </w:rPr>
        <w:t>减少</w:t>
      </w:r>
      <w:r>
        <w:rPr>
          <w:rFonts w:hint="eastAsia" w:ascii="宋体" w:hAnsi="宋体" w:eastAsia="宋体" w:cs="宋体"/>
          <w:i w:val="0"/>
          <w:caps w:val="0"/>
          <w:color w:val="auto"/>
          <w:spacing w:val="0"/>
          <w:sz w:val="32"/>
          <w:szCs w:val="32"/>
          <w:highlight w:val="none"/>
          <w:shd w:val="clear" w:fill="FFFFFF"/>
        </w:rPr>
        <w:t>62.92</w:t>
      </w:r>
      <w:r>
        <w:rPr>
          <w:rFonts w:hint="eastAsia" w:asciiTheme="minorEastAsia" w:hAnsiTheme="minorEastAsia" w:eastAsiaTheme="minorEastAsia"/>
          <w:color w:val="auto"/>
          <w:sz w:val="32"/>
          <w:szCs w:val="32"/>
          <w:highlight w:val="none"/>
        </w:rPr>
        <w:t>万元，减少</w:t>
      </w:r>
      <w:r>
        <w:rPr>
          <w:rFonts w:hint="eastAsia" w:ascii="宋体" w:hAnsi="宋体" w:eastAsia="宋体" w:cs="宋体"/>
          <w:i w:val="0"/>
          <w:caps w:val="0"/>
          <w:color w:val="auto"/>
          <w:spacing w:val="0"/>
          <w:sz w:val="32"/>
          <w:szCs w:val="32"/>
          <w:highlight w:val="none"/>
          <w:shd w:val="clear" w:fill="FFFFFF"/>
        </w:rPr>
        <w:t>21.37</w:t>
      </w:r>
      <w:r>
        <w:rPr>
          <w:rFonts w:hint="eastAsia" w:asciiTheme="minorEastAsia" w:hAnsiTheme="minorEastAsia" w:eastAsiaTheme="minorEastAsia"/>
          <w:color w:val="auto"/>
          <w:sz w:val="32"/>
          <w:szCs w:val="32"/>
          <w:highlight w:val="none"/>
        </w:rPr>
        <w:t>%，主要是因为</w:t>
      </w:r>
      <w:r>
        <w:rPr>
          <w:rFonts w:hint="eastAsia" w:ascii="宋体" w:hAnsi="宋体" w:eastAsia="宋体" w:cs="宋体"/>
          <w:i w:val="0"/>
          <w:caps w:val="0"/>
          <w:color w:val="auto"/>
          <w:spacing w:val="0"/>
          <w:sz w:val="32"/>
          <w:szCs w:val="32"/>
          <w:highlight w:val="none"/>
          <w:shd w:val="clear" w:fill="FFFFFF"/>
        </w:rPr>
        <w:t>厉行节约，人员调整等</w:t>
      </w:r>
      <w:r>
        <w:rPr>
          <w:rFonts w:hint="eastAsia" w:ascii="宋体" w:hAnsi="宋体" w:eastAsia="宋体" w:cs="宋体"/>
          <w:i w:val="0"/>
          <w:caps w:val="0"/>
          <w:color w:val="auto"/>
          <w:spacing w:val="0"/>
          <w:sz w:val="32"/>
          <w:szCs w:val="32"/>
          <w:highlight w:val="none"/>
          <w:shd w:val="clear" w:fill="FFFFFF"/>
          <w:lang w:eastAsia="zh-CN"/>
        </w:rPr>
        <w:t>。</w:t>
      </w:r>
    </w:p>
    <w:p>
      <w:pPr>
        <w:pStyle w:val="10"/>
        <w:shd w:val="clear"/>
        <w:jc w:val="both"/>
        <w:rPr>
          <w:rFonts w:hAnsi="黑体"/>
          <w:b/>
          <w:color w:val="auto"/>
          <w:sz w:val="32"/>
          <w:szCs w:val="32"/>
          <w:highlight w:val="none"/>
        </w:rPr>
      </w:pPr>
      <w:r>
        <w:rPr>
          <w:rFonts w:hint="eastAsia" w:hAnsi="黑体"/>
          <w:b/>
          <w:color w:val="auto"/>
          <w:sz w:val="32"/>
          <w:szCs w:val="32"/>
          <w:highlight w:val="none"/>
        </w:rPr>
        <w:t>二、收入决算情况说明</w:t>
      </w:r>
    </w:p>
    <w:p>
      <w:pPr>
        <w:pStyle w:val="10"/>
        <w:shd w:val="clear"/>
        <w:ind w:firstLine="640" w:firstLineChars="200"/>
        <w:jc w:val="both"/>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2021年度收入合计</w:t>
      </w:r>
      <w:r>
        <w:rPr>
          <w:rFonts w:hint="eastAsia" w:ascii="宋体" w:hAnsi="宋体" w:eastAsia="宋体" w:cs="宋体"/>
          <w:i w:val="0"/>
          <w:caps w:val="0"/>
          <w:color w:val="auto"/>
          <w:spacing w:val="0"/>
          <w:sz w:val="32"/>
          <w:szCs w:val="32"/>
          <w:highlight w:val="none"/>
          <w:shd w:val="clear" w:fill="FFFFFF"/>
        </w:rPr>
        <w:t>231.48</w:t>
      </w:r>
      <w:r>
        <w:rPr>
          <w:rFonts w:hint="eastAsia" w:asciiTheme="minorEastAsia" w:hAnsiTheme="minorEastAsia" w:eastAsiaTheme="minorEastAsia"/>
          <w:color w:val="auto"/>
          <w:sz w:val="32"/>
          <w:szCs w:val="32"/>
          <w:highlight w:val="none"/>
        </w:rPr>
        <w:t>万元，其中：财政拨款收入</w:t>
      </w:r>
      <w:r>
        <w:rPr>
          <w:rFonts w:hint="eastAsia" w:ascii="宋体" w:hAnsi="宋体" w:eastAsia="宋体" w:cs="宋体"/>
          <w:i w:val="0"/>
          <w:caps w:val="0"/>
          <w:color w:val="auto"/>
          <w:spacing w:val="0"/>
          <w:sz w:val="32"/>
          <w:szCs w:val="32"/>
          <w:highlight w:val="none"/>
          <w:shd w:val="clear" w:fill="FFFFFF"/>
        </w:rPr>
        <w:t>231.48</w:t>
      </w:r>
      <w:r>
        <w:rPr>
          <w:rFonts w:hint="eastAsia" w:asciiTheme="minorEastAsia" w:hAnsiTheme="minorEastAsia" w:eastAsiaTheme="minorEastAsia"/>
          <w:color w:val="auto"/>
          <w:sz w:val="32"/>
          <w:szCs w:val="32"/>
          <w:highlight w:val="none"/>
        </w:rPr>
        <w:t>万元，占</w:t>
      </w:r>
      <w:r>
        <w:rPr>
          <w:rFonts w:hint="eastAsia" w:asciiTheme="minorEastAsia" w:hAnsiTheme="minorEastAsia" w:eastAsiaTheme="minorEastAsia"/>
          <w:color w:val="auto"/>
          <w:sz w:val="32"/>
          <w:szCs w:val="32"/>
          <w:highlight w:val="none"/>
          <w:lang w:val="en-US" w:eastAsia="zh-CN"/>
        </w:rPr>
        <w:t>100.00</w:t>
      </w:r>
      <w:r>
        <w:rPr>
          <w:rFonts w:hint="eastAsia" w:asciiTheme="minorEastAsia" w:hAnsiTheme="minorEastAsia" w:eastAsiaTheme="minorEastAsia"/>
          <w:color w:val="auto"/>
          <w:sz w:val="32"/>
          <w:szCs w:val="32"/>
          <w:highlight w:val="none"/>
        </w:rPr>
        <w:t>%；上级补助收入</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万元，占</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%；事业收入</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万元，占</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%；经营收入</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万元，占</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%；附属单位上缴收入</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万元，占</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%；其他收入</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万元，占</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w:t>
      </w:r>
    </w:p>
    <w:p>
      <w:pPr>
        <w:pStyle w:val="10"/>
        <w:shd w:val="clear"/>
        <w:rPr>
          <w:rFonts w:hAnsi="黑体"/>
          <w:b/>
          <w:color w:val="auto"/>
          <w:sz w:val="32"/>
          <w:szCs w:val="32"/>
          <w:highlight w:val="none"/>
        </w:rPr>
      </w:pPr>
      <w:r>
        <w:rPr>
          <w:rFonts w:hint="eastAsia" w:hAnsi="黑体"/>
          <w:b/>
          <w:color w:val="auto"/>
          <w:sz w:val="32"/>
          <w:szCs w:val="32"/>
          <w:highlight w:val="none"/>
        </w:rPr>
        <w:t>三、支出决算情况说明</w:t>
      </w:r>
    </w:p>
    <w:p>
      <w:pPr>
        <w:pStyle w:val="10"/>
        <w:shd w:val="clear"/>
        <w:ind w:firstLine="640" w:firstLineChars="200"/>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2021年度支出合计</w:t>
      </w:r>
      <w:r>
        <w:rPr>
          <w:rFonts w:hint="eastAsia" w:ascii="宋体" w:hAnsi="宋体" w:eastAsia="宋体" w:cs="宋体"/>
          <w:i w:val="0"/>
          <w:caps w:val="0"/>
          <w:color w:val="auto"/>
          <w:spacing w:val="0"/>
          <w:sz w:val="32"/>
          <w:szCs w:val="32"/>
          <w:highlight w:val="none"/>
          <w:shd w:val="clear" w:fill="FFFFFF"/>
        </w:rPr>
        <w:t>231.48</w:t>
      </w:r>
      <w:r>
        <w:rPr>
          <w:rFonts w:hint="eastAsia" w:asciiTheme="minorEastAsia" w:hAnsiTheme="minorEastAsia" w:eastAsiaTheme="minorEastAsia"/>
          <w:color w:val="auto"/>
          <w:sz w:val="32"/>
          <w:szCs w:val="32"/>
          <w:highlight w:val="none"/>
        </w:rPr>
        <w:t>万元</w:t>
      </w:r>
      <w:r>
        <w:rPr>
          <w:rFonts w:hint="eastAsia" w:asciiTheme="minorEastAsia" w:hAnsiTheme="minorEastAsia" w:eastAsiaTheme="minorEastAsia"/>
          <w:color w:val="auto"/>
          <w:sz w:val="32"/>
          <w:szCs w:val="32"/>
          <w:highlight w:val="none"/>
          <w:lang w:eastAsia="zh-CN"/>
        </w:rPr>
        <w:t>，</w:t>
      </w:r>
      <w:r>
        <w:rPr>
          <w:rFonts w:hint="eastAsia" w:asciiTheme="minorEastAsia" w:hAnsiTheme="minorEastAsia" w:eastAsiaTheme="minorEastAsia"/>
          <w:color w:val="auto"/>
          <w:sz w:val="32"/>
          <w:szCs w:val="32"/>
          <w:highlight w:val="none"/>
        </w:rPr>
        <w:t>其中：基本支出</w:t>
      </w:r>
      <w:r>
        <w:rPr>
          <w:rFonts w:hint="eastAsia" w:ascii="宋体" w:hAnsi="宋体" w:eastAsia="宋体" w:cs="宋体"/>
          <w:i w:val="0"/>
          <w:caps w:val="0"/>
          <w:color w:val="auto"/>
          <w:spacing w:val="0"/>
          <w:sz w:val="32"/>
          <w:szCs w:val="32"/>
          <w:highlight w:val="none"/>
          <w:shd w:val="clear" w:fill="FFFFFF"/>
        </w:rPr>
        <w:t>231.48</w:t>
      </w:r>
      <w:r>
        <w:rPr>
          <w:rFonts w:hint="eastAsia" w:asciiTheme="minorEastAsia" w:hAnsiTheme="minorEastAsia" w:eastAsiaTheme="minorEastAsia"/>
          <w:color w:val="auto"/>
          <w:sz w:val="32"/>
          <w:szCs w:val="32"/>
          <w:highlight w:val="none"/>
        </w:rPr>
        <w:t>万元，占</w:t>
      </w:r>
      <w:r>
        <w:rPr>
          <w:rFonts w:hint="eastAsia" w:asciiTheme="minorEastAsia" w:hAnsiTheme="minorEastAsia" w:eastAsiaTheme="minorEastAsia"/>
          <w:color w:val="auto"/>
          <w:sz w:val="32"/>
          <w:szCs w:val="32"/>
          <w:highlight w:val="none"/>
          <w:lang w:val="en-US" w:eastAsia="zh-CN"/>
        </w:rPr>
        <w:t>100.00</w:t>
      </w:r>
      <w:r>
        <w:rPr>
          <w:rFonts w:hint="eastAsia" w:asciiTheme="minorEastAsia" w:hAnsiTheme="minorEastAsia" w:eastAsiaTheme="minorEastAsia"/>
          <w:color w:val="auto"/>
          <w:sz w:val="32"/>
          <w:szCs w:val="32"/>
          <w:highlight w:val="none"/>
        </w:rPr>
        <w:t>%；项目支出</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万元，占</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%；上缴上级支出</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万元，占</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%；经营支出</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万元，占</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%；对附属单位补助支出</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万元，占</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w:t>
      </w:r>
    </w:p>
    <w:p>
      <w:pPr>
        <w:pStyle w:val="10"/>
        <w:shd w:val="clear"/>
        <w:rPr>
          <w:rFonts w:hAnsi="黑体"/>
          <w:b/>
          <w:color w:val="auto"/>
          <w:sz w:val="32"/>
          <w:szCs w:val="32"/>
          <w:highlight w:val="none"/>
        </w:rPr>
      </w:pPr>
      <w:r>
        <w:rPr>
          <w:rFonts w:hint="eastAsia" w:hAnsi="黑体"/>
          <w:b/>
          <w:color w:val="auto"/>
          <w:sz w:val="32"/>
          <w:szCs w:val="32"/>
          <w:highlight w:val="none"/>
        </w:rPr>
        <w:t>四、财政拨款收入支出决算总体情况说明</w:t>
      </w:r>
    </w:p>
    <w:p>
      <w:pPr>
        <w:pStyle w:val="10"/>
        <w:shd w:val="clear"/>
        <w:ind w:firstLine="640" w:firstLineChars="200"/>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2021年度财政拨款收、支</w:t>
      </w:r>
      <w:r>
        <w:rPr>
          <w:rFonts w:hint="eastAsia" w:asciiTheme="minorEastAsia" w:hAnsiTheme="minorEastAsia" w:eastAsiaTheme="minorEastAsia"/>
          <w:sz w:val="32"/>
          <w:szCs w:val="32"/>
          <w:highlight w:val="none"/>
        </w:rPr>
        <w:t>总计</w:t>
      </w:r>
      <w:r>
        <w:rPr>
          <w:rFonts w:hint="eastAsia" w:asciiTheme="minorEastAsia" w:hAnsiTheme="minorEastAsia" w:eastAsiaTheme="minorEastAsia"/>
          <w:color w:val="auto"/>
          <w:sz w:val="32"/>
          <w:szCs w:val="32"/>
          <w:highlight w:val="none"/>
        </w:rPr>
        <w:t>均为</w:t>
      </w:r>
      <w:r>
        <w:rPr>
          <w:rFonts w:hint="eastAsia" w:ascii="宋体" w:hAnsi="宋体" w:eastAsia="宋体" w:cs="宋体"/>
          <w:i w:val="0"/>
          <w:caps w:val="0"/>
          <w:color w:val="auto"/>
          <w:spacing w:val="0"/>
          <w:sz w:val="32"/>
          <w:szCs w:val="32"/>
          <w:highlight w:val="none"/>
          <w:shd w:val="clear" w:fill="FFFFFF"/>
        </w:rPr>
        <w:t>231.48</w:t>
      </w:r>
      <w:r>
        <w:rPr>
          <w:rFonts w:hint="eastAsia" w:asciiTheme="minorEastAsia" w:hAnsiTheme="minorEastAsia" w:eastAsiaTheme="minorEastAsia"/>
          <w:color w:val="auto"/>
          <w:sz w:val="32"/>
          <w:szCs w:val="32"/>
          <w:highlight w:val="none"/>
        </w:rPr>
        <w:t>万元，与上年相比，减少</w:t>
      </w:r>
      <w:r>
        <w:rPr>
          <w:rFonts w:hint="eastAsia" w:ascii="宋体" w:hAnsi="宋体" w:eastAsia="宋体" w:cs="宋体"/>
          <w:i w:val="0"/>
          <w:caps w:val="0"/>
          <w:color w:val="auto"/>
          <w:spacing w:val="0"/>
          <w:sz w:val="32"/>
          <w:szCs w:val="32"/>
          <w:highlight w:val="none"/>
          <w:shd w:val="clear" w:fill="FFFFFF"/>
        </w:rPr>
        <w:t>62.92</w:t>
      </w:r>
      <w:r>
        <w:rPr>
          <w:rFonts w:hint="eastAsia" w:asciiTheme="minorEastAsia" w:hAnsiTheme="minorEastAsia" w:eastAsiaTheme="minorEastAsia"/>
          <w:color w:val="auto"/>
          <w:sz w:val="32"/>
          <w:szCs w:val="32"/>
          <w:highlight w:val="none"/>
        </w:rPr>
        <w:t>万元,减少</w:t>
      </w:r>
      <w:r>
        <w:rPr>
          <w:rFonts w:hint="eastAsia" w:asciiTheme="minorEastAsia" w:hAnsiTheme="minorEastAsia" w:eastAsiaTheme="minorEastAsia"/>
          <w:color w:val="auto"/>
          <w:sz w:val="32"/>
          <w:szCs w:val="32"/>
          <w:highlight w:val="none"/>
          <w:lang w:val="en-US" w:eastAsia="zh-CN"/>
        </w:rPr>
        <w:t>21.37</w:t>
      </w:r>
      <w:r>
        <w:rPr>
          <w:rFonts w:hint="eastAsia" w:asciiTheme="minorEastAsia" w:hAnsiTheme="minorEastAsia" w:eastAsiaTheme="minorEastAsia"/>
          <w:color w:val="auto"/>
          <w:sz w:val="32"/>
          <w:szCs w:val="32"/>
          <w:highlight w:val="none"/>
        </w:rPr>
        <w:t>%，主要是因为</w:t>
      </w:r>
      <w:r>
        <w:rPr>
          <w:rFonts w:hint="eastAsia" w:ascii="宋体" w:hAnsi="宋体" w:eastAsia="宋体" w:cs="宋体"/>
          <w:i w:val="0"/>
          <w:caps w:val="0"/>
          <w:color w:val="auto"/>
          <w:spacing w:val="0"/>
          <w:sz w:val="32"/>
          <w:szCs w:val="32"/>
          <w:highlight w:val="none"/>
          <w:shd w:val="clear" w:fill="FFFFFF"/>
        </w:rPr>
        <w:t>厉行节约，人员调整等。</w:t>
      </w:r>
    </w:p>
    <w:p>
      <w:pPr>
        <w:pStyle w:val="10"/>
        <w:shd w:val="clear"/>
        <w:rPr>
          <w:rFonts w:hAnsi="黑体"/>
          <w:b/>
          <w:color w:val="auto"/>
          <w:sz w:val="32"/>
          <w:szCs w:val="32"/>
          <w:highlight w:val="none"/>
        </w:rPr>
      </w:pPr>
      <w:r>
        <w:rPr>
          <w:rFonts w:hint="eastAsia" w:hAnsi="黑体"/>
          <w:b/>
          <w:color w:val="auto"/>
          <w:sz w:val="32"/>
          <w:szCs w:val="32"/>
          <w:highlight w:val="none"/>
        </w:rPr>
        <w:t>五、一般公共预算财政拨款支出决算情况说明</w:t>
      </w:r>
    </w:p>
    <w:p>
      <w:pPr>
        <w:pStyle w:val="10"/>
        <w:shd w:val="clear"/>
        <w:ind w:firstLine="640" w:firstLineChars="200"/>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（一）财政拨款支出决算总体情况</w:t>
      </w:r>
    </w:p>
    <w:p>
      <w:pPr>
        <w:pStyle w:val="10"/>
        <w:shd w:val="clear"/>
        <w:ind w:firstLine="800" w:firstLineChars="250"/>
        <w:jc w:val="both"/>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2021年度财政拨款支出</w:t>
      </w:r>
      <w:r>
        <w:rPr>
          <w:rFonts w:hint="eastAsia" w:ascii="宋体" w:hAnsi="宋体" w:eastAsia="宋体" w:cs="宋体"/>
          <w:i w:val="0"/>
          <w:caps w:val="0"/>
          <w:color w:val="auto"/>
          <w:spacing w:val="0"/>
          <w:sz w:val="32"/>
          <w:szCs w:val="32"/>
          <w:highlight w:val="none"/>
          <w:shd w:val="clear" w:fill="FFFFFF"/>
        </w:rPr>
        <w:t>231.48</w:t>
      </w:r>
      <w:r>
        <w:rPr>
          <w:rFonts w:hint="eastAsia" w:asciiTheme="minorEastAsia" w:hAnsiTheme="minorEastAsia" w:eastAsiaTheme="minorEastAsia"/>
          <w:color w:val="auto"/>
          <w:sz w:val="32"/>
          <w:szCs w:val="32"/>
          <w:highlight w:val="none"/>
        </w:rPr>
        <w:t>万元，占本年支出合计的</w:t>
      </w:r>
      <w:r>
        <w:rPr>
          <w:rFonts w:hint="eastAsia" w:asciiTheme="minorEastAsia" w:hAnsiTheme="minorEastAsia" w:eastAsiaTheme="minorEastAsia"/>
          <w:color w:val="auto"/>
          <w:sz w:val="32"/>
          <w:szCs w:val="32"/>
          <w:highlight w:val="none"/>
          <w:lang w:val="en-US" w:eastAsia="zh-CN"/>
        </w:rPr>
        <w:t>100.00</w:t>
      </w:r>
      <w:r>
        <w:rPr>
          <w:rFonts w:hint="eastAsia" w:asciiTheme="minorEastAsia" w:hAnsiTheme="minorEastAsia" w:eastAsiaTheme="minorEastAsia"/>
          <w:color w:val="auto"/>
          <w:sz w:val="32"/>
          <w:szCs w:val="32"/>
          <w:highlight w:val="none"/>
        </w:rPr>
        <w:t>%，与上年相比，财政拨款支出减少</w:t>
      </w:r>
      <w:r>
        <w:rPr>
          <w:rFonts w:hint="eastAsia" w:ascii="宋体" w:hAnsi="宋体" w:eastAsia="宋体" w:cs="宋体"/>
          <w:i w:val="0"/>
          <w:caps w:val="0"/>
          <w:color w:val="auto"/>
          <w:spacing w:val="0"/>
          <w:sz w:val="32"/>
          <w:szCs w:val="32"/>
          <w:highlight w:val="none"/>
          <w:shd w:val="clear" w:fill="FFFFFF"/>
        </w:rPr>
        <w:t>62.92</w:t>
      </w:r>
      <w:r>
        <w:rPr>
          <w:rFonts w:hint="eastAsia" w:asciiTheme="minorEastAsia" w:hAnsiTheme="minorEastAsia" w:eastAsiaTheme="minorEastAsia"/>
          <w:color w:val="auto"/>
          <w:sz w:val="32"/>
          <w:szCs w:val="32"/>
          <w:highlight w:val="none"/>
        </w:rPr>
        <w:t>万元，减少</w:t>
      </w:r>
      <w:r>
        <w:rPr>
          <w:rFonts w:hint="eastAsia" w:asciiTheme="minorEastAsia" w:hAnsiTheme="minorEastAsia" w:eastAsiaTheme="minorEastAsia"/>
          <w:color w:val="auto"/>
          <w:sz w:val="32"/>
          <w:szCs w:val="32"/>
          <w:highlight w:val="none"/>
          <w:lang w:val="en-US" w:eastAsia="zh-CN"/>
        </w:rPr>
        <w:t>21.37</w:t>
      </w:r>
      <w:r>
        <w:rPr>
          <w:rFonts w:hint="eastAsia" w:asciiTheme="minorEastAsia" w:hAnsiTheme="minorEastAsia" w:eastAsiaTheme="minorEastAsia"/>
          <w:color w:val="auto"/>
          <w:sz w:val="32"/>
          <w:szCs w:val="32"/>
          <w:highlight w:val="none"/>
        </w:rPr>
        <w:t>%，主要是因为</w:t>
      </w:r>
      <w:r>
        <w:rPr>
          <w:rFonts w:hint="eastAsia" w:ascii="宋体" w:hAnsi="宋体" w:eastAsia="宋体" w:cs="宋体"/>
          <w:i w:val="0"/>
          <w:caps w:val="0"/>
          <w:color w:val="auto"/>
          <w:spacing w:val="0"/>
          <w:sz w:val="32"/>
          <w:szCs w:val="32"/>
          <w:highlight w:val="none"/>
          <w:shd w:val="clear" w:fill="FFFFFF"/>
        </w:rPr>
        <w:t>厉行节约，人员调整等。</w:t>
      </w:r>
    </w:p>
    <w:p>
      <w:pPr>
        <w:pStyle w:val="10"/>
        <w:shd w:val="clear"/>
        <w:ind w:firstLine="480" w:firstLineChars="150"/>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（二）财政拨款支出决算结构情况</w:t>
      </w:r>
    </w:p>
    <w:p>
      <w:pPr>
        <w:pStyle w:val="10"/>
        <w:shd w:val="clear"/>
        <w:ind w:firstLine="640" w:firstLineChars="200"/>
        <w:jc w:val="both"/>
        <w:rPr>
          <w:rFonts w:asciiTheme="minorEastAsia" w:hAnsiTheme="minorEastAsia" w:eastAsiaTheme="minorEastAsia"/>
          <w:iCs/>
          <w:color w:val="auto"/>
          <w:sz w:val="32"/>
          <w:szCs w:val="32"/>
          <w:highlight w:val="none"/>
        </w:rPr>
      </w:pPr>
      <w:r>
        <w:rPr>
          <w:rFonts w:hint="eastAsia" w:asciiTheme="minorEastAsia" w:hAnsiTheme="minorEastAsia" w:eastAsiaTheme="minorEastAsia"/>
          <w:color w:val="auto"/>
          <w:sz w:val="32"/>
          <w:szCs w:val="32"/>
          <w:highlight w:val="none"/>
        </w:rPr>
        <w:t>2021年度财政拨款支出</w:t>
      </w:r>
      <w:r>
        <w:rPr>
          <w:rFonts w:hint="eastAsia" w:ascii="宋体" w:hAnsi="宋体" w:eastAsia="宋体" w:cs="宋体"/>
          <w:i w:val="0"/>
          <w:caps w:val="0"/>
          <w:color w:val="auto"/>
          <w:spacing w:val="0"/>
          <w:sz w:val="32"/>
          <w:szCs w:val="32"/>
          <w:highlight w:val="none"/>
          <w:shd w:val="clear" w:fill="FFFFFF"/>
        </w:rPr>
        <w:t>231.48</w:t>
      </w:r>
      <w:r>
        <w:rPr>
          <w:rFonts w:hint="eastAsia" w:asciiTheme="minorEastAsia" w:hAnsiTheme="minorEastAsia" w:eastAsiaTheme="minorEastAsia"/>
          <w:color w:val="auto"/>
          <w:sz w:val="32"/>
          <w:szCs w:val="32"/>
          <w:highlight w:val="none"/>
        </w:rPr>
        <w:t>万元，主要用于以下方面：一般公共服务（类）支出</w:t>
      </w:r>
      <w:r>
        <w:rPr>
          <w:rFonts w:hint="eastAsia" w:ascii="宋体" w:hAnsi="宋体" w:eastAsia="宋体" w:cs="宋体"/>
          <w:i w:val="0"/>
          <w:caps w:val="0"/>
          <w:color w:val="auto"/>
          <w:spacing w:val="0"/>
          <w:sz w:val="32"/>
          <w:szCs w:val="32"/>
          <w:highlight w:val="none"/>
          <w:shd w:val="clear" w:fill="FFFFFF"/>
        </w:rPr>
        <w:t>218.43</w:t>
      </w:r>
      <w:r>
        <w:rPr>
          <w:rFonts w:hint="eastAsia" w:asciiTheme="minorEastAsia" w:hAnsiTheme="minorEastAsia" w:eastAsiaTheme="minorEastAsia"/>
          <w:color w:val="auto"/>
          <w:sz w:val="32"/>
          <w:szCs w:val="32"/>
          <w:highlight w:val="none"/>
        </w:rPr>
        <w:t>万元，占</w:t>
      </w:r>
      <w:r>
        <w:rPr>
          <w:rFonts w:hint="eastAsia" w:asciiTheme="minorEastAsia" w:hAnsiTheme="minorEastAsia" w:eastAsiaTheme="minorEastAsia"/>
          <w:color w:val="auto"/>
          <w:sz w:val="32"/>
          <w:szCs w:val="32"/>
          <w:highlight w:val="none"/>
          <w:lang w:val="en-US" w:eastAsia="zh-CN"/>
        </w:rPr>
        <w:t>94.37</w:t>
      </w:r>
      <w:r>
        <w:rPr>
          <w:rFonts w:hint="eastAsia" w:asciiTheme="minorEastAsia" w:hAnsiTheme="minorEastAsia" w:eastAsiaTheme="minorEastAsia"/>
          <w:color w:val="auto"/>
          <w:sz w:val="32"/>
          <w:szCs w:val="32"/>
          <w:highlight w:val="none"/>
        </w:rPr>
        <w:t>%；</w:t>
      </w:r>
      <w:r>
        <w:rPr>
          <w:rFonts w:hint="eastAsia" w:ascii="宋体" w:hAnsi="宋体" w:eastAsia="宋体" w:cs="宋体"/>
          <w:i w:val="0"/>
          <w:caps w:val="0"/>
          <w:color w:val="auto"/>
          <w:spacing w:val="0"/>
          <w:sz w:val="32"/>
          <w:szCs w:val="32"/>
          <w:highlight w:val="none"/>
          <w:shd w:val="clear" w:fill="FFFFFF"/>
        </w:rPr>
        <w:t>社会保障和就业</w:t>
      </w:r>
      <w:r>
        <w:rPr>
          <w:rFonts w:hint="eastAsia" w:asciiTheme="minorEastAsia" w:hAnsiTheme="minorEastAsia" w:eastAsiaTheme="minorEastAsia"/>
          <w:color w:val="auto"/>
          <w:sz w:val="32"/>
          <w:szCs w:val="32"/>
          <w:highlight w:val="none"/>
        </w:rPr>
        <w:t>（类）</w:t>
      </w:r>
      <w:r>
        <w:rPr>
          <w:rFonts w:hint="eastAsia" w:ascii="宋体" w:hAnsi="宋体" w:eastAsia="宋体" w:cs="宋体"/>
          <w:i w:val="0"/>
          <w:caps w:val="0"/>
          <w:color w:val="auto"/>
          <w:spacing w:val="0"/>
          <w:sz w:val="32"/>
          <w:szCs w:val="32"/>
          <w:highlight w:val="none"/>
          <w:shd w:val="clear" w:fill="FFFFFF"/>
        </w:rPr>
        <w:t>支出4.54万元，占1.96%；卫生健康</w:t>
      </w:r>
      <w:r>
        <w:rPr>
          <w:rFonts w:hint="eastAsia" w:asciiTheme="minorEastAsia" w:hAnsiTheme="minorEastAsia" w:eastAsiaTheme="minorEastAsia"/>
          <w:color w:val="auto"/>
          <w:sz w:val="32"/>
          <w:szCs w:val="32"/>
          <w:highlight w:val="none"/>
        </w:rPr>
        <w:t>（类）</w:t>
      </w:r>
      <w:r>
        <w:rPr>
          <w:rFonts w:hint="eastAsia" w:ascii="宋体" w:hAnsi="宋体" w:eastAsia="宋体" w:cs="宋体"/>
          <w:i w:val="0"/>
          <w:caps w:val="0"/>
          <w:color w:val="auto"/>
          <w:spacing w:val="0"/>
          <w:sz w:val="32"/>
          <w:szCs w:val="32"/>
          <w:highlight w:val="none"/>
          <w:shd w:val="clear" w:fill="FFFFFF"/>
        </w:rPr>
        <w:t>支出3.27万元，占1.41%；住房保障</w:t>
      </w:r>
      <w:r>
        <w:rPr>
          <w:rFonts w:hint="eastAsia" w:asciiTheme="minorEastAsia" w:hAnsiTheme="minorEastAsia" w:eastAsiaTheme="minorEastAsia"/>
          <w:color w:val="auto"/>
          <w:sz w:val="32"/>
          <w:szCs w:val="32"/>
          <w:highlight w:val="none"/>
        </w:rPr>
        <w:t>（类）</w:t>
      </w:r>
      <w:r>
        <w:rPr>
          <w:rFonts w:hint="eastAsia" w:ascii="宋体" w:hAnsi="宋体" w:eastAsia="宋体" w:cs="宋体"/>
          <w:i w:val="0"/>
          <w:caps w:val="0"/>
          <w:color w:val="auto"/>
          <w:spacing w:val="0"/>
          <w:sz w:val="32"/>
          <w:szCs w:val="32"/>
          <w:highlight w:val="none"/>
          <w:shd w:val="clear" w:fill="FFFFFF"/>
        </w:rPr>
        <w:t>支出5.23万元，占2.26%。</w:t>
      </w:r>
    </w:p>
    <w:p>
      <w:pPr>
        <w:pStyle w:val="10"/>
        <w:shd w:val="clear"/>
        <w:ind w:firstLine="800" w:firstLineChars="250"/>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（三）财政拨款支出决算具体情况</w:t>
      </w:r>
    </w:p>
    <w:p>
      <w:pPr>
        <w:pStyle w:val="10"/>
        <w:shd w:val="clear"/>
        <w:ind w:firstLine="800" w:firstLineChars="250"/>
        <w:jc w:val="both"/>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2021年度财政拨款支出年初预算数为</w:t>
      </w:r>
      <w:r>
        <w:rPr>
          <w:rFonts w:hint="eastAsia" w:ascii="宋体" w:hAnsi="宋体" w:eastAsia="宋体" w:cs="宋体"/>
          <w:i w:val="0"/>
          <w:caps w:val="0"/>
          <w:color w:val="auto"/>
          <w:spacing w:val="0"/>
          <w:sz w:val="32"/>
          <w:szCs w:val="32"/>
          <w:highlight w:val="none"/>
          <w:shd w:val="clear" w:fill="FFFFFF"/>
        </w:rPr>
        <w:t>196.21</w:t>
      </w:r>
      <w:r>
        <w:rPr>
          <w:rFonts w:hint="eastAsia" w:asciiTheme="minorEastAsia" w:hAnsiTheme="minorEastAsia" w:eastAsiaTheme="minorEastAsia"/>
          <w:color w:val="auto"/>
          <w:sz w:val="32"/>
          <w:szCs w:val="32"/>
          <w:highlight w:val="none"/>
        </w:rPr>
        <w:t>万元，支出决算数为</w:t>
      </w:r>
      <w:r>
        <w:rPr>
          <w:rFonts w:hint="eastAsia" w:ascii="宋体" w:hAnsi="宋体" w:eastAsia="宋体" w:cs="宋体"/>
          <w:i w:val="0"/>
          <w:caps w:val="0"/>
          <w:color w:val="auto"/>
          <w:spacing w:val="0"/>
          <w:sz w:val="32"/>
          <w:szCs w:val="32"/>
          <w:highlight w:val="none"/>
          <w:shd w:val="clear" w:fill="FFFFFF"/>
        </w:rPr>
        <w:t>231.48</w:t>
      </w:r>
      <w:r>
        <w:rPr>
          <w:rFonts w:hint="eastAsia" w:asciiTheme="minorEastAsia" w:hAnsiTheme="minorEastAsia" w:eastAsiaTheme="minorEastAsia"/>
          <w:color w:val="auto"/>
          <w:sz w:val="32"/>
          <w:szCs w:val="32"/>
          <w:highlight w:val="none"/>
        </w:rPr>
        <w:t>万元，完成年初预算的</w:t>
      </w:r>
      <w:r>
        <w:rPr>
          <w:rFonts w:hint="eastAsia" w:ascii="宋体" w:hAnsi="宋体" w:eastAsia="宋体" w:cs="宋体"/>
          <w:i w:val="0"/>
          <w:caps w:val="0"/>
          <w:color w:val="auto"/>
          <w:spacing w:val="0"/>
          <w:sz w:val="32"/>
          <w:szCs w:val="32"/>
          <w:highlight w:val="none"/>
          <w:shd w:val="clear" w:fill="FFFFFF"/>
        </w:rPr>
        <w:t>117.98</w:t>
      </w:r>
      <w:r>
        <w:rPr>
          <w:rFonts w:hint="eastAsia" w:asciiTheme="minorEastAsia" w:hAnsiTheme="minorEastAsia" w:eastAsiaTheme="minorEastAsia"/>
          <w:color w:val="auto"/>
          <w:sz w:val="32"/>
          <w:szCs w:val="32"/>
          <w:highlight w:val="none"/>
        </w:rPr>
        <w:t>%，其中：</w:t>
      </w:r>
    </w:p>
    <w:p>
      <w:pPr>
        <w:pStyle w:val="10"/>
        <w:shd w:val="clear"/>
        <w:ind w:firstLine="640" w:firstLineChars="200"/>
        <w:jc w:val="both"/>
        <w:rPr>
          <w:rFonts w:hint="eastAsia" w:ascii="宋体" w:hAnsi="宋体" w:eastAsia="宋体" w:cs="宋体"/>
          <w:i w:val="0"/>
          <w:caps w:val="0"/>
          <w:color w:val="auto"/>
          <w:spacing w:val="0"/>
          <w:sz w:val="32"/>
          <w:szCs w:val="32"/>
          <w:highlight w:val="none"/>
          <w:shd w:val="clear" w:fill="FFFFFF"/>
        </w:rPr>
      </w:pPr>
      <w:r>
        <w:rPr>
          <w:rFonts w:hint="eastAsia" w:asciiTheme="minorEastAsia" w:hAnsiTheme="minorEastAsia" w:eastAsiaTheme="minorEastAsia"/>
          <w:color w:val="auto"/>
          <w:sz w:val="32"/>
          <w:szCs w:val="32"/>
          <w:highlight w:val="none"/>
        </w:rPr>
        <w:t>1、一般公共服务支出（类</w:t>
      </w:r>
      <w:r>
        <w:rPr>
          <w:rFonts w:hint="eastAsia" w:ascii="宋体" w:hAnsi="宋体" w:eastAsia="宋体" w:cs="宋体"/>
          <w:i w:val="0"/>
          <w:caps w:val="0"/>
          <w:color w:val="auto"/>
          <w:spacing w:val="0"/>
          <w:sz w:val="32"/>
          <w:szCs w:val="32"/>
          <w:highlight w:val="none"/>
          <w:shd w:val="clear" w:fill="FFFFFF"/>
        </w:rPr>
        <w:t>）宣传事务（款）其他宣传事务支出（项）。</w:t>
      </w:r>
    </w:p>
    <w:p>
      <w:pPr>
        <w:pStyle w:val="10"/>
        <w:shd w:val="clear"/>
        <w:ind w:firstLine="640" w:firstLineChars="200"/>
        <w:jc w:val="both"/>
        <w:rPr>
          <w:rFonts w:hint="eastAsia" w:ascii="宋体" w:hAnsi="宋体" w:eastAsia="宋体" w:cs="宋体"/>
          <w:i w:val="0"/>
          <w:caps w:val="0"/>
          <w:color w:val="auto"/>
          <w:spacing w:val="0"/>
          <w:sz w:val="32"/>
          <w:szCs w:val="32"/>
          <w:highlight w:val="none"/>
          <w:shd w:val="clear" w:fill="FFFFFF"/>
          <w:lang w:eastAsia="zh-CN"/>
        </w:rPr>
      </w:pPr>
      <w:r>
        <w:rPr>
          <w:rFonts w:hint="eastAsia" w:asciiTheme="minorEastAsia" w:hAnsiTheme="minorEastAsia" w:eastAsiaTheme="minorEastAsia"/>
          <w:color w:val="auto"/>
          <w:sz w:val="32"/>
          <w:szCs w:val="32"/>
          <w:highlight w:val="none"/>
        </w:rPr>
        <w:t>年初预算为</w:t>
      </w:r>
      <w:r>
        <w:rPr>
          <w:rFonts w:hint="eastAsia" w:ascii="宋体" w:hAnsi="宋体" w:eastAsia="宋体" w:cs="宋体"/>
          <w:i w:val="0"/>
          <w:caps w:val="0"/>
          <w:color w:val="auto"/>
          <w:spacing w:val="0"/>
          <w:sz w:val="32"/>
          <w:szCs w:val="32"/>
          <w:highlight w:val="none"/>
          <w:shd w:val="clear" w:fill="FFFFFF"/>
          <w:lang w:val="en-US" w:eastAsia="zh-CN"/>
        </w:rPr>
        <w:t>0.00</w:t>
      </w:r>
      <w:r>
        <w:rPr>
          <w:rFonts w:hint="eastAsia" w:asciiTheme="minorEastAsia" w:hAnsiTheme="minorEastAsia" w:eastAsiaTheme="minorEastAsia"/>
          <w:color w:val="auto"/>
          <w:sz w:val="32"/>
          <w:szCs w:val="32"/>
          <w:highlight w:val="none"/>
        </w:rPr>
        <w:t>万元，支出决算为</w:t>
      </w:r>
      <w:r>
        <w:rPr>
          <w:rFonts w:hint="eastAsia" w:ascii="宋体" w:hAnsi="宋体" w:eastAsia="宋体" w:cs="宋体"/>
          <w:i w:val="0"/>
          <w:caps w:val="0"/>
          <w:color w:val="auto"/>
          <w:spacing w:val="0"/>
          <w:sz w:val="32"/>
          <w:szCs w:val="32"/>
          <w:highlight w:val="none"/>
          <w:shd w:val="clear" w:fill="FFFFFF"/>
        </w:rPr>
        <w:t>218.43</w:t>
      </w:r>
      <w:r>
        <w:rPr>
          <w:rFonts w:hint="eastAsia" w:asciiTheme="minorEastAsia" w:hAnsiTheme="minorEastAsia" w:eastAsiaTheme="minorEastAsia"/>
          <w:color w:val="auto"/>
          <w:sz w:val="32"/>
          <w:szCs w:val="32"/>
          <w:highlight w:val="none"/>
        </w:rPr>
        <w:t>万元，决算数大于年初预算数的主要原因是：</w:t>
      </w:r>
      <w:r>
        <w:rPr>
          <w:rFonts w:hint="eastAsia" w:asciiTheme="minorEastAsia" w:hAnsiTheme="minorEastAsia" w:eastAsiaTheme="minorEastAsia"/>
          <w:b w:val="0"/>
          <w:bCs/>
          <w:sz w:val="32"/>
          <w:szCs w:val="32"/>
        </w:rPr>
        <w:t>决</w:t>
      </w:r>
      <w:r>
        <w:rPr>
          <w:rFonts w:hint="eastAsia" w:asciiTheme="minorEastAsia" w:hAnsiTheme="minorEastAsia" w:eastAsiaTheme="minorEastAsia"/>
          <w:color w:val="auto"/>
          <w:sz w:val="32"/>
          <w:szCs w:val="32"/>
          <w:highlight w:val="none"/>
        </w:rPr>
        <w:t>算时将</w:t>
      </w:r>
      <w:r>
        <w:rPr>
          <w:rFonts w:hint="eastAsia" w:asciiTheme="minorEastAsia" w:hAnsiTheme="minorEastAsia" w:eastAsiaTheme="minorEastAsia"/>
          <w:color w:val="auto"/>
          <w:sz w:val="32"/>
          <w:szCs w:val="32"/>
          <w:highlight w:val="none"/>
          <w:lang w:eastAsia="zh-CN"/>
        </w:rPr>
        <w:t>各</w:t>
      </w:r>
      <w:r>
        <w:rPr>
          <w:rFonts w:hint="eastAsia" w:asciiTheme="minorEastAsia" w:hAnsiTheme="minorEastAsia" w:eastAsiaTheme="minorEastAsia"/>
          <w:color w:val="auto"/>
          <w:sz w:val="32"/>
          <w:szCs w:val="32"/>
          <w:highlight w:val="none"/>
        </w:rPr>
        <w:t>项支出计入了</w:t>
      </w:r>
      <w:r>
        <w:rPr>
          <w:rFonts w:hint="eastAsia" w:asciiTheme="minorEastAsia" w:hAnsiTheme="minorEastAsia" w:eastAsiaTheme="minorEastAsia"/>
          <w:color w:val="auto"/>
          <w:sz w:val="32"/>
          <w:szCs w:val="32"/>
          <w:highlight w:val="none"/>
          <w:lang w:eastAsia="zh-CN"/>
        </w:rPr>
        <w:t>此项</w:t>
      </w:r>
      <w:r>
        <w:rPr>
          <w:rFonts w:hint="eastAsia" w:asciiTheme="minorEastAsia" w:hAnsiTheme="minorEastAsia" w:eastAsiaTheme="minorEastAsia"/>
          <w:color w:val="auto"/>
          <w:sz w:val="32"/>
          <w:szCs w:val="32"/>
          <w:highlight w:val="none"/>
        </w:rPr>
        <w:t>支出</w:t>
      </w:r>
      <w:r>
        <w:rPr>
          <w:rFonts w:hint="eastAsia" w:ascii="宋体" w:hAnsi="宋体" w:eastAsia="宋体" w:cs="宋体"/>
          <w:i w:val="0"/>
          <w:caps w:val="0"/>
          <w:color w:val="auto"/>
          <w:spacing w:val="0"/>
          <w:sz w:val="32"/>
          <w:szCs w:val="32"/>
          <w:highlight w:val="none"/>
          <w:shd w:val="clear" w:fill="FFFFFF"/>
        </w:rPr>
        <w:t>。</w:t>
      </w:r>
      <w:r>
        <w:rPr>
          <w:rFonts w:hint="eastAsia" w:ascii="宋体" w:hAnsi="宋体" w:eastAsia="宋体" w:cs="宋体"/>
          <w:i w:val="0"/>
          <w:caps w:val="0"/>
          <w:color w:val="auto"/>
          <w:spacing w:val="0"/>
          <w:sz w:val="32"/>
          <w:szCs w:val="32"/>
          <w:highlight w:val="none"/>
          <w:shd w:val="clear" w:fill="FFFFFF"/>
          <w:lang w:val="en-US" w:eastAsia="zh-CN"/>
        </w:rPr>
        <w:t>决算数总体大于预算数主要是</w:t>
      </w:r>
      <w:r>
        <w:rPr>
          <w:rFonts w:hint="eastAsia" w:ascii="宋体" w:hAnsi="宋体" w:eastAsia="宋体" w:cs="宋体"/>
          <w:i w:val="0"/>
          <w:caps w:val="0"/>
          <w:color w:val="auto"/>
          <w:spacing w:val="0"/>
          <w:sz w:val="32"/>
          <w:szCs w:val="32"/>
          <w:highlight w:val="none"/>
          <w:shd w:val="clear" w:fill="FFFFFF"/>
        </w:rPr>
        <w:t>工资福利调整。</w:t>
      </w:r>
    </w:p>
    <w:p>
      <w:pPr>
        <w:pStyle w:val="10"/>
        <w:shd w:val="clear"/>
        <w:ind w:firstLine="640" w:firstLineChars="200"/>
        <w:jc w:val="both"/>
        <w:rPr>
          <w:rFonts w:hint="eastAsia" w:ascii="宋体" w:hAnsi="宋体" w:eastAsia="宋体" w:cs="宋体"/>
          <w:i w:val="0"/>
          <w:caps w:val="0"/>
          <w:color w:val="auto"/>
          <w:spacing w:val="0"/>
          <w:sz w:val="32"/>
          <w:szCs w:val="32"/>
          <w:highlight w:val="none"/>
          <w:shd w:val="clear" w:fill="FFFFFF"/>
        </w:rPr>
      </w:pPr>
      <w:r>
        <w:rPr>
          <w:rFonts w:hint="eastAsia" w:asciiTheme="minorEastAsia" w:hAnsiTheme="minorEastAsia" w:eastAsiaTheme="minorEastAsia"/>
          <w:color w:val="auto"/>
          <w:sz w:val="32"/>
          <w:szCs w:val="32"/>
          <w:highlight w:val="none"/>
          <w:lang w:val="en-US" w:eastAsia="zh-CN"/>
        </w:rPr>
        <w:t>2</w:t>
      </w:r>
      <w:r>
        <w:rPr>
          <w:rFonts w:hint="eastAsia" w:asciiTheme="minorEastAsia" w:hAnsiTheme="minorEastAsia" w:eastAsiaTheme="minorEastAsia"/>
          <w:color w:val="auto"/>
          <w:sz w:val="32"/>
          <w:szCs w:val="32"/>
          <w:highlight w:val="none"/>
        </w:rPr>
        <w:t>、一般公共服务支出（类</w:t>
      </w:r>
      <w:r>
        <w:rPr>
          <w:rFonts w:hint="eastAsia" w:ascii="宋体" w:hAnsi="宋体" w:eastAsia="宋体" w:cs="宋体"/>
          <w:i w:val="0"/>
          <w:caps w:val="0"/>
          <w:color w:val="auto"/>
          <w:spacing w:val="0"/>
          <w:sz w:val="32"/>
          <w:szCs w:val="32"/>
          <w:highlight w:val="none"/>
          <w:shd w:val="clear" w:fill="FFFFFF"/>
        </w:rPr>
        <w:t>）统战事务（款）行政运行（项）。</w:t>
      </w:r>
    </w:p>
    <w:p>
      <w:pPr>
        <w:pStyle w:val="10"/>
        <w:ind w:firstLine="640" w:firstLineChars="200"/>
        <w:jc w:val="both"/>
        <w:rPr>
          <w:rFonts w:hint="eastAsia" w:asciiTheme="minorEastAsia" w:hAnsiTheme="minorEastAsia" w:eastAsiaTheme="minorEastAsia"/>
          <w:color w:val="auto"/>
          <w:sz w:val="32"/>
          <w:szCs w:val="32"/>
          <w:highlight w:val="none"/>
          <w:lang w:val="en-US" w:eastAsia="zh-CN"/>
        </w:rPr>
      </w:pPr>
      <w:r>
        <w:rPr>
          <w:rFonts w:hint="eastAsia" w:asciiTheme="minorEastAsia" w:hAnsiTheme="minorEastAsia" w:eastAsiaTheme="minorEastAsia"/>
          <w:color w:val="auto"/>
          <w:sz w:val="32"/>
          <w:szCs w:val="32"/>
          <w:highlight w:val="none"/>
        </w:rPr>
        <w:t>年初预算为</w:t>
      </w:r>
      <w:r>
        <w:rPr>
          <w:rFonts w:hint="eastAsia" w:ascii="宋体" w:hAnsi="宋体" w:eastAsia="宋体" w:cs="宋体"/>
          <w:i w:val="0"/>
          <w:caps w:val="0"/>
          <w:color w:val="auto"/>
          <w:spacing w:val="0"/>
          <w:sz w:val="32"/>
          <w:szCs w:val="32"/>
          <w:highlight w:val="none"/>
          <w:shd w:val="clear" w:fill="FFFFFF"/>
          <w:lang w:val="en-US" w:eastAsia="zh-CN"/>
        </w:rPr>
        <w:t>157.59</w:t>
      </w:r>
      <w:r>
        <w:rPr>
          <w:rFonts w:hint="eastAsia" w:asciiTheme="minorEastAsia" w:hAnsiTheme="minorEastAsia" w:eastAsiaTheme="minorEastAsia"/>
          <w:color w:val="auto"/>
          <w:sz w:val="32"/>
          <w:szCs w:val="32"/>
          <w:highlight w:val="none"/>
        </w:rPr>
        <w:t>万元，支出决算为</w:t>
      </w:r>
      <w:r>
        <w:rPr>
          <w:rFonts w:hint="eastAsia" w:ascii="宋体" w:hAnsi="宋体" w:eastAsia="宋体" w:cs="宋体"/>
          <w:i w:val="0"/>
          <w:caps w:val="0"/>
          <w:color w:val="auto"/>
          <w:spacing w:val="0"/>
          <w:sz w:val="32"/>
          <w:szCs w:val="32"/>
          <w:highlight w:val="none"/>
          <w:shd w:val="clear" w:fill="FFFFFF"/>
          <w:lang w:val="en-US" w:eastAsia="zh-CN"/>
        </w:rPr>
        <w:t>0.00</w:t>
      </w:r>
      <w:r>
        <w:rPr>
          <w:rFonts w:hint="eastAsia" w:asciiTheme="minorEastAsia" w:hAnsiTheme="minorEastAsia" w:eastAsiaTheme="minorEastAsia"/>
          <w:color w:val="auto"/>
          <w:sz w:val="32"/>
          <w:szCs w:val="32"/>
          <w:highlight w:val="none"/>
        </w:rPr>
        <w:t>万元，决算数</w:t>
      </w:r>
      <w:r>
        <w:rPr>
          <w:rFonts w:hint="eastAsia" w:asciiTheme="minorEastAsia" w:hAnsiTheme="minorEastAsia" w:eastAsiaTheme="minorEastAsia"/>
          <w:color w:val="auto"/>
          <w:sz w:val="32"/>
          <w:szCs w:val="32"/>
          <w:highlight w:val="none"/>
          <w:lang w:val="en-US" w:eastAsia="zh-CN"/>
        </w:rPr>
        <w:t>小</w:t>
      </w:r>
      <w:r>
        <w:rPr>
          <w:rFonts w:hint="eastAsia" w:asciiTheme="minorEastAsia" w:hAnsiTheme="minorEastAsia" w:eastAsiaTheme="minorEastAsia"/>
          <w:color w:val="auto"/>
          <w:sz w:val="32"/>
          <w:szCs w:val="32"/>
          <w:highlight w:val="none"/>
        </w:rPr>
        <w:t>于年初预算数的主要原因是：</w:t>
      </w:r>
      <w:r>
        <w:rPr>
          <w:rFonts w:hint="eastAsia" w:asciiTheme="minorEastAsia" w:hAnsiTheme="minorEastAsia" w:eastAsiaTheme="minorEastAsia"/>
          <w:b w:val="0"/>
          <w:bCs/>
          <w:sz w:val="32"/>
          <w:szCs w:val="32"/>
        </w:rPr>
        <w:t>决</w:t>
      </w:r>
      <w:r>
        <w:rPr>
          <w:rFonts w:hint="eastAsia" w:asciiTheme="minorEastAsia" w:hAnsiTheme="minorEastAsia" w:eastAsiaTheme="minorEastAsia"/>
          <w:color w:val="auto"/>
          <w:sz w:val="32"/>
          <w:szCs w:val="32"/>
          <w:highlight w:val="none"/>
        </w:rPr>
        <w:t>算时将此项支出计入了其他宣传事务支出</w:t>
      </w:r>
      <w:r>
        <w:rPr>
          <w:rFonts w:hint="eastAsia" w:asciiTheme="minorEastAsia" w:hAnsiTheme="minorEastAsia" w:eastAsiaTheme="minorEastAsia"/>
          <w:color w:val="auto"/>
          <w:sz w:val="32"/>
          <w:szCs w:val="32"/>
          <w:highlight w:val="none"/>
          <w:lang w:eastAsia="zh-CN"/>
        </w:rPr>
        <w:t>。</w:t>
      </w:r>
    </w:p>
    <w:p>
      <w:pPr>
        <w:pStyle w:val="10"/>
        <w:shd w:val="clear"/>
        <w:ind w:firstLine="640" w:firstLineChars="200"/>
        <w:jc w:val="both"/>
        <w:rPr>
          <w:rFonts w:hint="eastAsia" w:asciiTheme="minorEastAsia" w:hAnsiTheme="minorEastAsia" w:eastAsiaTheme="minorEastAsia"/>
          <w:color w:val="auto"/>
          <w:sz w:val="32"/>
          <w:szCs w:val="32"/>
          <w:highlight w:val="none"/>
          <w:lang w:eastAsia="zh-CN"/>
        </w:rPr>
      </w:pPr>
      <w:r>
        <w:rPr>
          <w:rFonts w:hint="eastAsia" w:asciiTheme="minorEastAsia" w:hAnsiTheme="minorEastAsia" w:eastAsiaTheme="minorEastAsia"/>
          <w:color w:val="auto"/>
          <w:sz w:val="32"/>
          <w:szCs w:val="32"/>
          <w:highlight w:val="none"/>
          <w:lang w:val="en-US" w:eastAsia="zh-CN"/>
        </w:rPr>
        <w:t>3</w:t>
      </w:r>
      <w:r>
        <w:rPr>
          <w:rFonts w:hint="eastAsia" w:asciiTheme="minorEastAsia" w:hAnsiTheme="minorEastAsia" w:eastAsiaTheme="minorEastAsia"/>
          <w:color w:val="auto"/>
          <w:sz w:val="32"/>
          <w:szCs w:val="32"/>
          <w:highlight w:val="none"/>
        </w:rPr>
        <w:t>、社会保障和就业支出（类）行政事业单位养老支出（款）行政单位离退休（项）</w:t>
      </w:r>
      <w:r>
        <w:rPr>
          <w:rFonts w:hint="eastAsia" w:asciiTheme="minorEastAsia" w:hAnsiTheme="minorEastAsia" w:eastAsiaTheme="minorEastAsia"/>
          <w:color w:val="auto"/>
          <w:sz w:val="32"/>
          <w:szCs w:val="32"/>
          <w:highlight w:val="none"/>
          <w:lang w:eastAsia="zh-CN"/>
        </w:rPr>
        <w:t>。</w:t>
      </w:r>
    </w:p>
    <w:p>
      <w:pPr>
        <w:pStyle w:val="10"/>
        <w:shd w:val="clear"/>
        <w:ind w:firstLine="640" w:firstLineChars="200"/>
        <w:jc w:val="both"/>
        <w:rPr>
          <w:rFonts w:hint="eastAsia" w:ascii="宋体" w:hAnsi="宋体" w:eastAsia="宋体" w:cs="宋体"/>
          <w:i w:val="0"/>
          <w:caps w:val="0"/>
          <w:color w:val="FF0000"/>
          <w:spacing w:val="0"/>
          <w:sz w:val="32"/>
          <w:szCs w:val="32"/>
          <w:highlight w:val="yellow"/>
          <w:shd w:val="clear" w:fill="FFFFFF"/>
          <w:lang w:eastAsia="zh-CN"/>
        </w:rPr>
      </w:pPr>
      <w:r>
        <w:rPr>
          <w:rFonts w:hint="eastAsia" w:asciiTheme="minorEastAsia" w:hAnsiTheme="minorEastAsia" w:eastAsiaTheme="minorEastAsia"/>
          <w:color w:val="auto"/>
          <w:sz w:val="32"/>
          <w:szCs w:val="32"/>
          <w:highlight w:val="none"/>
        </w:rPr>
        <w:t>年初预算为</w:t>
      </w:r>
      <w:r>
        <w:rPr>
          <w:rFonts w:hint="eastAsia" w:ascii="宋体" w:hAnsi="宋体" w:eastAsia="宋体" w:cs="宋体"/>
          <w:i w:val="0"/>
          <w:caps w:val="0"/>
          <w:color w:val="auto"/>
          <w:spacing w:val="0"/>
          <w:sz w:val="32"/>
          <w:szCs w:val="32"/>
          <w:highlight w:val="none"/>
          <w:shd w:val="clear" w:fill="FFFFFF"/>
        </w:rPr>
        <w:t>16.51</w:t>
      </w:r>
      <w:r>
        <w:rPr>
          <w:rFonts w:hint="eastAsia" w:asciiTheme="minorEastAsia" w:hAnsiTheme="minorEastAsia" w:eastAsiaTheme="minorEastAsia"/>
          <w:color w:val="auto"/>
          <w:sz w:val="32"/>
          <w:szCs w:val="32"/>
          <w:highlight w:val="none"/>
        </w:rPr>
        <w:t>万元，支出决算为</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万元，完成年初预算的</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%，决算数小于年初预算数的主要原因是：</w:t>
      </w:r>
      <w:r>
        <w:rPr>
          <w:rFonts w:hint="eastAsia" w:asciiTheme="minorEastAsia" w:hAnsiTheme="minorEastAsia" w:eastAsiaTheme="minorEastAsia"/>
          <w:b w:val="0"/>
          <w:bCs/>
          <w:sz w:val="32"/>
          <w:szCs w:val="32"/>
        </w:rPr>
        <w:t>决</w:t>
      </w:r>
      <w:r>
        <w:rPr>
          <w:rFonts w:hint="eastAsia" w:asciiTheme="minorEastAsia" w:hAnsiTheme="minorEastAsia" w:eastAsiaTheme="minorEastAsia"/>
          <w:color w:val="auto"/>
          <w:sz w:val="32"/>
          <w:szCs w:val="32"/>
          <w:highlight w:val="none"/>
        </w:rPr>
        <w:t>算时将此项支出计入了其他宣传事务支出</w:t>
      </w:r>
      <w:r>
        <w:rPr>
          <w:rFonts w:hint="eastAsia" w:ascii="宋体" w:hAnsi="宋体" w:eastAsia="宋体" w:cs="宋体"/>
          <w:i w:val="0"/>
          <w:caps w:val="0"/>
          <w:color w:val="auto"/>
          <w:spacing w:val="0"/>
          <w:sz w:val="32"/>
          <w:szCs w:val="32"/>
          <w:highlight w:val="none"/>
          <w:shd w:val="clear" w:fill="FFFFFF"/>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right="0" w:firstLine="640" w:firstLineChars="200"/>
        <w:jc w:val="both"/>
        <w:textAlignment w:val="center"/>
        <w:rPr>
          <w:rFonts w:hint="eastAsia" w:cs="黑体" w:asciiTheme="minorEastAsia" w:hAnsiTheme="minorEastAsia" w:eastAsiaTheme="minorEastAsia"/>
          <w:color w:val="auto"/>
          <w:sz w:val="32"/>
          <w:szCs w:val="32"/>
          <w:highlight w:val="none"/>
          <w:lang w:val="en-US" w:eastAsia="zh-CN" w:bidi="ar-SA"/>
        </w:rPr>
      </w:pPr>
      <w:r>
        <w:rPr>
          <w:rFonts w:hint="eastAsia" w:cs="黑体" w:asciiTheme="minorEastAsia" w:hAnsiTheme="minorEastAsia"/>
          <w:color w:val="auto"/>
          <w:sz w:val="32"/>
          <w:szCs w:val="32"/>
          <w:highlight w:val="none"/>
          <w:lang w:val="en-US" w:eastAsia="zh-CN" w:bidi="ar-SA"/>
        </w:rPr>
        <w:t>4、</w:t>
      </w:r>
      <w:r>
        <w:rPr>
          <w:rFonts w:hint="eastAsia" w:cs="黑体" w:asciiTheme="minorEastAsia" w:hAnsiTheme="minorEastAsia" w:eastAsiaTheme="minorEastAsia"/>
          <w:color w:val="auto"/>
          <w:sz w:val="32"/>
          <w:szCs w:val="32"/>
          <w:highlight w:val="none"/>
          <w:lang w:val="en-US" w:eastAsia="zh-CN" w:bidi="ar-SA"/>
        </w:rPr>
        <w:t>社会保障和就业支出（类）行政事业单位养老支出（款）机关事业单位基本养老保险缴费支出（项）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right="0" w:firstLine="640" w:firstLineChars="200"/>
        <w:jc w:val="both"/>
        <w:textAlignment w:val="center"/>
        <w:rPr>
          <w:rFonts w:hint="eastAsia" w:cs="黑体" w:asciiTheme="minorEastAsia" w:hAnsiTheme="minorEastAsia" w:eastAsiaTheme="minorEastAsia"/>
          <w:color w:val="auto"/>
          <w:sz w:val="32"/>
          <w:szCs w:val="32"/>
          <w:highlight w:val="none"/>
          <w:lang w:val="en-US" w:eastAsia="zh-CN" w:bidi="ar-SA"/>
        </w:rPr>
      </w:pPr>
      <w:r>
        <w:rPr>
          <w:rFonts w:hint="eastAsia" w:cs="黑体" w:asciiTheme="minorEastAsia" w:hAnsiTheme="minorEastAsia" w:eastAsiaTheme="minorEastAsia"/>
          <w:color w:val="auto"/>
          <w:sz w:val="32"/>
          <w:szCs w:val="32"/>
          <w:highlight w:val="none"/>
          <w:lang w:val="en-US" w:eastAsia="zh-CN" w:bidi="ar-SA"/>
        </w:rPr>
        <w:t>年初预算为7.34万元，支出决算为4.54万元，完成年初预算的61.85%。决算数小于年初预算数的主要原因是：工资调整等。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right="0" w:firstLine="640" w:firstLineChars="200"/>
        <w:jc w:val="both"/>
        <w:textAlignment w:val="center"/>
        <w:rPr>
          <w:rFonts w:hint="eastAsia" w:asciiTheme="minorEastAsia" w:hAnsiTheme="minorEastAsia" w:eastAsiaTheme="minorEastAsia"/>
          <w:color w:val="auto"/>
          <w:sz w:val="32"/>
          <w:szCs w:val="32"/>
          <w:highlight w:val="none"/>
          <w:lang w:val="en-US" w:eastAsia="zh-CN"/>
        </w:rPr>
      </w:pPr>
      <w:r>
        <w:rPr>
          <w:rFonts w:hint="eastAsia" w:asciiTheme="minorEastAsia" w:hAnsiTheme="minorEastAsia"/>
          <w:color w:val="auto"/>
          <w:sz w:val="32"/>
          <w:szCs w:val="32"/>
          <w:highlight w:val="none"/>
          <w:lang w:val="en-US" w:eastAsia="zh-CN"/>
        </w:rPr>
        <w:t>5</w:t>
      </w:r>
      <w:r>
        <w:rPr>
          <w:rFonts w:hint="eastAsia" w:asciiTheme="minorEastAsia" w:hAnsiTheme="minorEastAsia" w:eastAsiaTheme="minorEastAsia"/>
          <w:color w:val="auto"/>
          <w:sz w:val="32"/>
          <w:szCs w:val="32"/>
          <w:highlight w:val="none"/>
          <w:lang w:val="en-US" w:eastAsia="zh-CN"/>
        </w:rPr>
        <w:t>、社会保障和就业支出（类）行政事业单位养老支出（款）机关事业单位职业年金缴费支出（项） </w:t>
      </w:r>
    </w:p>
    <w:p>
      <w:pPr>
        <w:pStyle w:val="10"/>
        <w:shd w:val="clear"/>
        <w:ind w:firstLine="640" w:firstLineChars="200"/>
        <w:jc w:val="both"/>
        <w:rPr>
          <w:rFonts w:hint="eastAsia" w:asciiTheme="minorEastAsia" w:hAnsiTheme="minorEastAsia" w:eastAsiaTheme="minorEastAsia"/>
          <w:color w:val="auto"/>
          <w:sz w:val="32"/>
          <w:szCs w:val="32"/>
          <w:highlight w:val="none"/>
          <w:lang w:val="en-US" w:eastAsia="zh-CN"/>
        </w:rPr>
      </w:pPr>
      <w:r>
        <w:rPr>
          <w:rFonts w:hint="eastAsia" w:asciiTheme="minorEastAsia" w:hAnsiTheme="minorEastAsia" w:eastAsiaTheme="minorEastAsia"/>
          <w:color w:val="auto"/>
          <w:sz w:val="32"/>
          <w:szCs w:val="32"/>
          <w:highlight w:val="none"/>
          <w:lang w:val="en-US" w:eastAsia="zh-CN"/>
        </w:rPr>
        <w:t>年初预算为3.67万元，支出决算为0</w:t>
      </w:r>
      <w:r>
        <w:rPr>
          <w:rFonts w:hint="eastAsia" w:asciiTheme="minorEastAsia" w:hAnsiTheme="minorEastAsia"/>
          <w:color w:val="auto"/>
          <w:sz w:val="32"/>
          <w:szCs w:val="32"/>
          <w:highlight w:val="none"/>
          <w:lang w:val="en-US" w:eastAsia="zh-CN"/>
        </w:rPr>
        <w:t>.00</w:t>
      </w:r>
      <w:r>
        <w:rPr>
          <w:rFonts w:hint="eastAsia" w:asciiTheme="minorEastAsia" w:hAnsiTheme="minorEastAsia" w:eastAsiaTheme="minorEastAsia"/>
          <w:color w:val="auto"/>
          <w:sz w:val="32"/>
          <w:szCs w:val="32"/>
          <w:highlight w:val="none"/>
          <w:lang w:val="en-US" w:eastAsia="zh-CN"/>
        </w:rPr>
        <w:t>万元，完成年初预算的0.00%。决算数小于年初预算数的主要原因是：</w:t>
      </w:r>
      <w:r>
        <w:rPr>
          <w:rFonts w:hint="eastAsia" w:asciiTheme="minorEastAsia" w:hAnsiTheme="minorEastAsia" w:eastAsiaTheme="minorEastAsia"/>
          <w:b w:val="0"/>
          <w:bCs/>
          <w:sz w:val="32"/>
          <w:szCs w:val="32"/>
        </w:rPr>
        <w:t>决</w:t>
      </w:r>
      <w:r>
        <w:rPr>
          <w:rFonts w:hint="eastAsia" w:asciiTheme="minorEastAsia" w:hAnsiTheme="minorEastAsia" w:eastAsiaTheme="minorEastAsia"/>
          <w:color w:val="auto"/>
          <w:sz w:val="32"/>
          <w:szCs w:val="32"/>
          <w:highlight w:val="none"/>
        </w:rPr>
        <w:t>算时将此项支出计入了其他宣传事务支出</w:t>
      </w:r>
      <w:r>
        <w:rPr>
          <w:rFonts w:hint="eastAsia" w:ascii="宋体" w:hAnsi="宋体" w:eastAsia="宋体" w:cs="宋体"/>
          <w:i w:val="0"/>
          <w:caps w:val="0"/>
          <w:color w:val="auto"/>
          <w:spacing w:val="0"/>
          <w:sz w:val="32"/>
          <w:szCs w:val="32"/>
          <w:highlight w:val="none"/>
          <w:shd w:val="clear" w:fill="FFFFFF"/>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left="0" w:right="0" w:firstLine="641"/>
        <w:jc w:val="both"/>
        <w:textAlignment w:val="center"/>
        <w:rPr>
          <w:rFonts w:hint="eastAsia" w:asciiTheme="minorEastAsia" w:hAnsiTheme="minorEastAsia" w:eastAsiaTheme="minorEastAsia"/>
          <w:color w:val="auto"/>
          <w:sz w:val="32"/>
          <w:szCs w:val="32"/>
          <w:highlight w:val="none"/>
          <w:lang w:val="en-US" w:eastAsia="zh-CN"/>
        </w:rPr>
      </w:pPr>
      <w:r>
        <w:rPr>
          <w:rFonts w:hint="eastAsia" w:asciiTheme="minorEastAsia" w:hAnsiTheme="minorEastAsia"/>
          <w:color w:val="auto"/>
          <w:sz w:val="32"/>
          <w:szCs w:val="32"/>
          <w:highlight w:val="none"/>
          <w:lang w:val="en-US" w:eastAsia="zh-CN"/>
        </w:rPr>
        <w:t>6</w:t>
      </w:r>
      <w:r>
        <w:rPr>
          <w:rFonts w:hint="eastAsia" w:asciiTheme="minorEastAsia" w:hAnsiTheme="minorEastAsia" w:eastAsiaTheme="minorEastAsia"/>
          <w:color w:val="auto"/>
          <w:sz w:val="32"/>
          <w:szCs w:val="32"/>
          <w:highlight w:val="none"/>
          <w:lang w:val="en-US" w:eastAsia="zh-CN"/>
        </w:rPr>
        <w:t>、社会保障和就业支出（类） 财政对其他社会保险基金的补助（款）财政对工伤保险基金的补助（项）</w:t>
      </w:r>
      <w:r>
        <w:rPr>
          <w:rFonts w:hint="default" w:asciiTheme="minorEastAsia" w:hAnsiTheme="minorEastAsia" w:eastAsiaTheme="minorEastAsia"/>
          <w:color w:val="auto"/>
          <w:sz w:val="32"/>
          <w:szCs w:val="32"/>
          <w:highlight w:val="none"/>
          <w:lang w:val="en-US" w:eastAsia="zh-CN"/>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right="0" w:firstLine="640" w:firstLineChars="200"/>
        <w:jc w:val="both"/>
        <w:textAlignment w:val="center"/>
        <w:rPr>
          <w:rFonts w:hint="eastAsia" w:asciiTheme="minorEastAsia" w:hAnsiTheme="minorEastAsia" w:eastAsiaTheme="minorEastAsia"/>
          <w:color w:val="auto"/>
          <w:sz w:val="32"/>
          <w:szCs w:val="32"/>
          <w:highlight w:val="none"/>
          <w:lang w:val="en-US" w:eastAsia="zh-CN"/>
        </w:rPr>
      </w:pPr>
      <w:r>
        <w:rPr>
          <w:rFonts w:hint="eastAsia" w:asciiTheme="minorEastAsia" w:hAnsiTheme="minorEastAsia" w:eastAsiaTheme="minorEastAsia"/>
          <w:color w:val="auto"/>
          <w:sz w:val="32"/>
          <w:szCs w:val="32"/>
          <w:highlight w:val="none"/>
          <w:lang w:val="en-US" w:eastAsia="zh-CN"/>
        </w:rPr>
        <w:t>年初预算为0.44万元，支出决算为0</w:t>
      </w:r>
      <w:r>
        <w:rPr>
          <w:rFonts w:hint="eastAsia" w:asciiTheme="minorEastAsia" w:hAnsiTheme="minorEastAsia"/>
          <w:color w:val="auto"/>
          <w:sz w:val="32"/>
          <w:szCs w:val="32"/>
          <w:highlight w:val="none"/>
          <w:lang w:val="en-US" w:eastAsia="zh-CN"/>
        </w:rPr>
        <w:t>.00</w:t>
      </w:r>
      <w:r>
        <w:rPr>
          <w:rFonts w:hint="eastAsia" w:asciiTheme="minorEastAsia" w:hAnsiTheme="minorEastAsia" w:eastAsiaTheme="minorEastAsia"/>
          <w:color w:val="auto"/>
          <w:sz w:val="32"/>
          <w:szCs w:val="32"/>
          <w:highlight w:val="none"/>
          <w:lang w:val="en-US" w:eastAsia="zh-CN"/>
        </w:rPr>
        <w:t>万元，完成年初预算的0.00%。决算数小于年初预算数的主要原因是：</w:t>
      </w:r>
      <w:r>
        <w:rPr>
          <w:rFonts w:hint="eastAsia" w:asciiTheme="minorEastAsia" w:hAnsiTheme="minorEastAsia" w:eastAsiaTheme="minorEastAsia"/>
          <w:b w:val="0"/>
          <w:bCs/>
          <w:sz w:val="32"/>
          <w:szCs w:val="32"/>
        </w:rPr>
        <w:t>决</w:t>
      </w:r>
      <w:r>
        <w:rPr>
          <w:rFonts w:hint="eastAsia" w:asciiTheme="minorEastAsia" w:hAnsiTheme="minorEastAsia" w:eastAsiaTheme="minorEastAsia"/>
          <w:color w:val="auto"/>
          <w:sz w:val="32"/>
          <w:szCs w:val="32"/>
          <w:highlight w:val="none"/>
        </w:rPr>
        <w:t>算时将此项支出计入了其他宣传事务支出</w:t>
      </w:r>
      <w:r>
        <w:rPr>
          <w:rFonts w:hint="eastAsia" w:asciiTheme="minorEastAsia" w:hAnsiTheme="minorEastAsia" w:eastAsiaTheme="minorEastAsia"/>
          <w:color w:val="auto"/>
          <w:sz w:val="32"/>
          <w:szCs w:val="32"/>
          <w:highlight w:val="none"/>
          <w:lang w:eastAsia="zh-CN"/>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right="0" w:firstLine="640" w:firstLineChars="200"/>
        <w:jc w:val="both"/>
        <w:textAlignment w:val="center"/>
        <w:rPr>
          <w:rFonts w:hint="eastAsia" w:asciiTheme="minorEastAsia" w:hAnsiTheme="minorEastAsia" w:eastAsiaTheme="minorEastAsia"/>
          <w:color w:val="auto"/>
          <w:sz w:val="32"/>
          <w:szCs w:val="32"/>
          <w:highlight w:val="none"/>
          <w:lang w:val="en-US" w:eastAsia="zh-CN"/>
        </w:rPr>
      </w:pPr>
      <w:r>
        <w:rPr>
          <w:rFonts w:hint="eastAsia" w:asciiTheme="minorEastAsia" w:hAnsiTheme="minorEastAsia"/>
          <w:color w:val="auto"/>
          <w:sz w:val="32"/>
          <w:szCs w:val="32"/>
          <w:highlight w:val="none"/>
          <w:lang w:val="en-US" w:eastAsia="zh-CN"/>
        </w:rPr>
        <w:t>7</w:t>
      </w:r>
      <w:r>
        <w:rPr>
          <w:rFonts w:hint="eastAsia" w:asciiTheme="minorEastAsia" w:hAnsiTheme="minorEastAsia" w:eastAsiaTheme="minorEastAsia"/>
          <w:color w:val="auto"/>
          <w:sz w:val="32"/>
          <w:szCs w:val="32"/>
          <w:highlight w:val="none"/>
          <w:lang w:val="en-US" w:eastAsia="zh-CN"/>
        </w:rPr>
        <w:t>、社会保障和就业支出（类） 残疾人事业（款）其他残疾人事业支出（项）</w:t>
      </w:r>
      <w:r>
        <w:rPr>
          <w:rFonts w:hint="default" w:asciiTheme="minorEastAsia" w:hAnsiTheme="minorEastAsia" w:eastAsiaTheme="minorEastAsia"/>
          <w:color w:val="auto"/>
          <w:sz w:val="32"/>
          <w:szCs w:val="32"/>
          <w:highlight w:val="none"/>
          <w:lang w:val="en-US" w:eastAsia="zh-CN"/>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right="0" w:firstLine="640" w:firstLineChars="200"/>
        <w:jc w:val="both"/>
        <w:textAlignment w:val="center"/>
        <w:rPr>
          <w:rFonts w:hint="eastAsia" w:asciiTheme="minorEastAsia" w:hAnsiTheme="minorEastAsia" w:eastAsiaTheme="minorEastAsia"/>
          <w:color w:val="auto"/>
          <w:sz w:val="32"/>
          <w:szCs w:val="32"/>
          <w:highlight w:val="none"/>
          <w:lang w:val="en-US" w:eastAsia="zh-CN"/>
        </w:rPr>
      </w:pPr>
      <w:r>
        <w:rPr>
          <w:rFonts w:hint="eastAsia" w:asciiTheme="minorEastAsia" w:hAnsiTheme="minorEastAsia" w:eastAsiaTheme="minorEastAsia"/>
          <w:color w:val="auto"/>
          <w:sz w:val="32"/>
          <w:szCs w:val="32"/>
          <w:highlight w:val="none"/>
          <w:lang w:val="en-US" w:eastAsia="zh-CN"/>
        </w:rPr>
        <w:t>年初预算为0.42万元，支出决算为0</w:t>
      </w:r>
      <w:r>
        <w:rPr>
          <w:rFonts w:hint="eastAsia" w:asciiTheme="minorEastAsia" w:hAnsiTheme="minorEastAsia"/>
          <w:color w:val="auto"/>
          <w:sz w:val="32"/>
          <w:szCs w:val="32"/>
          <w:highlight w:val="none"/>
          <w:lang w:val="en-US" w:eastAsia="zh-CN"/>
        </w:rPr>
        <w:t>.00</w:t>
      </w:r>
      <w:r>
        <w:rPr>
          <w:rFonts w:hint="eastAsia" w:asciiTheme="minorEastAsia" w:hAnsiTheme="minorEastAsia" w:eastAsiaTheme="minorEastAsia"/>
          <w:color w:val="auto"/>
          <w:sz w:val="32"/>
          <w:szCs w:val="32"/>
          <w:highlight w:val="none"/>
          <w:lang w:val="en-US" w:eastAsia="zh-CN"/>
        </w:rPr>
        <w:t>万元，完成年初预算的0.00%。决算数小于年初预算数的主要原因是：</w:t>
      </w:r>
      <w:r>
        <w:rPr>
          <w:rFonts w:hint="eastAsia" w:asciiTheme="minorEastAsia" w:hAnsiTheme="minorEastAsia" w:eastAsiaTheme="minorEastAsia"/>
          <w:b w:val="0"/>
          <w:bCs/>
          <w:sz w:val="32"/>
          <w:szCs w:val="32"/>
        </w:rPr>
        <w:t>决</w:t>
      </w:r>
      <w:r>
        <w:rPr>
          <w:rFonts w:hint="eastAsia" w:asciiTheme="minorEastAsia" w:hAnsiTheme="minorEastAsia" w:eastAsiaTheme="minorEastAsia"/>
          <w:color w:val="auto"/>
          <w:sz w:val="32"/>
          <w:szCs w:val="32"/>
          <w:highlight w:val="none"/>
        </w:rPr>
        <w:t>算时将此项支出计入了其他宣传事务支出</w:t>
      </w:r>
      <w:r>
        <w:rPr>
          <w:rFonts w:hint="eastAsia" w:asciiTheme="minorEastAsia" w:hAnsiTheme="minorEastAsia"/>
          <w:color w:val="auto"/>
          <w:sz w:val="32"/>
          <w:szCs w:val="32"/>
          <w:highlight w:val="none"/>
          <w:lang w:eastAsia="zh-CN"/>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right="0" w:firstLine="640" w:firstLineChars="200"/>
        <w:jc w:val="both"/>
        <w:textAlignment w:val="center"/>
        <w:rPr>
          <w:rFonts w:hint="eastAsia" w:asciiTheme="minorEastAsia" w:hAnsiTheme="minorEastAsia" w:eastAsiaTheme="minorEastAsia"/>
          <w:color w:val="auto"/>
          <w:sz w:val="32"/>
          <w:szCs w:val="32"/>
          <w:highlight w:val="none"/>
          <w:lang w:val="en-US" w:eastAsia="zh-CN"/>
        </w:rPr>
      </w:pPr>
      <w:r>
        <w:rPr>
          <w:rFonts w:hint="eastAsia" w:asciiTheme="minorEastAsia" w:hAnsiTheme="minorEastAsia"/>
          <w:color w:val="auto"/>
          <w:sz w:val="32"/>
          <w:szCs w:val="32"/>
          <w:highlight w:val="none"/>
          <w:lang w:val="en-US" w:eastAsia="zh-CN"/>
        </w:rPr>
        <w:t>8</w:t>
      </w:r>
      <w:r>
        <w:rPr>
          <w:rFonts w:hint="eastAsia" w:asciiTheme="minorEastAsia" w:hAnsiTheme="minorEastAsia" w:eastAsiaTheme="minorEastAsia"/>
          <w:color w:val="auto"/>
          <w:sz w:val="32"/>
          <w:szCs w:val="32"/>
          <w:highlight w:val="none"/>
          <w:lang w:val="en-US" w:eastAsia="zh-CN"/>
        </w:rPr>
        <w:t>、卫生健康支出（类）行政事业单位医疗（款）行政单位医疗（项）</w:t>
      </w:r>
      <w:r>
        <w:rPr>
          <w:rFonts w:hint="default" w:asciiTheme="minorEastAsia" w:hAnsiTheme="minorEastAsia" w:eastAsiaTheme="minorEastAsia"/>
          <w:color w:val="auto"/>
          <w:sz w:val="32"/>
          <w:szCs w:val="32"/>
          <w:highlight w:val="none"/>
          <w:lang w:val="en-US" w:eastAsia="zh-CN"/>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right="0" w:firstLine="640" w:firstLineChars="200"/>
        <w:jc w:val="both"/>
        <w:textAlignment w:val="center"/>
        <w:rPr>
          <w:rFonts w:hint="eastAsia" w:asciiTheme="minorEastAsia" w:hAnsiTheme="minorEastAsia" w:eastAsiaTheme="minorEastAsia"/>
          <w:color w:val="auto"/>
          <w:sz w:val="32"/>
          <w:szCs w:val="32"/>
          <w:highlight w:val="none"/>
          <w:lang w:val="en-US" w:eastAsia="zh-CN"/>
        </w:rPr>
      </w:pPr>
      <w:r>
        <w:rPr>
          <w:rFonts w:hint="eastAsia" w:asciiTheme="minorEastAsia" w:hAnsiTheme="minorEastAsia" w:eastAsiaTheme="minorEastAsia"/>
          <w:color w:val="auto"/>
          <w:sz w:val="32"/>
          <w:szCs w:val="32"/>
          <w:highlight w:val="none"/>
          <w:lang w:val="en-US" w:eastAsia="zh-CN"/>
        </w:rPr>
        <w:t>年初预算为3.27万元，支出决算为3.27万元，完成年初预算的100.00%。决算数与年初预算数一致，我单位严格按预算执行决算。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right="0" w:firstLine="640" w:firstLineChars="200"/>
        <w:jc w:val="both"/>
        <w:textAlignment w:val="center"/>
        <w:rPr>
          <w:rFonts w:hint="eastAsia" w:asciiTheme="minorEastAsia" w:hAnsiTheme="minorEastAsia" w:eastAsiaTheme="minorEastAsia"/>
          <w:color w:val="auto"/>
          <w:sz w:val="32"/>
          <w:szCs w:val="32"/>
          <w:highlight w:val="none"/>
          <w:lang w:val="en-US" w:eastAsia="zh-CN"/>
        </w:rPr>
      </w:pPr>
      <w:r>
        <w:rPr>
          <w:rFonts w:hint="eastAsia" w:asciiTheme="minorEastAsia" w:hAnsiTheme="minorEastAsia"/>
          <w:color w:val="auto"/>
          <w:sz w:val="32"/>
          <w:szCs w:val="32"/>
          <w:highlight w:val="none"/>
          <w:lang w:val="en-US" w:eastAsia="zh-CN"/>
        </w:rPr>
        <w:t>9</w:t>
      </w:r>
      <w:r>
        <w:rPr>
          <w:rFonts w:hint="eastAsia" w:asciiTheme="minorEastAsia" w:hAnsiTheme="minorEastAsia" w:eastAsiaTheme="minorEastAsia"/>
          <w:color w:val="auto"/>
          <w:sz w:val="32"/>
          <w:szCs w:val="32"/>
          <w:highlight w:val="none"/>
          <w:lang w:val="en-US" w:eastAsia="zh-CN"/>
        </w:rPr>
        <w:t>、卫生健康支出（类）行政事业单位医疗（款）公务员医疗补助（项）</w:t>
      </w:r>
      <w:r>
        <w:rPr>
          <w:rFonts w:hint="default" w:asciiTheme="minorEastAsia" w:hAnsiTheme="minorEastAsia" w:eastAsiaTheme="minorEastAsia"/>
          <w:color w:val="auto"/>
          <w:sz w:val="32"/>
          <w:szCs w:val="32"/>
          <w:highlight w:val="none"/>
          <w:lang w:val="en-US" w:eastAsia="zh-CN"/>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right="0" w:firstLine="640" w:firstLineChars="200"/>
        <w:jc w:val="both"/>
        <w:textAlignment w:val="center"/>
        <w:rPr>
          <w:rFonts w:hint="eastAsia" w:asciiTheme="minorEastAsia" w:hAnsiTheme="minorEastAsia" w:eastAsiaTheme="minorEastAsia"/>
          <w:color w:val="auto"/>
          <w:sz w:val="32"/>
          <w:szCs w:val="32"/>
          <w:highlight w:val="none"/>
          <w:lang w:val="en-US" w:eastAsia="zh-CN"/>
        </w:rPr>
      </w:pPr>
      <w:r>
        <w:rPr>
          <w:rFonts w:hint="eastAsia" w:asciiTheme="minorEastAsia" w:hAnsiTheme="minorEastAsia" w:eastAsiaTheme="minorEastAsia"/>
          <w:color w:val="auto"/>
          <w:sz w:val="32"/>
          <w:szCs w:val="32"/>
          <w:highlight w:val="none"/>
          <w:lang w:val="en-US" w:eastAsia="zh-CN"/>
        </w:rPr>
        <w:t>年初预算为1.74万元，支出决算为0</w:t>
      </w:r>
      <w:r>
        <w:rPr>
          <w:rFonts w:hint="eastAsia" w:asciiTheme="minorEastAsia" w:hAnsiTheme="minorEastAsia"/>
          <w:color w:val="auto"/>
          <w:sz w:val="32"/>
          <w:szCs w:val="32"/>
          <w:highlight w:val="none"/>
          <w:lang w:val="en-US" w:eastAsia="zh-CN"/>
        </w:rPr>
        <w:t>.00</w:t>
      </w:r>
      <w:r>
        <w:rPr>
          <w:rFonts w:hint="eastAsia" w:asciiTheme="minorEastAsia" w:hAnsiTheme="minorEastAsia" w:eastAsiaTheme="minorEastAsia"/>
          <w:color w:val="auto"/>
          <w:sz w:val="32"/>
          <w:szCs w:val="32"/>
          <w:highlight w:val="none"/>
          <w:lang w:val="en-US" w:eastAsia="zh-CN"/>
        </w:rPr>
        <w:t>万元，完成年初预算的0.00%。决算数小于年初预算数的主要原因是：</w:t>
      </w:r>
      <w:r>
        <w:rPr>
          <w:rFonts w:hint="eastAsia" w:asciiTheme="minorEastAsia" w:hAnsiTheme="minorEastAsia" w:eastAsiaTheme="minorEastAsia"/>
          <w:b w:val="0"/>
          <w:bCs/>
          <w:sz w:val="32"/>
          <w:szCs w:val="32"/>
        </w:rPr>
        <w:t>决</w:t>
      </w:r>
      <w:r>
        <w:rPr>
          <w:rFonts w:hint="eastAsia" w:asciiTheme="minorEastAsia" w:hAnsiTheme="minorEastAsia" w:eastAsiaTheme="minorEastAsia"/>
          <w:color w:val="auto"/>
          <w:sz w:val="32"/>
          <w:szCs w:val="32"/>
          <w:highlight w:val="none"/>
        </w:rPr>
        <w:t>算时将此项支出计入了其他宣传事务支出</w:t>
      </w:r>
      <w:r>
        <w:rPr>
          <w:rFonts w:hint="eastAsia" w:asciiTheme="minorEastAsia" w:hAnsiTheme="minorEastAsia" w:eastAsiaTheme="minorEastAsia"/>
          <w:color w:val="auto"/>
          <w:sz w:val="32"/>
          <w:szCs w:val="32"/>
          <w:highlight w:val="none"/>
          <w:lang w:val="en-US" w:eastAsia="zh-CN"/>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right="0" w:firstLine="640" w:firstLineChars="200"/>
        <w:jc w:val="both"/>
        <w:textAlignment w:val="center"/>
        <w:rPr>
          <w:rFonts w:hint="eastAsia" w:asciiTheme="minorEastAsia" w:hAnsiTheme="minorEastAsia" w:eastAsiaTheme="minorEastAsia"/>
          <w:color w:val="auto"/>
          <w:sz w:val="32"/>
          <w:szCs w:val="32"/>
          <w:highlight w:val="none"/>
          <w:lang w:val="en-US" w:eastAsia="zh-CN"/>
        </w:rPr>
      </w:pPr>
      <w:r>
        <w:rPr>
          <w:rFonts w:hint="eastAsia" w:asciiTheme="minorEastAsia" w:hAnsiTheme="minorEastAsia"/>
          <w:color w:val="auto"/>
          <w:sz w:val="32"/>
          <w:szCs w:val="32"/>
          <w:highlight w:val="none"/>
          <w:lang w:val="en-US" w:eastAsia="zh-CN"/>
        </w:rPr>
        <w:t>10</w:t>
      </w:r>
      <w:r>
        <w:rPr>
          <w:rFonts w:hint="eastAsia" w:asciiTheme="minorEastAsia" w:hAnsiTheme="minorEastAsia" w:eastAsiaTheme="minorEastAsia"/>
          <w:color w:val="auto"/>
          <w:sz w:val="32"/>
          <w:szCs w:val="32"/>
          <w:highlight w:val="none"/>
          <w:lang w:val="en-US" w:eastAsia="zh-CN"/>
        </w:rPr>
        <w:t>、住房保障支出（类）住房改革支出（款）住房公积金（项）</w:t>
      </w:r>
      <w:r>
        <w:rPr>
          <w:rFonts w:hint="default" w:asciiTheme="minorEastAsia" w:hAnsiTheme="minorEastAsia" w:eastAsiaTheme="minorEastAsia"/>
          <w:color w:val="auto"/>
          <w:sz w:val="32"/>
          <w:szCs w:val="32"/>
          <w:highlight w:val="none"/>
          <w:lang w:val="en-US" w:eastAsia="zh-CN"/>
        </w:rPr>
        <w:t> </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1" w:afterAutospacing="0"/>
        <w:ind w:right="0" w:firstLine="640" w:firstLineChars="200"/>
        <w:jc w:val="both"/>
        <w:textAlignment w:val="center"/>
        <w:rPr>
          <w:rFonts w:hint="eastAsia" w:asciiTheme="minorEastAsia" w:hAnsiTheme="minorEastAsia" w:eastAsiaTheme="minorEastAsia"/>
          <w:color w:val="auto"/>
          <w:sz w:val="32"/>
          <w:szCs w:val="32"/>
          <w:highlight w:val="none"/>
          <w:lang w:val="en-US" w:eastAsia="zh-CN"/>
        </w:rPr>
      </w:pPr>
      <w:r>
        <w:rPr>
          <w:rFonts w:hint="eastAsia" w:asciiTheme="minorEastAsia" w:hAnsiTheme="minorEastAsia" w:eastAsiaTheme="minorEastAsia"/>
          <w:color w:val="auto"/>
          <w:sz w:val="32"/>
          <w:szCs w:val="32"/>
          <w:highlight w:val="none"/>
          <w:lang w:val="en-US" w:eastAsia="zh-CN"/>
        </w:rPr>
        <w:t>年初预算为5.23万元，支出决算为5.23万元，完成年初预算的100.00%。决算数与年初预算数一致，我单位严格按预算执行决算</w:t>
      </w:r>
      <w:r>
        <w:rPr>
          <w:rFonts w:hint="eastAsia" w:asciiTheme="minorEastAsia" w:hAnsiTheme="minorEastAsia"/>
          <w:color w:val="auto"/>
          <w:sz w:val="32"/>
          <w:szCs w:val="32"/>
          <w:highlight w:val="none"/>
          <w:lang w:val="en-US" w:eastAsia="zh-CN"/>
        </w:rPr>
        <w:t>。</w:t>
      </w:r>
    </w:p>
    <w:p>
      <w:pPr>
        <w:pStyle w:val="10"/>
        <w:shd w:val="clear"/>
        <w:rPr>
          <w:rFonts w:hAnsi="黑体"/>
          <w:b/>
          <w:color w:val="auto"/>
          <w:sz w:val="32"/>
          <w:szCs w:val="32"/>
          <w:highlight w:val="none"/>
        </w:rPr>
      </w:pPr>
      <w:r>
        <w:rPr>
          <w:rFonts w:hint="eastAsia" w:hAnsi="黑体"/>
          <w:b/>
          <w:color w:val="auto"/>
          <w:sz w:val="32"/>
          <w:szCs w:val="32"/>
          <w:highlight w:val="none"/>
        </w:rPr>
        <w:t>六、一般公共预算财政拨款基本支出决算情况说明</w:t>
      </w:r>
    </w:p>
    <w:p>
      <w:pPr>
        <w:pStyle w:val="10"/>
        <w:shd w:val="clear"/>
        <w:ind w:firstLine="640" w:firstLineChars="200"/>
        <w:jc w:val="both"/>
        <w:rPr>
          <w:rFonts w:hint="eastAsia" w:asciiTheme="minorEastAsia" w:hAnsiTheme="minorEastAsia" w:eastAsiaTheme="minorEastAsia"/>
          <w:iCs/>
          <w:color w:val="auto"/>
          <w:sz w:val="32"/>
          <w:szCs w:val="32"/>
          <w:highlight w:val="none"/>
          <w:lang w:eastAsia="zh-CN"/>
        </w:rPr>
      </w:pPr>
      <w:r>
        <w:rPr>
          <w:rFonts w:hint="eastAsia" w:asciiTheme="minorEastAsia" w:hAnsiTheme="minorEastAsia" w:eastAsiaTheme="minorEastAsia"/>
          <w:color w:val="auto"/>
          <w:sz w:val="32"/>
          <w:szCs w:val="32"/>
          <w:highlight w:val="none"/>
        </w:rPr>
        <w:t>2021年度财政拨款基本支出</w:t>
      </w:r>
      <w:r>
        <w:rPr>
          <w:rFonts w:hint="eastAsia" w:ascii="宋体" w:hAnsi="宋体" w:eastAsia="宋体" w:cs="宋体"/>
          <w:i w:val="0"/>
          <w:caps w:val="0"/>
          <w:color w:val="auto"/>
          <w:spacing w:val="0"/>
          <w:sz w:val="32"/>
          <w:szCs w:val="32"/>
          <w:highlight w:val="none"/>
          <w:shd w:val="clear" w:fill="FFFFFF"/>
        </w:rPr>
        <w:t>231.48</w:t>
      </w:r>
      <w:r>
        <w:rPr>
          <w:rFonts w:hint="eastAsia" w:asciiTheme="minorEastAsia" w:hAnsiTheme="minorEastAsia" w:eastAsiaTheme="minorEastAsia"/>
          <w:color w:val="auto"/>
          <w:sz w:val="32"/>
          <w:szCs w:val="32"/>
          <w:highlight w:val="none"/>
        </w:rPr>
        <w:t>万元，其中：人员经费</w:t>
      </w:r>
      <w:r>
        <w:rPr>
          <w:rFonts w:hint="eastAsia" w:ascii="宋体" w:hAnsi="宋体" w:eastAsia="宋体" w:cs="宋体"/>
          <w:i w:val="0"/>
          <w:caps w:val="0"/>
          <w:color w:val="auto"/>
          <w:spacing w:val="0"/>
          <w:sz w:val="32"/>
          <w:szCs w:val="32"/>
          <w:highlight w:val="none"/>
          <w:shd w:val="clear" w:fill="FFFFFF"/>
        </w:rPr>
        <w:t>112.2</w:t>
      </w:r>
      <w:r>
        <w:rPr>
          <w:rFonts w:hint="eastAsia" w:ascii="宋体" w:hAnsi="宋体" w:eastAsia="宋体" w:cs="宋体"/>
          <w:i w:val="0"/>
          <w:caps w:val="0"/>
          <w:color w:val="auto"/>
          <w:spacing w:val="0"/>
          <w:sz w:val="32"/>
          <w:szCs w:val="32"/>
          <w:highlight w:val="none"/>
          <w:shd w:val="clear" w:fill="FFFFFF"/>
          <w:lang w:val="en-US" w:eastAsia="zh-CN"/>
        </w:rPr>
        <w:t>0</w:t>
      </w:r>
      <w:r>
        <w:rPr>
          <w:rFonts w:hint="eastAsia" w:asciiTheme="minorEastAsia" w:hAnsiTheme="minorEastAsia" w:eastAsiaTheme="minorEastAsia"/>
          <w:color w:val="auto"/>
          <w:sz w:val="32"/>
          <w:szCs w:val="32"/>
          <w:highlight w:val="none"/>
        </w:rPr>
        <w:t>万元，占基本支出的</w:t>
      </w:r>
      <w:r>
        <w:rPr>
          <w:rFonts w:hint="eastAsia" w:ascii="宋体" w:hAnsi="宋体" w:eastAsia="宋体" w:cs="宋体"/>
          <w:i w:val="0"/>
          <w:caps w:val="0"/>
          <w:color w:val="auto"/>
          <w:spacing w:val="0"/>
          <w:sz w:val="32"/>
          <w:szCs w:val="32"/>
          <w:highlight w:val="none"/>
          <w:shd w:val="clear" w:fill="FFFFFF"/>
        </w:rPr>
        <w:t>48.47</w:t>
      </w:r>
      <w:r>
        <w:rPr>
          <w:rFonts w:hint="eastAsia" w:asciiTheme="minorEastAsia" w:hAnsiTheme="minorEastAsia" w:eastAsiaTheme="minorEastAsia"/>
          <w:color w:val="auto"/>
          <w:sz w:val="32"/>
          <w:szCs w:val="32"/>
          <w:highlight w:val="none"/>
        </w:rPr>
        <w:t>%,主要包括基本工资、津贴补贴、</w:t>
      </w:r>
      <w:r>
        <w:rPr>
          <w:rFonts w:hint="eastAsia" w:asciiTheme="minorEastAsia" w:hAnsiTheme="minorEastAsia" w:eastAsiaTheme="minorEastAsia"/>
          <w:color w:val="auto"/>
          <w:sz w:val="32"/>
          <w:szCs w:val="32"/>
          <w:highlight w:val="none"/>
          <w:lang w:val="zh-CN"/>
        </w:rPr>
        <w:t>奖金、机关事业单位基本养老保险缴费、职工基本医疗保险缴费、其他社会保障缴费、住房公积金、其他工资福利支出、生活补助</w:t>
      </w:r>
      <w:r>
        <w:rPr>
          <w:rFonts w:hint="eastAsia" w:asciiTheme="minorEastAsia" w:hAnsiTheme="minorEastAsia" w:eastAsiaTheme="minorEastAsia"/>
          <w:color w:val="auto"/>
          <w:sz w:val="32"/>
          <w:szCs w:val="32"/>
          <w:highlight w:val="none"/>
        </w:rPr>
        <w:t>；公用经费</w:t>
      </w:r>
      <w:r>
        <w:rPr>
          <w:rFonts w:hint="eastAsia" w:ascii="宋体" w:hAnsi="宋体" w:eastAsia="宋体" w:cs="宋体"/>
          <w:i w:val="0"/>
          <w:caps w:val="0"/>
          <w:color w:val="auto"/>
          <w:spacing w:val="0"/>
          <w:sz w:val="32"/>
          <w:szCs w:val="32"/>
          <w:highlight w:val="none"/>
          <w:shd w:val="clear" w:fill="FFFFFF"/>
        </w:rPr>
        <w:t>119.28</w:t>
      </w:r>
      <w:r>
        <w:rPr>
          <w:rFonts w:hint="eastAsia" w:asciiTheme="minorEastAsia" w:hAnsiTheme="minorEastAsia" w:eastAsiaTheme="minorEastAsia"/>
          <w:color w:val="auto"/>
          <w:sz w:val="32"/>
          <w:szCs w:val="32"/>
          <w:highlight w:val="none"/>
        </w:rPr>
        <w:t>万元，占基本支出的</w:t>
      </w:r>
      <w:r>
        <w:rPr>
          <w:rFonts w:hint="eastAsia" w:ascii="宋体" w:hAnsi="宋体" w:eastAsia="宋体" w:cs="宋体"/>
          <w:i w:val="0"/>
          <w:caps w:val="0"/>
          <w:color w:val="auto"/>
          <w:spacing w:val="0"/>
          <w:sz w:val="32"/>
          <w:szCs w:val="32"/>
          <w:highlight w:val="none"/>
          <w:shd w:val="clear" w:fill="FFFFFF"/>
        </w:rPr>
        <w:t>51.53</w:t>
      </w:r>
      <w:r>
        <w:rPr>
          <w:rFonts w:hint="eastAsia" w:asciiTheme="minorEastAsia" w:hAnsiTheme="minorEastAsia" w:eastAsiaTheme="minorEastAsia"/>
          <w:color w:val="auto"/>
          <w:sz w:val="32"/>
          <w:szCs w:val="32"/>
          <w:highlight w:val="none"/>
        </w:rPr>
        <w:t>%，主要包括办公费、印刷费、邮电费、差旅费、维修（护）费、租赁费、会议费、培训费、公务接待费、劳务费、委托业务费、其他交通费用、其他商品和服务支出。</w:t>
      </w:r>
    </w:p>
    <w:p>
      <w:pPr>
        <w:pStyle w:val="10"/>
        <w:shd w:val="clear"/>
        <w:jc w:val="both"/>
        <w:rPr>
          <w:rFonts w:hAnsi="黑体"/>
          <w:b/>
          <w:color w:val="auto"/>
          <w:sz w:val="32"/>
          <w:szCs w:val="32"/>
          <w:highlight w:val="none"/>
        </w:rPr>
      </w:pPr>
      <w:r>
        <w:rPr>
          <w:rFonts w:hint="eastAsia" w:hAnsi="黑体"/>
          <w:b/>
          <w:color w:val="auto"/>
          <w:sz w:val="32"/>
          <w:szCs w:val="32"/>
          <w:highlight w:val="none"/>
        </w:rPr>
        <w:t>七、一般公共预算财政拨款“三公”经费支出决算情况说明</w:t>
      </w:r>
    </w:p>
    <w:p>
      <w:pPr>
        <w:pStyle w:val="10"/>
        <w:shd w:val="clear"/>
        <w:ind w:firstLine="640" w:firstLineChars="200"/>
        <w:rPr>
          <w:rFonts w:hint="eastAsia" w:asciiTheme="minorEastAsia" w:hAnsiTheme="minorEastAsia" w:eastAsiaTheme="minorEastAsia"/>
          <w:b/>
          <w:color w:val="auto"/>
          <w:sz w:val="32"/>
          <w:szCs w:val="32"/>
          <w:highlight w:val="none"/>
          <w:lang w:val="en-US" w:eastAsia="zh-CN"/>
        </w:rPr>
      </w:pPr>
      <w:r>
        <w:rPr>
          <w:rFonts w:hint="eastAsia" w:asciiTheme="minorEastAsia" w:hAnsiTheme="minorEastAsia" w:eastAsiaTheme="minorEastAsia"/>
          <w:b/>
          <w:color w:val="auto"/>
          <w:sz w:val="32"/>
          <w:szCs w:val="32"/>
          <w:highlight w:val="none"/>
        </w:rPr>
        <w:t>（一）“三公”经费财政拨款支出决算总体情况说明</w:t>
      </w:r>
    </w:p>
    <w:p>
      <w:pPr>
        <w:pStyle w:val="10"/>
        <w:shd w:val="clear"/>
        <w:ind w:firstLine="800" w:firstLineChars="250"/>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2021年度“三公”经费财政拨款支出预算为</w:t>
      </w:r>
      <w:r>
        <w:rPr>
          <w:rFonts w:hint="eastAsia" w:ascii="宋体" w:hAnsi="宋体" w:eastAsia="宋体" w:cs="宋体"/>
          <w:i w:val="0"/>
          <w:caps w:val="0"/>
          <w:color w:val="auto"/>
          <w:spacing w:val="0"/>
          <w:sz w:val="32"/>
          <w:szCs w:val="32"/>
          <w:highlight w:val="none"/>
          <w:shd w:val="clear" w:fill="FFFFFF"/>
          <w:lang w:val="en-US" w:eastAsia="zh-CN"/>
        </w:rPr>
        <w:t>4.00</w:t>
      </w:r>
      <w:r>
        <w:rPr>
          <w:rFonts w:hint="eastAsia" w:asciiTheme="minorEastAsia" w:hAnsiTheme="minorEastAsia" w:eastAsiaTheme="minorEastAsia"/>
          <w:color w:val="auto"/>
          <w:sz w:val="32"/>
          <w:szCs w:val="32"/>
          <w:highlight w:val="none"/>
        </w:rPr>
        <w:t>万元，支出决算为</w:t>
      </w:r>
      <w:r>
        <w:rPr>
          <w:rFonts w:hint="eastAsia" w:ascii="宋体" w:hAnsi="宋体" w:eastAsia="宋体" w:cs="宋体"/>
          <w:i w:val="0"/>
          <w:caps w:val="0"/>
          <w:color w:val="auto"/>
          <w:spacing w:val="0"/>
          <w:sz w:val="32"/>
          <w:szCs w:val="32"/>
          <w:highlight w:val="none"/>
          <w:shd w:val="clear" w:fill="FFFFFF"/>
        </w:rPr>
        <w:t>1.79</w:t>
      </w:r>
      <w:r>
        <w:rPr>
          <w:rFonts w:hint="eastAsia" w:asciiTheme="minorEastAsia" w:hAnsiTheme="minorEastAsia" w:eastAsiaTheme="minorEastAsia"/>
          <w:color w:val="auto"/>
          <w:sz w:val="32"/>
          <w:szCs w:val="32"/>
          <w:highlight w:val="none"/>
        </w:rPr>
        <w:t>万元，完成预算的</w:t>
      </w:r>
      <w:r>
        <w:rPr>
          <w:rFonts w:hint="eastAsia" w:asciiTheme="minorEastAsia" w:hAnsiTheme="minorEastAsia" w:eastAsiaTheme="minorEastAsia"/>
          <w:color w:val="auto"/>
          <w:sz w:val="32"/>
          <w:szCs w:val="32"/>
          <w:highlight w:val="none"/>
          <w:lang w:val="en-US" w:eastAsia="zh-CN"/>
        </w:rPr>
        <w:t>44.75</w:t>
      </w:r>
      <w:r>
        <w:rPr>
          <w:rFonts w:hint="eastAsia" w:asciiTheme="minorEastAsia" w:hAnsiTheme="minorEastAsia" w:eastAsiaTheme="minorEastAsia"/>
          <w:color w:val="auto"/>
          <w:sz w:val="32"/>
          <w:szCs w:val="32"/>
          <w:highlight w:val="none"/>
        </w:rPr>
        <w:t>%，其中：</w:t>
      </w:r>
    </w:p>
    <w:p>
      <w:pPr>
        <w:pStyle w:val="10"/>
        <w:shd w:val="clear"/>
        <w:ind w:firstLine="800" w:firstLineChars="250"/>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因公出国（境）费支出预算为</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万元，支出决算为</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w:t>
      </w:r>
      <w:r>
        <w:rPr>
          <w:rFonts w:hint="eastAsia" w:ascii="宋体" w:hAnsi="宋体" w:eastAsia="宋体" w:cs="宋体"/>
          <w:i w:val="0"/>
          <w:caps w:val="0"/>
          <w:color w:val="auto"/>
          <w:spacing w:val="0"/>
          <w:sz w:val="32"/>
          <w:szCs w:val="32"/>
          <w:highlight w:val="none"/>
          <w:shd w:val="clear" w:fill="FFFFFF"/>
        </w:rPr>
        <w:t>决算数与预算数一致，我单位严格按预算执行决算，因公出国（境）费支出与上年</w:t>
      </w:r>
      <w:r>
        <w:rPr>
          <w:rFonts w:hint="eastAsia" w:ascii="宋体" w:hAnsi="宋体" w:eastAsia="宋体" w:cs="宋体"/>
          <w:i w:val="0"/>
          <w:caps w:val="0"/>
          <w:color w:val="auto"/>
          <w:spacing w:val="0"/>
          <w:sz w:val="32"/>
          <w:szCs w:val="32"/>
          <w:highlight w:val="none"/>
          <w:shd w:val="clear" w:fill="FFFFFF"/>
          <w:lang w:val="en-US" w:eastAsia="zh-CN"/>
        </w:rPr>
        <w:t>数</w:t>
      </w:r>
      <w:r>
        <w:rPr>
          <w:rFonts w:hint="eastAsia" w:ascii="宋体" w:hAnsi="宋体" w:eastAsia="宋体" w:cs="宋体"/>
          <w:i w:val="0"/>
          <w:caps w:val="0"/>
          <w:color w:val="auto"/>
          <w:spacing w:val="0"/>
          <w:sz w:val="32"/>
          <w:szCs w:val="32"/>
          <w:highlight w:val="none"/>
          <w:shd w:val="clear" w:fill="FFFFFF"/>
        </w:rPr>
        <w:t>持平</w:t>
      </w:r>
      <w:r>
        <w:rPr>
          <w:rFonts w:hint="eastAsia" w:asciiTheme="minorEastAsia" w:hAnsiTheme="minorEastAsia" w:eastAsiaTheme="minorEastAsia"/>
          <w:color w:val="auto"/>
          <w:sz w:val="32"/>
          <w:szCs w:val="32"/>
          <w:highlight w:val="none"/>
        </w:rPr>
        <w:t>。</w:t>
      </w:r>
    </w:p>
    <w:p>
      <w:pPr>
        <w:pStyle w:val="10"/>
        <w:shd w:val="clear"/>
        <w:ind w:firstLine="800" w:firstLineChars="250"/>
        <w:rPr>
          <w:rFonts w:hint="eastAsia" w:asciiTheme="minorEastAsia" w:hAnsiTheme="minorEastAsia" w:eastAsiaTheme="minorEastAsia"/>
          <w:color w:val="auto"/>
          <w:sz w:val="32"/>
          <w:szCs w:val="32"/>
          <w:highlight w:val="none"/>
          <w:lang w:eastAsia="zh-CN"/>
        </w:rPr>
      </w:pPr>
      <w:r>
        <w:rPr>
          <w:rFonts w:hint="eastAsia" w:asciiTheme="minorEastAsia" w:hAnsiTheme="minorEastAsia" w:eastAsiaTheme="minorEastAsia"/>
          <w:color w:val="auto"/>
          <w:sz w:val="32"/>
          <w:szCs w:val="32"/>
          <w:highlight w:val="none"/>
        </w:rPr>
        <w:t>公务接待费支出预算为</w:t>
      </w:r>
      <w:r>
        <w:rPr>
          <w:rFonts w:hint="eastAsia" w:ascii="宋体" w:hAnsi="宋体" w:eastAsia="宋体" w:cs="宋体"/>
          <w:i w:val="0"/>
          <w:caps w:val="0"/>
          <w:color w:val="auto"/>
          <w:spacing w:val="0"/>
          <w:sz w:val="32"/>
          <w:szCs w:val="32"/>
          <w:highlight w:val="none"/>
          <w:shd w:val="clear" w:fill="FFFFFF"/>
          <w:lang w:val="en-US" w:eastAsia="zh-CN"/>
        </w:rPr>
        <w:t>4.00</w:t>
      </w:r>
      <w:r>
        <w:rPr>
          <w:rFonts w:hint="eastAsia" w:asciiTheme="minorEastAsia" w:hAnsiTheme="minorEastAsia" w:eastAsiaTheme="minorEastAsia"/>
          <w:color w:val="auto"/>
          <w:sz w:val="32"/>
          <w:szCs w:val="32"/>
          <w:highlight w:val="none"/>
        </w:rPr>
        <w:t>万元，支出决算为</w:t>
      </w:r>
      <w:r>
        <w:rPr>
          <w:rFonts w:hint="eastAsia" w:ascii="宋体" w:hAnsi="宋体" w:eastAsia="宋体" w:cs="宋体"/>
          <w:i w:val="0"/>
          <w:caps w:val="0"/>
          <w:color w:val="auto"/>
          <w:spacing w:val="0"/>
          <w:sz w:val="32"/>
          <w:szCs w:val="32"/>
          <w:highlight w:val="none"/>
          <w:shd w:val="clear" w:fill="FFFFFF"/>
        </w:rPr>
        <w:t>1.79</w:t>
      </w:r>
      <w:r>
        <w:rPr>
          <w:rFonts w:hint="eastAsia" w:asciiTheme="minorEastAsia" w:hAnsiTheme="minorEastAsia" w:eastAsiaTheme="minorEastAsia"/>
          <w:color w:val="auto"/>
          <w:sz w:val="32"/>
          <w:szCs w:val="32"/>
          <w:highlight w:val="none"/>
        </w:rPr>
        <w:t>万元，完成预算的</w:t>
      </w:r>
      <w:r>
        <w:rPr>
          <w:rFonts w:hint="eastAsia" w:asciiTheme="minorEastAsia" w:hAnsiTheme="minorEastAsia" w:eastAsiaTheme="minorEastAsia"/>
          <w:color w:val="auto"/>
          <w:sz w:val="32"/>
          <w:szCs w:val="32"/>
          <w:highlight w:val="none"/>
          <w:lang w:val="en-US" w:eastAsia="zh-CN"/>
        </w:rPr>
        <w:t>44.75</w:t>
      </w:r>
      <w:r>
        <w:rPr>
          <w:rFonts w:hint="eastAsia" w:asciiTheme="minorEastAsia" w:hAnsiTheme="minorEastAsia" w:eastAsiaTheme="minorEastAsia"/>
          <w:color w:val="auto"/>
          <w:sz w:val="32"/>
          <w:szCs w:val="32"/>
          <w:highlight w:val="none"/>
        </w:rPr>
        <w:t>%，</w:t>
      </w:r>
      <w:r>
        <w:rPr>
          <w:rFonts w:hint="eastAsia" w:ascii="宋体" w:hAnsi="宋体" w:eastAsia="宋体" w:cs="宋体"/>
          <w:i w:val="0"/>
          <w:caps w:val="0"/>
          <w:color w:val="auto"/>
          <w:spacing w:val="0"/>
          <w:sz w:val="32"/>
          <w:szCs w:val="32"/>
          <w:highlight w:val="none"/>
          <w:shd w:val="clear" w:fill="FFFFFF"/>
        </w:rPr>
        <w:t>决算数</w:t>
      </w:r>
      <w:r>
        <w:rPr>
          <w:rFonts w:hint="eastAsia" w:ascii="宋体" w:hAnsi="宋体" w:eastAsia="宋体" w:cs="宋体"/>
          <w:i w:val="0"/>
          <w:caps w:val="0"/>
          <w:color w:val="auto"/>
          <w:spacing w:val="0"/>
          <w:sz w:val="32"/>
          <w:szCs w:val="32"/>
          <w:highlight w:val="none"/>
          <w:shd w:val="clear" w:fill="FFFFFF"/>
          <w:lang w:val="en-US" w:eastAsia="zh-CN"/>
        </w:rPr>
        <w:t>小于</w:t>
      </w:r>
      <w:r>
        <w:rPr>
          <w:rFonts w:hint="eastAsia" w:ascii="宋体" w:hAnsi="宋体" w:eastAsia="宋体" w:cs="宋体"/>
          <w:i w:val="0"/>
          <w:caps w:val="0"/>
          <w:color w:val="auto"/>
          <w:spacing w:val="0"/>
          <w:sz w:val="32"/>
          <w:szCs w:val="32"/>
          <w:highlight w:val="none"/>
          <w:shd w:val="clear" w:fill="FFFFFF"/>
        </w:rPr>
        <w:t>预算数</w:t>
      </w:r>
      <w:r>
        <w:rPr>
          <w:rFonts w:hint="eastAsia" w:asciiTheme="minorEastAsia" w:hAnsiTheme="minorEastAsia" w:eastAsiaTheme="minorEastAsia"/>
          <w:color w:val="auto"/>
          <w:sz w:val="32"/>
          <w:szCs w:val="32"/>
          <w:highlight w:val="none"/>
        </w:rPr>
        <w:t>的主要原因是</w:t>
      </w:r>
      <w:r>
        <w:rPr>
          <w:rFonts w:hint="eastAsia" w:ascii="宋体" w:hAnsi="宋体" w:eastAsia="宋体" w:cs="宋体"/>
          <w:i w:val="0"/>
          <w:caps w:val="0"/>
          <w:color w:val="auto"/>
          <w:spacing w:val="0"/>
          <w:sz w:val="32"/>
          <w:szCs w:val="32"/>
          <w:highlight w:val="none"/>
          <w:shd w:val="clear" w:fill="FFFFFF"/>
          <w:lang w:eastAsia="zh-CN"/>
        </w:rPr>
        <w:t>单位厉行节约</w:t>
      </w:r>
      <w:r>
        <w:rPr>
          <w:rFonts w:hint="eastAsia" w:asciiTheme="minorEastAsia" w:hAnsiTheme="minorEastAsia" w:eastAsiaTheme="minorEastAsia"/>
          <w:color w:val="auto"/>
          <w:sz w:val="32"/>
          <w:szCs w:val="32"/>
          <w:highlight w:val="none"/>
        </w:rPr>
        <w:t>，与上年相比减少</w:t>
      </w:r>
      <w:r>
        <w:rPr>
          <w:rFonts w:hint="eastAsia" w:ascii="宋体" w:hAnsi="宋体" w:eastAsia="宋体" w:cs="宋体"/>
          <w:i w:val="0"/>
          <w:caps w:val="0"/>
          <w:color w:val="auto"/>
          <w:spacing w:val="0"/>
          <w:sz w:val="32"/>
          <w:szCs w:val="32"/>
          <w:highlight w:val="none"/>
          <w:shd w:val="clear" w:fill="FFFFFF"/>
        </w:rPr>
        <w:t>4.0</w:t>
      </w:r>
      <w:r>
        <w:rPr>
          <w:rFonts w:hint="eastAsia" w:ascii="宋体" w:hAnsi="宋体" w:eastAsia="宋体" w:cs="宋体"/>
          <w:i w:val="0"/>
          <w:caps w:val="0"/>
          <w:color w:val="auto"/>
          <w:spacing w:val="0"/>
          <w:sz w:val="32"/>
          <w:szCs w:val="32"/>
          <w:highlight w:val="none"/>
          <w:shd w:val="clear" w:fill="FFFFFF"/>
          <w:lang w:val="en-US" w:eastAsia="zh-CN"/>
        </w:rPr>
        <w:t>6</w:t>
      </w:r>
      <w:r>
        <w:rPr>
          <w:rFonts w:hint="eastAsia" w:asciiTheme="minorEastAsia" w:hAnsiTheme="minorEastAsia" w:eastAsiaTheme="minorEastAsia"/>
          <w:color w:val="auto"/>
          <w:sz w:val="32"/>
          <w:szCs w:val="32"/>
          <w:highlight w:val="none"/>
        </w:rPr>
        <w:t>万元，减少</w:t>
      </w:r>
      <w:r>
        <w:rPr>
          <w:rFonts w:hint="eastAsia" w:ascii="宋体" w:hAnsi="宋体" w:eastAsia="宋体" w:cs="宋体"/>
          <w:i w:val="0"/>
          <w:caps w:val="0"/>
          <w:color w:val="auto"/>
          <w:spacing w:val="0"/>
          <w:sz w:val="32"/>
          <w:szCs w:val="32"/>
          <w:highlight w:val="none"/>
          <w:shd w:val="clear" w:fill="FFFFFF"/>
        </w:rPr>
        <w:t>69.</w:t>
      </w:r>
      <w:r>
        <w:rPr>
          <w:rFonts w:hint="eastAsia" w:ascii="宋体" w:hAnsi="宋体" w:eastAsia="宋体" w:cs="宋体"/>
          <w:i w:val="0"/>
          <w:caps w:val="0"/>
          <w:color w:val="auto"/>
          <w:spacing w:val="0"/>
          <w:sz w:val="32"/>
          <w:szCs w:val="32"/>
          <w:highlight w:val="none"/>
          <w:shd w:val="clear" w:fill="FFFFFF"/>
          <w:lang w:val="en-US" w:eastAsia="zh-CN"/>
        </w:rPr>
        <w:t>40</w:t>
      </w:r>
      <w:r>
        <w:rPr>
          <w:rFonts w:hint="eastAsia" w:asciiTheme="minorEastAsia" w:hAnsiTheme="minorEastAsia" w:eastAsiaTheme="minorEastAsia"/>
          <w:color w:val="auto"/>
          <w:sz w:val="32"/>
          <w:szCs w:val="32"/>
          <w:highlight w:val="none"/>
        </w:rPr>
        <w:t>%,减少的主要原因是</w:t>
      </w:r>
      <w:r>
        <w:rPr>
          <w:rFonts w:hint="eastAsia" w:asciiTheme="minorEastAsia" w:hAnsiTheme="minorEastAsia" w:eastAsiaTheme="minorEastAsia"/>
          <w:color w:val="auto"/>
          <w:sz w:val="32"/>
          <w:szCs w:val="32"/>
          <w:highlight w:val="none"/>
          <w:lang w:eastAsia="zh-CN"/>
        </w:rPr>
        <w:t>单位厉行节约</w:t>
      </w:r>
      <w:r>
        <w:rPr>
          <w:rFonts w:hint="eastAsia" w:asciiTheme="minorEastAsia" w:hAnsiTheme="minorEastAsia" w:eastAsiaTheme="minorEastAsia"/>
          <w:color w:val="auto"/>
          <w:sz w:val="32"/>
          <w:szCs w:val="32"/>
          <w:highlight w:val="none"/>
        </w:rPr>
        <w:t>。</w:t>
      </w:r>
    </w:p>
    <w:p>
      <w:pPr>
        <w:pStyle w:val="10"/>
        <w:shd w:val="clear"/>
        <w:ind w:firstLine="640" w:firstLineChars="200"/>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公务用车购置费支出预算为</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万元，支出决算为</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w:t>
      </w:r>
      <w:r>
        <w:rPr>
          <w:rFonts w:hint="eastAsia" w:ascii="宋体" w:hAnsi="宋体" w:eastAsia="宋体" w:cs="宋体"/>
          <w:i w:val="0"/>
          <w:caps w:val="0"/>
          <w:color w:val="auto"/>
          <w:spacing w:val="0"/>
          <w:sz w:val="32"/>
          <w:szCs w:val="32"/>
          <w:highlight w:val="none"/>
          <w:shd w:val="clear" w:fill="FFFFFF"/>
        </w:rPr>
        <w:t>决算数与预算数一致，我单位严格按预算执行决算，公务用车购置费支出与上年</w:t>
      </w:r>
      <w:r>
        <w:rPr>
          <w:rFonts w:hint="eastAsia" w:ascii="宋体" w:hAnsi="宋体" w:eastAsia="宋体" w:cs="宋体"/>
          <w:i w:val="0"/>
          <w:caps w:val="0"/>
          <w:color w:val="auto"/>
          <w:spacing w:val="0"/>
          <w:sz w:val="32"/>
          <w:szCs w:val="32"/>
          <w:highlight w:val="none"/>
          <w:shd w:val="clear" w:fill="FFFFFF"/>
          <w:lang w:val="en-US" w:eastAsia="zh-CN"/>
        </w:rPr>
        <w:t>数</w:t>
      </w:r>
      <w:r>
        <w:rPr>
          <w:rFonts w:hint="eastAsia" w:ascii="宋体" w:hAnsi="宋体" w:eastAsia="宋体" w:cs="宋体"/>
          <w:i w:val="0"/>
          <w:caps w:val="0"/>
          <w:color w:val="auto"/>
          <w:spacing w:val="0"/>
          <w:sz w:val="32"/>
          <w:szCs w:val="32"/>
          <w:highlight w:val="none"/>
          <w:shd w:val="clear" w:fill="FFFFFF"/>
        </w:rPr>
        <w:t>持平</w:t>
      </w:r>
      <w:r>
        <w:rPr>
          <w:rFonts w:hint="eastAsia" w:asciiTheme="minorEastAsia" w:hAnsiTheme="minorEastAsia" w:eastAsiaTheme="minorEastAsia"/>
          <w:color w:val="auto"/>
          <w:sz w:val="32"/>
          <w:szCs w:val="32"/>
          <w:highlight w:val="none"/>
        </w:rPr>
        <w:t>。</w:t>
      </w:r>
    </w:p>
    <w:p>
      <w:pPr>
        <w:pStyle w:val="10"/>
        <w:shd w:val="clear"/>
        <w:ind w:firstLine="640" w:firstLineChars="200"/>
        <w:rPr>
          <w:rFonts w:hint="eastAsia" w:asciiTheme="minorEastAsia" w:hAnsiTheme="minorEastAsia" w:eastAsiaTheme="minorEastAsia"/>
          <w:color w:val="auto"/>
          <w:sz w:val="32"/>
          <w:szCs w:val="32"/>
          <w:highlight w:val="none"/>
          <w:lang w:eastAsia="zh-CN"/>
        </w:rPr>
      </w:pPr>
      <w:r>
        <w:rPr>
          <w:rFonts w:hint="eastAsia" w:asciiTheme="minorEastAsia" w:hAnsiTheme="minorEastAsia" w:eastAsiaTheme="minorEastAsia"/>
          <w:color w:val="auto"/>
          <w:sz w:val="32"/>
          <w:szCs w:val="32"/>
          <w:highlight w:val="none"/>
        </w:rPr>
        <w:t>公务用车运行维护费支出预算为</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万元，支出决算为</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w:t>
      </w:r>
      <w:r>
        <w:rPr>
          <w:rFonts w:hint="eastAsia" w:ascii="宋体" w:hAnsi="宋体" w:eastAsia="宋体" w:cs="宋体"/>
          <w:i w:val="0"/>
          <w:caps w:val="0"/>
          <w:color w:val="auto"/>
          <w:spacing w:val="0"/>
          <w:sz w:val="32"/>
          <w:szCs w:val="32"/>
          <w:highlight w:val="none"/>
          <w:shd w:val="clear" w:fill="FFFFFF"/>
        </w:rPr>
        <w:t>决算数与预算数一致，我单位严格按预算执行决算，公务用车运行维护费支出与上年</w:t>
      </w:r>
      <w:r>
        <w:rPr>
          <w:rFonts w:hint="eastAsia" w:ascii="宋体" w:hAnsi="宋体" w:eastAsia="宋体" w:cs="宋体"/>
          <w:i w:val="0"/>
          <w:caps w:val="0"/>
          <w:color w:val="auto"/>
          <w:spacing w:val="0"/>
          <w:sz w:val="32"/>
          <w:szCs w:val="32"/>
          <w:highlight w:val="none"/>
          <w:shd w:val="clear" w:fill="FFFFFF"/>
          <w:lang w:val="en-US" w:eastAsia="zh-CN"/>
        </w:rPr>
        <w:t>数</w:t>
      </w:r>
      <w:r>
        <w:rPr>
          <w:rFonts w:hint="eastAsia" w:ascii="宋体" w:hAnsi="宋体" w:eastAsia="宋体" w:cs="宋体"/>
          <w:i w:val="0"/>
          <w:caps w:val="0"/>
          <w:color w:val="auto"/>
          <w:spacing w:val="0"/>
          <w:sz w:val="32"/>
          <w:szCs w:val="32"/>
          <w:highlight w:val="none"/>
          <w:shd w:val="clear" w:fill="FFFFFF"/>
        </w:rPr>
        <w:t>持平</w:t>
      </w:r>
      <w:r>
        <w:rPr>
          <w:rFonts w:hint="eastAsia" w:asciiTheme="minorEastAsia" w:hAnsiTheme="minorEastAsia" w:eastAsiaTheme="minorEastAsia"/>
          <w:color w:val="auto"/>
          <w:sz w:val="32"/>
          <w:szCs w:val="32"/>
          <w:highlight w:val="none"/>
        </w:rPr>
        <w:t>。</w:t>
      </w:r>
    </w:p>
    <w:p>
      <w:pPr>
        <w:pStyle w:val="10"/>
        <w:shd w:val="clear"/>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（二）“三公”经费财政拨款支出决算具体情况说明</w:t>
      </w:r>
    </w:p>
    <w:p>
      <w:pPr>
        <w:pStyle w:val="10"/>
        <w:shd w:val="clear"/>
        <w:ind w:firstLine="640" w:firstLineChars="200"/>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2021年度“三公”经费财政拨款支出决算中，公务接待费支出决算</w:t>
      </w:r>
      <w:r>
        <w:rPr>
          <w:rFonts w:hint="eastAsia" w:ascii="宋体" w:hAnsi="宋体" w:eastAsia="宋体" w:cs="宋体"/>
          <w:i w:val="0"/>
          <w:caps w:val="0"/>
          <w:color w:val="auto"/>
          <w:spacing w:val="0"/>
          <w:sz w:val="32"/>
          <w:szCs w:val="32"/>
          <w:highlight w:val="none"/>
          <w:shd w:val="clear" w:fill="FFFFFF"/>
        </w:rPr>
        <w:t>1.79</w:t>
      </w:r>
      <w:r>
        <w:rPr>
          <w:rFonts w:hint="eastAsia" w:asciiTheme="minorEastAsia" w:hAnsiTheme="minorEastAsia" w:eastAsiaTheme="minorEastAsia"/>
          <w:color w:val="auto"/>
          <w:sz w:val="32"/>
          <w:szCs w:val="32"/>
          <w:highlight w:val="none"/>
        </w:rPr>
        <w:t>万元，占</w:t>
      </w:r>
      <w:r>
        <w:rPr>
          <w:rFonts w:hint="eastAsia" w:asciiTheme="minorEastAsia" w:hAnsiTheme="minorEastAsia" w:eastAsiaTheme="minorEastAsia"/>
          <w:color w:val="auto"/>
          <w:sz w:val="32"/>
          <w:szCs w:val="32"/>
          <w:highlight w:val="none"/>
          <w:lang w:val="en-US" w:eastAsia="zh-CN"/>
        </w:rPr>
        <w:t>100.00</w:t>
      </w:r>
      <w:r>
        <w:rPr>
          <w:rFonts w:hint="eastAsia" w:asciiTheme="minorEastAsia" w:hAnsiTheme="minorEastAsia" w:eastAsiaTheme="minorEastAsia"/>
          <w:color w:val="auto"/>
          <w:sz w:val="32"/>
          <w:szCs w:val="32"/>
          <w:highlight w:val="none"/>
        </w:rPr>
        <w:t>%,因公出国（境）费支出决算</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万元，占</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%,公务用车购置费及运行维护费支出决算</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万元，占</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%。其中：</w:t>
      </w:r>
    </w:p>
    <w:p>
      <w:pPr>
        <w:pStyle w:val="10"/>
        <w:shd w:val="clear"/>
        <w:ind w:firstLine="640" w:firstLineChars="200"/>
        <w:rPr>
          <w:rFonts w:hint="eastAsia" w:eastAsia="宋体" w:asciiTheme="minorEastAsia" w:hAnsiTheme="minorEastAsia"/>
          <w:b/>
          <w:iCs/>
          <w:color w:val="auto"/>
          <w:sz w:val="32"/>
          <w:szCs w:val="32"/>
          <w:highlight w:val="none"/>
          <w:lang w:eastAsia="zh-CN"/>
        </w:rPr>
      </w:pPr>
      <w:r>
        <w:rPr>
          <w:rFonts w:hint="eastAsia" w:asciiTheme="minorEastAsia" w:hAnsiTheme="minorEastAsia" w:eastAsiaTheme="minorEastAsia"/>
          <w:color w:val="auto"/>
          <w:sz w:val="32"/>
          <w:szCs w:val="32"/>
          <w:highlight w:val="none"/>
        </w:rPr>
        <w:t>1、因公出国（境）费支出决算为</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万元，全年安排因公出国（境）团组</w:t>
      </w:r>
      <w:r>
        <w:rPr>
          <w:rFonts w:hint="eastAsia" w:asciiTheme="minorEastAsia" w:hAnsiTheme="minorEastAsia" w:eastAsiaTheme="minorEastAsia"/>
          <w:color w:val="auto"/>
          <w:sz w:val="32"/>
          <w:szCs w:val="32"/>
          <w:highlight w:val="none"/>
          <w:lang w:val="en-US" w:eastAsia="zh-CN"/>
        </w:rPr>
        <w:t>0</w:t>
      </w:r>
      <w:r>
        <w:rPr>
          <w:rFonts w:hint="eastAsia" w:asciiTheme="minorEastAsia" w:hAnsiTheme="minorEastAsia" w:eastAsiaTheme="minorEastAsia"/>
          <w:color w:val="auto"/>
          <w:sz w:val="32"/>
          <w:szCs w:val="32"/>
          <w:highlight w:val="none"/>
        </w:rPr>
        <w:t>个，累计</w:t>
      </w:r>
      <w:r>
        <w:rPr>
          <w:rFonts w:hint="eastAsia" w:asciiTheme="minorEastAsia" w:hAnsiTheme="minorEastAsia" w:eastAsiaTheme="minorEastAsia"/>
          <w:color w:val="auto"/>
          <w:sz w:val="32"/>
          <w:szCs w:val="32"/>
          <w:highlight w:val="none"/>
          <w:lang w:val="en-US" w:eastAsia="zh-CN"/>
        </w:rPr>
        <w:t>0</w:t>
      </w:r>
      <w:r>
        <w:rPr>
          <w:rFonts w:hint="eastAsia" w:asciiTheme="minorEastAsia" w:hAnsiTheme="minorEastAsia" w:eastAsiaTheme="minorEastAsia"/>
          <w:color w:val="auto"/>
          <w:sz w:val="32"/>
          <w:szCs w:val="32"/>
          <w:highlight w:val="none"/>
        </w:rPr>
        <w:t>人次</w:t>
      </w:r>
      <w:r>
        <w:rPr>
          <w:rFonts w:hint="eastAsia" w:ascii="宋体" w:hAnsi="宋体" w:eastAsia="宋体" w:cs="宋体"/>
          <w:i w:val="0"/>
          <w:caps w:val="0"/>
          <w:color w:val="auto"/>
          <w:spacing w:val="0"/>
          <w:sz w:val="32"/>
          <w:szCs w:val="32"/>
          <w:highlight w:val="none"/>
          <w:shd w:val="clear" w:fill="FFFFFF"/>
          <w:lang w:eastAsia="zh-CN"/>
        </w:rPr>
        <w:t>。</w:t>
      </w:r>
    </w:p>
    <w:p>
      <w:pPr>
        <w:pStyle w:val="10"/>
        <w:shd w:val="clear"/>
        <w:ind w:firstLine="800" w:firstLineChars="250"/>
        <w:rPr>
          <w:rFonts w:asciiTheme="minorEastAsia" w:hAnsiTheme="minorEastAsia" w:eastAsiaTheme="minorEastAsia"/>
          <w:iCs/>
          <w:color w:val="auto"/>
          <w:sz w:val="32"/>
          <w:szCs w:val="32"/>
          <w:highlight w:val="none"/>
        </w:rPr>
      </w:pPr>
      <w:r>
        <w:rPr>
          <w:rFonts w:hint="eastAsia" w:asciiTheme="minorEastAsia" w:hAnsiTheme="minorEastAsia" w:eastAsiaTheme="minorEastAsia"/>
          <w:iCs/>
          <w:color w:val="auto"/>
          <w:sz w:val="32"/>
          <w:szCs w:val="32"/>
          <w:highlight w:val="none"/>
        </w:rPr>
        <w:t>2、公务接待费支出决算为</w:t>
      </w:r>
      <w:r>
        <w:rPr>
          <w:rFonts w:hint="eastAsia" w:asciiTheme="minorEastAsia" w:hAnsiTheme="minorEastAsia" w:eastAsiaTheme="minorEastAsia"/>
          <w:iCs/>
          <w:color w:val="auto"/>
          <w:sz w:val="32"/>
          <w:szCs w:val="32"/>
          <w:highlight w:val="none"/>
          <w:lang w:val="en-US" w:eastAsia="zh-CN"/>
        </w:rPr>
        <w:t>1.79</w:t>
      </w:r>
      <w:r>
        <w:rPr>
          <w:rFonts w:hint="eastAsia" w:asciiTheme="minorEastAsia" w:hAnsiTheme="minorEastAsia" w:eastAsiaTheme="minorEastAsia"/>
          <w:iCs/>
          <w:color w:val="auto"/>
          <w:sz w:val="32"/>
          <w:szCs w:val="32"/>
          <w:highlight w:val="none"/>
        </w:rPr>
        <w:t>万元，全年共接待来访团组</w:t>
      </w:r>
      <w:r>
        <w:rPr>
          <w:rFonts w:hint="eastAsia" w:ascii="宋体" w:hAnsi="宋体" w:eastAsia="宋体" w:cs="宋体"/>
          <w:i w:val="0"/>
          <w:caps w:val="0"/>
          <w:color w:val="auto"/>
          <w:spacing w:val="0"/>
          <w:sz w:val="32"/>
          <w:szCs w:val="32"/>
          <w:highlight w:val="none"/>
          <w:shd w:val="clear" w:fill="FFFFFF"/>
        </w:rPr>
        <w:t>19</w:t>
      </w:r>
      <w:r>
        <w:rPr>
          <w:rFonts w:hint="eastAsia" w:asciiTheme="minorEastAsia" w:hAnsiTheme="minorEastAsia" w:eastAsiaTheme="minorEastAsia"/>
          <w:iCs/>
          <w:color w:val="auto"/>
          <w:sz w:val="32"/>
          <w:szCs w:val="32"/>
          <w:highlight w:val="none"/>
        </w:rPr>
        <w:t>个、来宾</w:t>
      </w:r>
      <w:r>
        <w:rPr>
          <w:rFonts w:hint="eastAsia" w:ascii="宋体" w:hAnsi="宋体" w:eastAsia="宋体" w:cs="宋体"/>
          <w:i w:val="0"/>
          <w:caps w:val="0"/>
          <w:color w:val="auto"/>
          <w:spacing w:val="0"/>
          <w:sz w:val="32"/>
          <w:szCs w:val="32"/>
          <w:highlight w:val="none"/>
          <w:shd w:val="clear" w:fill="FFFFFF"/>
        </w:rPr>
        <w:t>184</w:t>
      </w:r>
      <w:r>
        <w:rPr>
          <w:rFonts w:hint="eastAsia" w:asciiTheme="minorEastAsia" w:hAnsiTheme="minorEastAsia" w:eastAsiaTheme="minorEastAsia"/>
          <w:iCs/>
          <w:color w:val="auto"/>
          <w:sz w:val="32"/>
          <w:szCs w:val="32"/>
          <w:highlight w:val="none"/>
        </w:rPr>
        <w:t>人次，主要是</w:t>
      </w:r>
      <w:r>
        <w:rPr>
          <w:rFonts w:hint="eastAsia" w:ascii="宋体" w:hAnsi="宋体" w:eastAsia="宋体" w:cs="宋体"/>
          <w:i w:val="0"/>
          <w:caps w:val="0"/>
          <w:color w:val="auto"/>
          <w:spacing w:val="0"/>
          <w:sz w:val="32"/>
          <w:szCs w:val="32"/>
          <w:highlight w:val="none"/>
          <w:shd w:val="clear" w:fill="FFFFFF"/>
        </w:rPr>
        <w:t>外地统战部门考察、上级统战部门检查发生的接待支出</w:t>
      </w:r>
      <w:r>
        <w:rPr>
          <w:rFonts w:hint="eastAsia" w:asciiTheme="minorEastAsia" w:hAnsiTheme="minorEastAsia" w:eastAsiaTheme="minorEastAsia"/>
          <w:iCs/>
          <w:color w:val="auto"/>
          <w:sz w:val="32"/>
          <w:szCs w:val="32"/>
          <w:highlight w:val="none"/>
        </w:rPr>
        <w:t>。</w:t>
      </w:r>
    </w:p>
    <w:p>
      <w:pPr>
        <w:shd w:val="clear"/>
        <w:ind w:firstLine="800" w:firstLineChars="250"/>
        <w:rPr>
          <w:rFonts w:asciiTheme="minorEastAsia" w:hAnsiTheme="minorEastAsia"/>
          <w:iCs/>
          <w:color w:val="auto"/>
          <w:sz w:val="32"/>
          <w:szCs w:val="32"/>
          <w:highlight w:val="none"/>
        </w:rPr>
      </w:pPr>
      <w:r>
        <w:rPr>
          <w:rFonts w:hint="eastAsia" w:asciiTheme="minorEastAsia" w:hAnsiTheme="minorEastAsia"/>
          <w:iCs/>
          <w:color w:val="auto"/>
          <w:sz w:val="32"/>
          <w:szCs w:val="32"/>
          <w:highlight w:val="none"/>
        </w:rPr>
        <w:t>3、公务用车购置费及运行维护费支出决算为</w:t>
      </w:r>
      <w:r>
        <w:rPr>
          <w:rFonts w:hint="eastAsia" w:asciiTheme="minorEastAsia" w:hAnsiTheme="minorEastAsia"/>
          <w:iCs/>
          <w:color w:val="auto"/>
          <w:sz w:val="32"/>
          <w:szCs w:val="32"/>
          <w:highlight w:val="none"/>
          <w:lang w:val="en-US" w:eastAsia="zh-CN"/>
        </w:rPr>
        <w:t>0.00</w:t>
      </w:r>
      <w:r>
        <w:rPr>
          <w:rFonts w:hint="eastAsia" w:asciiTheme="minorEastAsia" w:hAnsiTheme="minorEastAsia"/>
          <w:iCs/>
          <w:color w:val="auto"/>
          <w:sz w:val="32"/>
          <w:szCs w:val="32"/>
          <w:highlight w:val="none"/>
        </w:rPr>
        <w:t>万元，其中：公务用车购置费</w:t>
      </w:r>
      <w:r>
        <w:rPr>
          <w:rFonts w:hint="eastAsia" w:asciiTheme="minorEastAsia" w:hAnsiTheme="minorEastAsia"/>
          <w:iCs/>
          <w:color w:val="auto"/>
          <w:sz w:val="32"/>
          <w:szCs w:val="32"/>
          <w:highlight w:val="none"/>
          <w:lang w:val="en-US" w:eastAsia="zh-CN"/>
        </w:rPr>
        <w:t>0.00</w:t>
      </w:r>
      <w:r>
        <w:rPr>
          <w:rFonts w:hint="eastAsia" w:asciiTheme="minorEastAsia" w:hAnsiTheme="minorEastAsia"/>
          <w:iCs/>
          <w:color w:val="auto"/>
          <w:sz w:val="32"/>
          <w:szCs w:val="32"/>
          <w:highlight w:val="none"/>
        </w:rPr>
        <w:t>万元，中国共产党岳阳市岳阳楼区委员会统一战线工作部更新公务用车</w:t>
      </w:r>
      <w:r>
        <w:rPr>
          <w:rFonts w:hint="eastAsia" w:asciiTheme="minorEastAsia" w:hAnsiTheme="minorEastAsia"/>
          <w:iCs/>
          <w:color w:val="auto"/>
          <w:sz w:val="32"/>
          <w:szCs w:val="32"/>
          <w:highlight w:val="none"/>
          <w:lang w:val="en-US" w:eastAsia="zh-CN"/>
        </w:rPr>
        <w:t>0</w:t>
      </w:r>
      <w:r>
        <w:rPr>
          <w:rFonts w:hint="eastAsia" w:asciiTheme="minorEastAsia" w:hAnsiTheme="minorEastAsia"/>
          <w:iCs/>
          <w:color w:val="auto"/>
          <w:sz w:val="32"/>
          <w:szCs w:val="32"/>
          <w:highlight w:val="none"/>
        </w:rPr>
        <w:t>辆。公务用车运行维护费</w:t>
      </w:r>
      <w:r>
        <w:rPr>
          <w:rFonts w:hint="eastAsia" w:asciiTheme="minorEastAsia" w:hAnsiTheme="minorEastAsia"/>
          <w:iCs/>
          <w:color w:val="auto"/>
          <w:sz w:val="32"/>
          <w:szCs w:val="32"/>
          <w:highlight w:val="none"/>
          <w:lang w:val="en-US" w:eastAsia="zh-CN"/>
        </w:rPr>
        <w:t>0.00</w:t>
      </w:r>
      <w:r>
        <w:rPr>
          <w:rFonts w:hint="eastAsia" w:asciiTheme="minorEastAsia" w:hAnsiTheme="minorEastAsia"/>
          <w:iCs/>
          <w:color w:val="auto"/>
          <w:sz w:val="32"/>
          <w:szCs w:val="32"/>
          <w:highlight w:val="none"/>
        </w:rPr>
        <w:t>万元，截</w:t>
      </w:r>
      <w:r>
        <w:rPr>
          <w:rFonts w:hint="eastAsia" w:asciiTheme="minorEastAsia" w:hAnsiTheme="minorEastAsia"/>
          <w:iCs/>
          <w:sz w:val="32"/>
          <w:szCs w:val="32"/>
          <w:highlight w:val="none"/>
        </w:rPr>
        <w:t>至</w:t>
      </w:r>
      <w:r>
        <w:rPr>
          <w:rFonts w:hint="eastAsia" w:asciiTheme="minorEastAsia" w:hAnsiTheme="minorEastAsia"/>
          <w:iCs/>
          <w:color w:val="auto"/>
          <w:sz w:val="32"/>
          <w:szCs w:val="32"/>
          <w:highlight w:val="none"/>
        </w:rPr>
        <w:t>2021年12月31日，我单位开支财政拨款的公务用车保有量为</w:t>
      </w:r>
      <w:r>
        <w:rPr>
          <w:rFonts w:hint="eastAsia" w:asciiTheme="minorEastAsia" w:hAnsiTheme="minorEastAsia"/>
          <w:iCs/>
          <w:color w:val="auto"/>
          <w:sz w:val="32"/>
          <w:szCs w:val="32"/>
          <w:highlight w:val="none"/>
          <w:lang w:val="en-US" w:eastAsia="zh-CN"/>
        </w:rPr>
        <w:t>0</w:t>
      </w:r>
      <w:r>
        <w:rPr>
          <w:rFonts w:hint="eastAsia" w:asciiTheme="minorEastAsia" w:hAnsiTheme="minorEastAsia"/>
          <w:iCs/>
          <w:color w:val="auto"/>
          <w:sz w:val="32"/>
          <w:szCs w:val="32"/>
          <w:highlight w:val="none"/>
        </w:rPr>
        <w:t>辆。</w:t>
      </w:r>
    </w:p>
    <w:p>
      <w:pPr>
        <w:pStyle w:val="10"/>
        <w:shd w:val="clear"/>
        <w:rPr>
          <w:rFonts w:hAnsi="黑体"/>
          <w:b/>
          <w:color w:val="auto"/>
          <w:sz w:val="32"/>
          <w:szCs w:val="32"/>
          <w:highlight w:val="none"/>
        </w:rPr>
      </w:pPr>
      <w:r>
        <w:rPr>
          <w:rFonts w:hint="eastAsia" w:hAnsi="黑体"/>
          <w:b/>
          <w:color w:val="auto"/>
          <w:sz w:val="32"/>
          <w:szCs w:val="32"/>
          <w:highlight w:val="none"/>
        </w:rPr>
        <w:t>八、政府性基金预算收入支出决算情况</w:t>
      </w:r>
    </w:p>
    <w:p>
      <w:pPr>
        <w:pStyle w:val="10"/>
        <w:shd w:val="clear"/>
        <w:ind w:firstLine="640" w:firstLineChars="200"/>
        <w:rPr>
          <w:rFonts w:hint="default" w:asciiTheme="minorEastAsia" w:hAnsiTheme="minorEastAsia" w:eastAsiaTheme="minorEastAsia"/>
          <w:color w:val="FF0000"/>
          <w:sz w:val="32"/>
          <w:szCs w:val="32"/>
          <w:highlight w:val="yellow"/>
          <w:lang w:val="en-US" w:eastAsia="zh-CN"/>
        </w:rPr>
      </w:pPr>
      <w:r>
        <w:rPr>
          <w:rFonts w:hint="eastAsia" w:asciiTheme="minorEastAsia" w:hAnsiTheme="minorEastAsia" w:eastAsiaTheme="minorEastAsia"/>
          <w:color w:val="auto"/>
          <w:sz w:val="32"/>
          <w:szCs w:val="32"/>
          <w:highlight w:val="none"/>
          <w:lang w:eastAsia="zh-CN"/>
        </w:rPr>
        <w:t>本单位无政府性基金收支。</w:t>
      </w:r>
    </w:p>
    <w:p>
      <w:pPr>
        <w:pStyle w:val="10"/>
        <w:shd w:val="clear"/>
        <w:rPr>
          <w:rFonts w:hAnsi="黑体"/>
          <w:b/>
          <w:color w:val="auto"/>
          <w:sz w:val="32"/>
          <w:szCs w:val="32"/>
          <w:highlight w:val="none"/>
        </w:rPr>
      </w:pPr>
      <w:r>
        <w:rPr>
          <w:rFonts w:hint="eastAsia" w:hAnsi="黑体"/>
          <w:b/>
          <w:color w:val="auto"/>
          <w:sz w:val="32"/>
          <w:szCs w:val="32"/>
          <w:highlight w:val="none"/>
        </w:rPr>
        <w:t>九、国有资本经营预算财政拨款支出决算情况</w:t>
      </w:r>
    </w:p>
    <w:p>
      <w:pPr>
        <w:pStyle w:val="10"/>
        <w:shd w:val="clear"/>
        <w:ind w:firstLine="640" w:firstLineChars="200"/>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本单位无国有资本经营预算财政拨款支出</w:t>
      </w:r>
      <w:r>
        <w:rPr>
          <w:rFonts w:hint="eastAsia" w:asciiTheme="minorEastAsia" w:hAnsiTheme="minorEastAsia" w:eastAsiaTheme="minorEastAsia"/>
          <w:color w:val="auto"/>
          <w:sz w:val="32"/>
          <w:szCs w:val="32"/>
          <w:highlight w:val="none"/>
          <w:lang w:eastAsia="zh-CN"/>
        </w:rPr>
        <w:t>。</w:t>
      </w:r>
    </w:p>
    <w:p>
      <w:pPr>
        <w:pStyle w:val="10"/>
        <w:shd w:val="clear"/>
        <w:rPr>
          <w:rFonts w:hAnsi="黑体"/>
          <w:b/>
          <w:color w:val="auto"/>
          <w:sz w:val="32"/>
          <w:szCs w:val="32"/>
          <w:highlight w:val="none"/>
        </w:rPr>
      </w:pPr>
      <w:r>
        <w:rPr>
          <w:rFonts w:hint="eastAsia" w:hAnsi="黑体"/>
          <w:b/>
          <w:color w:val="auto"/>
          <w:sz w:val="32"/>
          <w:szCs w:val="32"/>
          <w:highlight w:val="none"/>
        </w:rPr>
        <w:t>十、机关运行经费支出说明</w:t>
      </w:r>
    </w:p>
    <w:p>
      <w:pPr>
        <w:pStyle w:val="10"/>
        <w:shd w:val="clear"/>
        <w:ind w:firstLine="640" w:firstLineChars="200"/>
        <w:rPr>
          <w:rFonts w:asciiTheme="minorEastAsia" w:hAnsiTheme="minorEastAsia" w:eastAsiaTheme="minorEastAsia"/>
          <w:iCs/>
          <w:color w:val="auto"/>
          <w:sz w:val="32"/>
          <w:szCs w:val="32"/>
          <w:highlight w:val="none"/>
        </w:rPr>
      </w:pPr>
      <w:r>
        <w:rPr>
          <w:rFonts w:hint="eastAsia" w:asciiTheme="minorEastAsia" w:hAnsiTheme="minorEastAsia" w:eastAsiaTheme="minorEastAsia"/>
          <w:color w:val="auto"/>
          <w:sz w:val="32"/>
          <w:szCs w:val="32"/>
          <w:highlight w:val="none"/>
        </w:rPr>
        <w:t>本部门2021年度机关运行经费支出</w:t>
      </w:r>
      <w:r>
        <w:rPr>
          <w:rFonts w:hint="eastAsia" w:ascii="宋体" w:hAnsi="宋体" w:eastAsia="宋体" w:cs="宋体"/>
          <w:i w:val="0"/>
          <w:caps w:val="0"/>
          <w:color w:val="auto"/>
          <w:spacing w:val="0"/>
          <w:sz w:val="32"/>
          <w:szCs w:val="32"/>
          <w:highlight w:val="none"/>
          <w:shd w:val="clear" w:fill="FFFFFF"/>
        </w:rPr>
        <w:t>119.28</w:t>
      </w:r>
      <w:r>
        <w:rPr>
          <w:rFonts w:hint="eastAsia" w:asciiTheme="minorEastAsia" w:hAnsiTheme="minorEastAsia" w:eastAsiaTheme="minorEastAsia"/>
          <w:color w:val="auto"/>
          <w:sz w:val="32"/>
          <w:szCs w:val="32"/>
          <w:highlight w:val="none"/>
        </w:rPr>
        <w:t>万元</w:t>
      </w:r>
      <w:r>
        <w:rPr>
          <w:rFonts w:hint="eastAsia" w:asciiTheme="minorEastAsia" w:hAnsiTheme="minorEastAsia" w:eastAsiaTheme="minorEastAsia"/>
          <w:iCs/>
          <w:color w:val="auto"/>
          <w:sz w:val="32"/>
          <w:szCs w:val="32"/>
          <w:highlight w:val="none"/>
        </w:rPr>
        <w:t>，</w:t>
      </w:r>
      <w:r>
        <w:rPr>
          <w:rFonts w:hint="eastAsia" w:asciiTheme="minorEastAsia" w:hAnsiTheme="minorEastAsia" w:eastAsiaTheme="minorEastAsia"/>
          <w:color w:val="auto"/>
          <w:sz w:val="32"/>
          <w:szCs w:val="32"/>
          <w:highlight w:val="none"/>
        </w:rPr>
        <w:t>比上年决算数减少</w:t>
      </w:r>
      <w:r>
        <w:rPr>
          <w:rFonts w:hint="eastAsia" w:ascii="宋体" w:hAnsi="宋体" w:eastAsia="宋体" w:cs="宋体"/>
          <w:i w:val="0"/>
          <w:caps w:val="0"/>
          <w:color w:val="auto"/>
          <w:spacing w:val="0"/>
          <w:sz w:val="32"/>
          <w:szCs w:val="32"/>
          <w:highlight w:val="none"/>
          <w:shd w:val="clear" w:fill="FFFFFF"/>
        </w:rPr>
        <w:t>18.56</w:t>
      </w:r>
      <w:r>
        <w:rPr>
          <w:rFonts w:hint="eastAsia" w:asciiTheme="minorEastAsia" w:hAnsiTheme="minorEastAsia" w:eastAsiaTheme="minorEastAsia"/>
          <w:color w:val="auto"/>
          <w:sz w:val="32"/>
          <w:szCs w:val="32"/>
          <w:highlight w:val="none"/>
        </w:rPr>
        <w:t>万元，降低</w:t>
      </w:r>
      <w:r>
        <w:rPr>
          <w:rFonts w:hint="eastAsia" w:ascii="宋体" w:hAnsi="宋体" w:eastAsia="宋体" w:cs="宋体"/>
          <w:i w:val="0"/>
          <w:caps w:val="0"/>
          <w:color w:val="auto"/>
          <w:spacing w:val="0"/>
          <w:sz w:val="32"/>
          <w:szCs w:val="32"/>
          <w:highlight w:val="none"/>
          <w:shd w:val="clear" w:fill="FFFFFF"/>
        </w:rPr>
        <w:t>13.46</w:t>
      </w:r>
      <w:r>
        <w:rPr>
          <w:rFonts w:hint="eastAsia" w:asciiTheme="minorEastAsia" w:hAnsiTheme="minorEastAsia" w:eastAsiaTheme="minorEastAsia"/>
          <w:color w:val="auto"/>
          <w:sz w:val="32"/>
          <w:szCs w:val="32"/>
          <w:highlight w:val="none"/>
        </w:rPr>
        <w:t>%。主要原因是：</w:t>
      </w:r>
      <w:r>
        <w:rPr>
          <w:rFonts w:hint="eastAsia" w:ascii="宋体" w:hAnsi="宋体" w:eastAsia="宋体" w:cs="宋体"/>
          <w:i w:val="0"/>
          <w:caps w:val="0"/>
          <w:color w:val="auto"/>
          <w:spacing w:val="0"/>
          <w:sz w:val="32"/>
          <w:szCs w:val="32"/>
          <w:highlight w:val="none"/>
          <w:shd w:val="clear" w:fill="FFFFFF"/>
        </w:rPr>
        <w:t>厉行节约和人员异动</w:t>
      </w:r>
      <w:r>
        <w:rPr>
          <w:rFonts w:hint="eastAsia" w:ascii="宋体" w:hAnsi="宋体" w:eastAsia="宋体" w:cs="宋体"/>
          <w:i w:val="0"/>
          <w:caps w:val="0"/>
          <w:color w:val="auto"/>
          <w:spacing w:val="0"/>
          <w:sz w:val="32"/>
          <w:szCs w:val="32"/>
          <w:highlight w:val="none"/>
          <w:shd w:val="clear" w:fill="FFFFFF"/>
          <w:lang w:eastAsia="zh-CN"/>
        </w:rPr>
        <w:t>。</w:t>
      </w:r>
    </w:p>
    <w:p>
      <w:pPr>
        <w:pStyle w:val="10"/>
        <w:shd w:val="clear"/>
        <w:rPr>
          <w:rFonts w:hAnsi="黑体"/>
          <w:b/>
          <w:color w:val="auto"/>
          <w:sz w:val="32"/>
          <w:szCs w:val="32"/>
          <w:highlight w:val="none"/>
        </w:rPr>
      </w:pPr>
      <w:r>
        <w:rPr>
          <w:rFonts w:hint="eastAsia" w:hAnsi="黑体"/>
          <w:b/>
          <w:color w:val="auto"/>
          <w:sz w:val="32"/>
          <w:szCs w:val="32"/>
          <w:highlight w:val="none"/>
        </w:rPr>
        <w:t>十一、一般性支出情况说明</w:t>
      </w:r>
    </w:p>
    <w:p>
      <w:pPr>
        <w:pStyle w:val="10"/>
        <w:shd w:val="clear"/>
        <w:ind w:firstLine="640" w:firstLineChars="200"/>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2021年本部门开支会议费</w:t>
      </w:r>
      <w:r>
        <w:rPr>
          <w:rFonts w:hint="eastAsia" w:ascii="宋体" w:hAnsi="宋体" w:eastAsia="宋体" w:cs="宋体"/>
          <w:i w:val="0"/>
          <w:caps w:val="0"/>
          <w:color w:val="auto"/>
          <w:spacing w:val="0"/>
          <w:sz w:val="32"/>
          <w:szCs w:val="32"/>
          <w:highlight w:val="none"/>
          <w:shd w:val="clear" w:fill="FFFFFF"/>
        </w:rPr>
        <w:t>3.81</w:t>
      </w:r>
      <w:r>
        <w:rPr>
          <w:rFonts w:hint="eastAsia" w:asciiTheme="minorEastAsia" w:hAnsiTheme="minorEastAsia" w:eastAsiaTheme="minorEastAsia"/>
          <w:color w:val="auto"/>
          <w:sz w:val="32"/>
          <w:szCs w:val="32"/>
          <w:highlight w:val="none"/>
        </w:rPr>
        <w:t>万元，用于召开</w:t>
      </w:r>
      <w:r>
        <w:rPr>
          <w:rFonts w:hint="eastAsia" w:asciiTheme="minorEastAsia" w:hAnsiTheme="minorEastAsia" w:eastAsiaTheme="minorEastAsia"/>
          <w:color w:val="auto"/>
          <w:sz w:val="32"/>
          <w:szCs w:val="32"/>
          <w:highlight w:val="none"/>
          <w:lang w:val="en-US" w:eastAsia="zh-CN"/>
        </w:rPr>
        <w:t>7次</w:t>
      </w:r>
      <w:r>
        <w:rPr>
          <w:rFonts w:hint="eastAsia" w:asciiTheme="minorEastAsia" w:hAnsiTheme="minorEastAsia" w:eastAsiaTheme="minorEastAsia"/>
          <w:color w:val="auto"/>
          <w:sz w:val="32"/>
          <w:szCs w:val="32"/>
          <w:highlight w:val="none"/>
        </w:rPr>
        <w:t>会议，人数</w:t>
      </w:r>
      <w:r>
        <w:rPr>
          <w:rFonts w:hint="eastAsia" w:asciiTheme="minorEastAsia" w:hAnsiTheme="minorEastAsia" w:eastAsiaTheme="minorEastAsia"/>
          <w:color w:val="auto"/>
          <w:sz w:val="32"/>
          <w:szCs w:val="32"/>
          <w:highlight w:val="none"/>
          <w:lang w:val="en-US" w:eastAsia="zh-CN"/>
        </w:rPr>
        <w:t>350</w:t>
      </w:r>
      <w:r>
        <w:rPr>
          <w:rFonts w:hint="eastAsia" w:asciiTheme="minorEastAsia" w:hAnsiTheme="minorEastAsia" w:eastAsiaTheme="minorEastAsia"/>
          <w:color w:val="auto"/>
          <w:sz w:val="32"/>
          <w:szCs w:val="32"/>
          <w:highlight w:val="none"/>
        </w:rPr>
        <w:t>人，内容为</w:t>
      </w:r>
      <w:r>
        <w:rPr>
          <w:rFonts w:hint="eastAsia" w:ascii="宋体" w:hAnsi="宋体" w:eastAsia="宋体" w:cs="宋体"/>
          <w:i w:val="0"/>
          <w:caps w:val="0"/>
          <w:color w:val="auto"/>
          <w:spacing w:val="0"/>
          <w:sz w:val="32"/>
          <w:szCs w:val="32"/>
          <w:highlight w:val="none"/>
          <w:shd w:val="clear" w:fill="FFFFFF"/>
        </w:rPr>
        <w:t>民主党派举行年</w:t>
      </w:r>
      <w:r>
        <w:rPr>
          <w:rFonts w:hint="eastAsia" w:ascii="宋体" w:hAnsi="宋体" w:eastAsia="宋体" w:cs="宋体"/>
          <w:i w:val="0"/>
          <w:caps w:val="0"/>
          <w:color w:val="auto"/>
          <w:spacing w:val="0"/>
          <w:sz w:val="32"/>
          <w:szCs w:val="32"/>
          <w:highlight w:val="none"/>
          <w:shd w:val="clear" w:fill="FFFFFF"/>
          <w:lang w:eastAsia="zh-CN"/>
        </w:rPr>
        <w:t>会</w:t>
      </w:r>
      <w:r>
        <w:rPr>
          <w:rFonts w:hint="eastAsia" w:asciiTheme="minorEastAsia" w:hAnsiTheme="minorEastAsia" w:eastAsiaTheme="minorEastAsia"/>
          <w:color w:val="auto"/>
          <w:sz w:val="32"/>
          <w:szCs w:val="32"/>
          <w:highlight w:val="none"/>
        </w:rPr>
        <w:t>；开支培训费</w:t>
      </w:r>
      <w:r>
        <w:rPr>
          <w:rFonts w:hint="eastAsia" w:asciiTheme="minorEastAsia" w:hAnsiTheme="minorEastAsia" w:eastAsiaTheme="minorEastAsia"/>
          <w:color w:val="auto"/>
          <w:sz w:val="32"/>
          <w:szCs w:val="32"/>
          <w:highlight w:val="none"/>
          <w:lang w:val="en-US" w:eastAsia="zh-CN"/>
        </w:rPr>
        <w:t>1.20</w:t>
      </w:r>
      <w:r>
        <w:rPr>
          <w:rFonts w:hint="eastAsia" w:asciiTheme="minorEastAsia" w:hAnsiTheme="minorEastAsia" w:eastAsiaTheme="minorEastAsia"/>
          <w:color w:val="auto"/>
          <w:sz w:val="32"/>
          <w:szCs w:val="32"/>
          <w:highlight w:val="none"/>
        </w:rPr>
        <w:t>万元，用于开展</w:t>
      </w:r>
      <w:r>
        <w:rPr>
          <w:rFonts w:hint="eastAsia" w:asciiTheme="minorEastAsia" w:hAnsiTheme="minorEastAsia" w:eastAsiaTheme="minorEastAsia"/>
          <w:color w:val="auto"/>
          <w:sz w:val="32"/>
          <w:szCs w:val="32"/>
          <w:highlight w:val="none"/>
          <w:lang w:val="en-US" w:eastAsia="zh-CN"/>
        </w:rPr>
        <w:t>3次</w:t>
      </w:r>
      <w:r>
        <w:rPr>
          <w:rFonts w:hint="eastAsia" w:asciiTheme="minorEastAsia" w:hAnsiTheme="minorEastAsia" w:eastAsiaTheme="minorEastAsia"/>
          <w:color w:val="auto"/>
          <w:sz w:val="32"/>
          <w:szCs w:val="32"/>
          <w:highlight w:val="none"/>
        </w:rPr>
        <w:t>培训，人数</w:t>
      </w:r>
      <w:r>
        <w:rPr>
          <w:rFonts w:hint="eastAsia" w:asciiTheme="minorEastAsia" w:hAnsiTheme="minorEastAsia" w:eastAsiaTheme="minorEastAsia"/>
          <w:color w:val="auto"/>
          <w:sz w:val="32"/>
          <w:szCs w:val="32"/>
          <w:highlight w:val="none"/>
          <w:lang w:val="en-US" w:eastAsia="zh-CN"/>
        </w:rPr>
        <w:t>175</w:t>
      </w:r>
      <w:r>
        <w:rPr>
          <w:rFonts w:hint="eastAsia" w:asciiTheme="minorEastAsia" w:hAnsiTheme="minorEastAsia" w:eastAsiaTheme="minorEastAsia"/>
          <w:color w:val="auto"/>
          <w:sz w:val="32"/>
          <w:szCs w:val="32"/>
          <w:highlight w:val="none"/>
        </w:rPr>
        <w:t>人，内容为</w:t>
      </w:r>
      <w:r>
        <w:rPr>
          <w:rFonts w:hint="eastAsia" w:asciiTheme="minorEastAsia" w:hAnsiTheme="minorEastAsia" w:eastAsiaTheme="minorEastAsia"/>
          <w:color w:val="auto"/>
          <w:sz w:val="32"/>
          <w:szCs w:val="32"/>
          <w:highlight w:val="none"/>
          <w:lang w:eastAsia="zh-CN"/>
        </w:rPr>
        <w:t>党外</w:t>
      </w:r>
      <w:r>
        <w:rPr>
          <w:rFonts w:hint="eastAsia" w:asciiTheme="minorEastAsia" w:hAnsiTheme="minorEastAsia" w:eastAsiaTheme="minorEastAsia"/>
          <w:color w:val="auto"/>
          <w:sz w:val="32"/>
          <w:szCs w:val="32"/>
          <w:highlight w:val="none"/>
          <w:lang w:val="en-US" w:eastAsia="zh-CN"/>
        </w:rPr>
        <w:t>干部</w:t>
      </w:r>
      <w:r>
        <w:rPr>
          <w:rFonts w:hint="eastAsia" w:asciiTheme="minorEastAsia" w:hAnsiTheme="minorEastAsia" w:eastAsiaTheme="minorEastAsia"/>
          <w:color w:val="auto"/>
          <w:sz w:val="32"/>
          <w:szCs w:val="32"/>
          <w:highlight w:val="none"/>
          <w:lang w:eastAsia="zh-CN"/>
        </w:rPr>
        <w:t>培训</w:t>
      </w:r>
      <w:r>
        <w:rPr>
          <w:rFonts w:hint="eastAsia" w:asciiTheme="minorEastAsia" w:hAnsiTheme="minorEastAsia" w:eastAsiaTheme="minorEastAsia"/>
          <w:color w:val="auto"/>
          <w:sz w:val="32"/>
          <w:szCs w:val="32"/>
          <w:highlight w:val="none"/>
        </w:rPr>
        <w:t>；举办节庆、晚会、论坛、赛事活动，开支</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w:t>
      </w:r>
      <w:bookmarkStart w:id="0" w:name="_GoBack"/>
      <w:bookmarkEnd w:id="0"/>
    </w:p>
    <w:p>
      <w:pPr>
        <w:pStyle w:val="10"/>
        <w:shd w:val="clear"/>
        <w:rPr>
          <w:rFonts w:hAnsi="黑体"/>
          <w:b/>
          <w:color w:val="auto"/>
          <w:sz w:val="32"/>
          <w:szCs w:val="32"/>
          <w:highlight w:val="none"/>
        </w:rPr>
      </w:pPr>
      <w:r>
        <w:rPr>
          <w:rFonts w:hint="eastAsia" w:hAnsi="黑体"/>
          <w:b/>
          <w:color w:val="auto"/>
          <w:sz w:val="32"/>
          <w:szCs w:val="32"/>
          <w:highlight w:val="none"/>
        </w:rPr>
        <w:t>十二、政府采购支出说明</w:t>
      </w:r>
    </w:p>
    <w:p>
      <w:pPr>
        <w:pStyle w:val="10"/>
        <w:shd w:val="clear"/>
        <w:ind w:firstLine="640" w:firstLineChars="200"/>
        <w:rPr>
          <w:rFonts w:hint="default" w:asciiTheme="minorEastAsia" w:hAnsiTheme="minorEastAsia" w:eastAsiaTheme="minorEastAsia"/>
          <w:color w:val="FF0000"/>
          <w:sz w:val="32"/>
          <w:szCs w:val="32"/>
          <w:highlight w:val="yellow"/>
          <w:lang w:val="en-US" w:eastAsia="zh-CN"/>
        </w:rPr>
      </w:pPr>
      <w:r>
        <w:rPr>
          <w:rFonts w:hint="eastAsia" w:asciiTheme="minorEastAsia" w:hAnsiTheme="minorEastAsia" w:eastAsiaTheme="minorEastAsia"/>
          <w:color w:val="auto"/>
          <w:sz w:val="32"/>
          <w:szCs w:val="32"/>
          <w:highlight w:val="none"/>
        </w:rPr>
        <w:t>本部门2021年度政府采购支出总额</w:t>
      </w:r>
      <w:r>
        <w:rPr>
          <w:rFonts w:hint="eastAsia" w:asciiTheme="minorEastAsia" w:hAnsiTheme="minorEastAsia" w:eastAsiaTheme="minorEastAsia"/>
          <w:color w:val="auto"/>
          <w:sz w:val="32"/>
          <w:szCs w:val="32"/>
          <w:highlight w:val="none"/>
          <w:lang w:val="en-US" w:eastAsia="zh-CN"/>
        </w:rPr>
        <w:t>90.80</w:t>
      </w:r>
      <w:r>
        <w:rPr>
          <w:rFonts w:hint="eastAsia" w:asciiTheme="minorEastAsia" w:hAnsiTheme="minorEastAsia" w:eastAsiaTheme="minorEastAsia"/>
          <w:color w:val="auto"/>
          <w:sz w:val="32"/>
          <w:szCs w:val="32"/>
          <w:highlight w:val="none"/>
        </w:rPr>
        <w:t>万元，其中：政府采购货物支出</w:t>
      </w:r>
      <w:r>
        <w:rPr>
          <w:rFonts w:hint="eastAsia" w:asciiTheme="minorEastAsia" w:hAnsiTheme="minorEastAsia" w:eastAsiaTheme="minorEastAsia"/>
          <w:color w:val="auto"/>
          <w:sz w:val="32"/>
          <w:szCs w:val="32"/>
          <w:highlight w:val="none"/>
          <w:lang w:val="en-US" w:eastAsia="zh-CN"/>
        </w:rPr>
        <w:t>72.11</w:t>
      </w:r>
      <w:r>
        <w:rPr>
          <w:rFonts w:hint="eastAsia" w:asciiTheme="minorEastAsia" w:hAnsiTheme="minorEastAsia" w:eastAsiaTheme="minorEastAsia"/>
          <w:color w:val="auto"/>
          <w:sz w:val="32"/>
          <w:szCs w:val="32"/>
          <w:highlight w:val="none"/>
        </w:rPr>
        <w:t>万元、政府采购工程支出</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万元、政府采购服务支出</w:t>
      </w:r>
      <w:r>
        <w:rPr>
          <w:rFonts w:hint="eastAsia" w:asciiTheme="minorEastAsia" w:hAnsiTheme="minorEastAsia" w:eastAsiaTheme="minorEastAsia"/>
          <w:color w:val="auto"/>
          <w:sz w:val="32"/>
          <w:szCs w:val="32"/>
          <w:highlight w:val="none"/>
          <w:lang w:val="en-US" w:eastAsia="zh-CN"/>
        </w:rPr>
        <w:t>18.69</w:t>
      </w:r>
      <w:r>
        <w:rPr>
          <w:rFonts w:hint="eastAsia" w:asciiTheme="minorEastAsia" w:hAnsiTheme="minorEastAsia" w:eastAsiaTheme="minorEastAsia"/>
          <w:color w:val="auto"/>
          <w:sz w:val="32"/>
          <w:szCs w:val="32"/>
          <w:highlight w:val="none"/>
        </w:rPr>
        <w:t>万元。授予中小企业合同金额</w:t>
      </w:r>
      <w:r>
        <w:rPr>
          <w:rFonts w:hint="eastAsia" w:asciiTheme="minorEastAsia" w:hAnsiTheme="minorEastAsia" w:eastAsiaTheme="minorEastAsia"/>
          <w:color w:val="auto"/>
          <w:sz w:val="32"/>
          <w:szCs w:val="32"/>
          <w:highlight w:val="none"/>
          <w:lang w:val="en-US" w:eastAsia="zh-CN"/>
        </w:rPr>
        <w:t>90.80</w:t>
      </w:r>
      <w:r>
        <w:rPr>
          <w:rFonts w:hint="eastAsia" w:asciiTheme="minorEastAsia" w:hAnsiTheme="minorEastAsia" w:eastAsiaTheme="minorEastAsia"/>
          <w:color w:val="auto"/>
          <w:sz w:val="32"/>
          <w:szCs w:val="32"/>
          <w:highlight w:val="none"/>
        </w:rPr>
        <w:t>万元，占政府采购支出总额的</w:t>
      </w:r>
      <w:r>
        <w:rPr>
          <w:rFonts w:hint="eastAsia" w:asciiTheme="minorEastAsia" w:hAnsiTheme="minorEastAsia" w:eastAsiaTheme="minorEastAsia"/>
          <w:color w:val="auto"/>
          <w:sz w:val="32"/>
          <w:szCs w:val="32"/>
          <w:highlight w:val="none"/>
          <w:lang w:val="en-US" w:eastAsia="zh-CN"/>
        </w:rPr>
        <w:t>100.00</w:t>
      </w:r>
      <w:r>
        <w:rPr>
          <w:rFonts w:hint="eastAsia" w:asciiTheme="minorEastAsia" w:hAnsiTheme="minorEastAsia" w:eastAsiaTheme="minorEastAsia"/>
          <w:color w:val="auto"/>
          <w:sz w:val="32"/>
          <w:szCs w:val="32"/>
          <w:highlight w:val="none"/>
        </w:rPr>
        <w:t>%，其中：授予小微企业合同金额</w:t>
      </w:r>
      <w:r>
        <w:rPr>
          <w:rFonts w:hint="eastAsia" w:asciiTheme="minorEastAsia" w:hAnsiTheme="minorEastAsia" w:eastAsiaTheme="minorEastAsia"/>
          <w:color w:val="auto"/>
          <w:sz w:val="32"/>
          <w:szCs w:val="32"/>
          <w:highlight w:val="none"/>
          <w:lang w:val="en-US" w:eastAsia="zh-CN"/>
        </w:rPr>
        <w:t>90.80</w:t>
      </w:r>
      <w:r>
        <w:rPr>
          <w:rFonts w:hint="eastAsia" w:asciiTheme="minorEastAsia" w:hAnsiTheme="minorEastAsia" w:eastAsiaTheme="minorEastAsia"/>
          <w:color w:val="auto"/>
          <w:sz w:val="32"/>
          <w:szCs w:val="32"/>
          <w:highlight w:val="none"/>
        </w:rPr>
        <w:t>万元，占授予中小企业合同金额的</w:t>
      </w:r>
      <w:r>
        <w:rPr>
          <w:rFonts w:hint="eastAsia" w:asciiTheme="minorEastAsia" w:hAnsiTheme="minorEastAsia" w:eastAsiaTheme="minorEastAsia"/>
          <w:color w:val="auto"/>
          <w:sz w:val="32"/>
          <w:szCs w:val="32"/>
          <w:highlight w:val="none"/>
          <w:lang w:val="en-US" w:eastAsia="zh-CN"/>
        </w:rPr>
        <w:t>100.00</w:t>
      </w:r>
      <w:r>
        <w:rPr>
          <w:rFonts w:hint="eastAsia" w:asciiTheme="minorEastAsia" w:hAnsiTheme="minorEastAsia" w:eastAsiaTheme="minorEastAsia"/>
          <w:color w:val="auto"/>
          <w:sz w:val="32"/>
          <w:szCs w:val="32"/>
          <w:highlight w:val="none"/>
        </w:rPr>
        <w:t>%；货物采购授予中小企业合同金额占货物支出金额的</w:t>
      </w:r>
      <w:r>
        <w:rPr>
          <w:rFonts w:hint="eastAsia" w:asciiTheme="minorEastAsia" w:hAnsiTheme="minorEastAsia" w:eastAsiaTheme="minorEastAsia"/>
          <w:color w:val="auto"/>
          <w:sz w:val="32"/>
          <w:szCs w:val="32"/>
          <w:highlight w:val="none"/>
          <w:lang w:val="en-US" w:eastAsia="zh-CN"/>
        </w:rPr>
        <w:t>100.00</w:t>
      </w:r>
      <w:r>
        <w:rPr>
          <w:rFonts w:hint="eastAsia" w:asciiTheme="minorEastAsia" w:hAnsiTheme="minorEastAsia" w:eastAsiaTheme="minorEastAsia"/>
          <w:color w:val="auto"/>
          <w:sz w:val="32"/>
          <w:szCs w:val="32"/>
          <w:highlight w:val="none"/>
        </w:rPr>
        <w:t>%，工程采购授予中小企业合同金额占工程支出金额的</w:t>
      </w:r>
      <w:r>
        <w:rPr>
          <w:rFonts w:hint="eastAsia" w:asciiTheme="minorEastAsia" w:hAnsiTheme="minorEastAsia" w:eastAsiaTheme="minorEastAsia"/>
          <w:color w:val="auto"/>
          <w:sz w:val="32"/>
          <w:szCs w:val="32"/>
          <w:highlight w:val="none"/>
          <w:lang w:val="en-US" w:eastAsia="zh-CN"/>
        </w:rPr>
        <w:t>0.00</w:t>
      </w:r>
      <w:r>
        <w:rPr>
          <w:rFonts w:hint="eastAsia" w:asciiTheme="minorEastAsia" w:hAnsiTheme="minorEastAsia" w:eastAsiaTheme="minorEastAsia"/>
          <w:color w:val="auto"/>
          <w:sz w:val="32"/>
          <w:szCs w:val="32"/>
          <w:highlight w:val="none"/>
        </w:rPr>
        <w:t>%，服务采购授予中小企业合同金额占服务支出金额的</w:t>
      </w:r>
      <w:r>
        <w:rPr>
          <w:rFonts w:hint="eastAsia" w:asciiTheme="minorEastAsia" w:hAnsiTheme="minorEastAsia" w:eastAsiaTheme="minorEastAsia"/>
          <w:color w:val="auto"/>
          <w:sz w:val="32"/>
          <w:szCs w:val="32"/>
          <w:highlight w:val="none"/>
          <w:lang w:val="en-US" w:eastAsia="zh-CN"/>
        </w:rPr>
        <w:t>100.00</w:t>
      </w:r>
      <w:r>
        <w:rPr>
          <w:rFonts w:hint="eastAsia" w:asciiTheme="minorEastAsia" w:hAnsiTheme="minorEastAsia" w:eastAsiaTheme="minorEastAsia"/>
          <w:color w:val="auto"/>
          <w:sz w:val="32"/>
          <w:szCs w:val="32"/>
          <w:highlight w:val="none"/>
        </w:rPr>
        <w:t>%。</w:t>
      </w:r>
    </w:p>
    <w:p>
      <w:pPr>
        <w:pStyle w:val="10"/>
        <w:shd w:val="clear"/>
        <w:rPr>
          <w:rFonts w:hAnsi="黑体"/>
          <w:b/>
          <w:color w:val="auto"/>
          <w:sz w:val="32"/>
          <w:szCs w:val="32"/>
          <w:highlight w:val="none"/>
        </w:rPr>
      </w:pPr>
      <w:r>
        <w:rPr>
          <w:rFonts w:hint="eastAsia" w:hAnsi="黑体"/>
          <w:b/>
          <w:color w:val="auto"/>
          <w:sz w:val="32"/>
          <w:szCs w:val="32"/>
          <w:highlight w:val="none"/>
        </w:rPr>
        <w:t>十三、国有资产占用情况说明</w:t>
      </w:r>
    </w:p>
    <w:p>
      <w:pPr>
        <w:pStyle w:val="10"/>
        <w:shd w:val="clear"/>
        <w:ind w:firstLine="640" w:firstLineChars="200"/>
        <w:rPr>
          <w:rFonts w:asciiTheme="minorEastAsia" w:hAnsiTheme="minorEastAsia" w:eastAsiaTheme="minorEastAsia"/>
          <w:color w:val="auto"/>
          <w:sz w:val="32"/>
          <w:szCs w:val="32"/>
          <w:highlight w:val="none"/>
        </w:rPr>
      </w:pPr>
      <w:r>
        <w:rPr>
          <w:rFonts w:hint="eastAsia" w:asciiTheme="minorEastAsia" w:hAnsiTheme="minorEastAsia" w:eastAsiaTheme="minorEastAsia"/>
          <w:color w:val="auto"/>
          <w:sz w:val="32"/>
          <w:szCs w:val="32"/>
          <w:highlight w:val="none"/>
        </w:rPr>
        <w:t>截至2021年12月31日，部门（单位）共有车辆</w:t>
      </w:r>
      <w:r>
        <w:rPr>
          <w:rFonts w:hint="eastAsia" w:asciiTheme="minorEastAsia" w:hAnsiTheme="minorEastAsia" w:eastAsiaTheme="minorEastAsia"/>
          <w:color w:val="auto"/>
          <w:sz w:val="32"/>
          <w:szCs w:val="32"/>
          <w:highlight w:val="none"/>
          <w:lang w:val="en-US" w:eastAsia="zh-CN"/>
        </w:rPr>
        <w:t>0</w:t>
      </w:r>
      <w:r>
        <w:rPr>
          <w:rFonts w:hint="eastAsia" w:asciiTheme="minorEastAsia" w:hAnsiTheme="minorEastAsia" w:eastAsiaTheme="minorEastAsia"/>
          <w:color w:val="auto"/>
          <w:sz w:val="32"/>
          <w:szCs w:val="32"/>
          <w:highlight w:val="none"/>
        </w:rPr>
        <w:t>辆，其中，主要领导干部用车</w:t>
      </w:r>
      <w:r>
        <w:rPr>
          <w:rFonts w:hint="eastAsia" w:asciiTheme="minorEastAsia" w:hAnsiTheme="minorEastAsia" w:eastAsiaTheme="minorEastAsia"/>
          <w:color w:val="auto"/>
          <w:sz w:val="32"/>
          <w:szCs w:val="32"/>
          <w:highlight w:val="none"/>
          <w:lang w:val="en-US" w:eastAsia="zh-CN"/>
        </w:rPr>
        <w:t>0</w:t>
      </w:r>
      <w:r>
        <w:rPr>
          <w:rFonts w:hint="eastAsia" w:asciiTheme="minorEastAsia" w:hAnsiTheme="minorEastAsia" w:eastAsiaTheme="minorEastAsia"/>
          <w:color w:val="auto"/>
          <w:sz w:val="32"/>
          <w:szCs w:val="32"/>
          <w:highlight w:val="none"/>
        </w:rPr>
        <w:t>辆，机要通信用车</w:t>
      </w:r>
      <w:r>
        <w:rPr>
          <w:rFonts w:hint="eastAsia" w:asciiTheme="minorEastAsia" w:hAnsiTheme="minorEastAsia" w:eastAsiaTheme="minorEastAsia"/>
          <w:color w:val="auto"/>
          <w:sz w:val="32"/>
          <w:szCs w:val="32"/>
          <w:highlight w:val="none"/>
          <w:lang w:val="en-US" w:eastAsia="zh-CN"/>
        </w:rPr>
        <w:t>0</w:t>
      </w:r>
      <w:r>
        <w:rPr>
          <w:rFonts w:hint="eastAsia" w:asciiTheme="minorEastAsia" w:hAnsiTheme="minorEastAsia" w:eastAsiaTheme="minorEastAsia"/>
          <w:color w:val="auto"/>
          <w:sz w:val="32"/>
          <w:szCs w:val="32"/>
          <w:highlight w:val="none"/>
        </w:rPr>
        <w:t>辆、应急保障用车</w:t>
      </w:r>
      <w:r>
        <w:rPr>
          <w:rFonts w:hint="eastAsia" w:asciiTheme="minorEastAsia" w:hAnsiTheme="minorEastAsia" w:eastAsiaTheme="minorEastAsia"/>
          <w:color w:val="auto"/>
          <w:sz w:val="32"/>
          <w:szCs w:val="32"/>
          <w:highlight w:val="none"/>
          <w:lang w:val="en-US" w:eastAsia="zh-CN"/>
        </w:rPr>
        <w:t>0</w:t>
      </w:r>
      <w:r>
        <w:rPr>
          <w:rFonts w:hint="eastAsia" w:asciiTheme="minorEastAsia" w:hAnsiTheme="minorEastAsia" w:eastAsiaTheme="minorEastAsia"/>
          <w:color w:val="auto"/>
          <w:sz w:val="32"/>
          <w:szCs w:val="32"/>
          <w:highlight w:val="none"/>
        </w:rPr>
        <w:t>辆、执法执勤用车</w:t>
      </w:r>
      <w:r>
        <w:rPr>
          <w:rFonts w:hint="eastAsia" w:asciiTheme="minorEastAsia" w:hAnsiTheme="minorEastAsia" w:eastAsiaTheme="minorEastAsia"/>
          <w:color w:val="auto"/>
          <w:sz w:val="32"/>
          <w:szCs w:val="32"/>
          <w:highlight w:val="none"/>
          <w:lang w:val="en-US" w:eastAsia="zh-CN"/>
        </w:rPr>
        <w:t>0</w:t>
      </w:r>
      <w:r>
        <w:rPr>
          <w:rFonts w:hint="eastAsia" w:asciiTheme="minorEastAsia" w:hAnsiTheme="minorEastAsia" w:eastAsiaTheme="minorEastAsia"/>
          <w:color w:val="auto"/>
          <w:sz w:val="32"/>
          <w:szCs w:val="32"/>
          <w:highlight w:val="none"/>
        </w:rPr>
        <w:t>辆、特种专业技术用车</w:t>
      </w:r>
      <w:r>
        <w:rPr>
          <w:rFonts w:hint="eastAsia" w:asciiTheme="minorEastAsia" w:hAnsiTheme="minorEastAsia" w:eastAsiaTheme="minorEastAsia"/>
          <w:color w:val="auto"/>
          <w:sz w:val="32"/>
          <w:szCs w:val="32"/>
          <w:highlight w:val="none"/>
          <w:lang w:val="en-US" w:eastAsia="zh-CN"/>
        </w:rPr>
        <w:t>0</w:t>
      </w:r>
      <w:r>
        <w:rPr>
          <w:rFonts w:hint="eastAsia" w:asciiTheme="minorEastAsia" w:hAnsiTheme="minorEastAsia" w:eastAsiaTheme="minorEastAsia"/>
          <w:color w:val="auto"/>
          <w:sz w:val="32"/>
          <w:szCs w:val="32"/>
          <w:highlight w:val="none"/>
        </w:rPr>
        <w:t>辆、其他用车</w:t>
      </w:r>
      <w:r>
        <w:rPr>
          <w:rFonts w:hint="eastAsia" w:asciiTheme="minorEastAsia" w:hAnsiTheme="minorEastAsia" w:eastAsiaTheme="minorEastAsia"/>
          <w:color w:val="auto"/>
          <w:sz w:val="32"/>
          <w:szCs w:val="32"/>
          <w:highlight w:val="none"/>
          <w:lang w:val="en-US" w:eastAsia="zh-CN"/>
        </w:rPr>
        <w:t>0</w:t>
      </w:r>
      <w:r>
        <w:rPr>
          <w:rFonts w:hint="eastAsia" w:asciiTheme="minorEastAsia" w:hAnsiTheme="minorEastAsia" w:eastAsiaTheme="minorEastAsia"/>
          <w:color w:val="auto"/>
          <w:sz w:val="32"/>
          <w:szCs w:val="32"/>
          <w:highlight w:val="none"/>
        </w:rPr>
        <w:t>辆；单位价值50万元以上通用设备</w:t>
      </w:r>
      <w:r>
        <w:rPr>
          <w:rFonts w:hint="eastAsia" w:asciiTheme="minorEastAsia" w:hAnsiTheme="minorEastAsia" w:eastAsiaTheme="minorEastAsia"/>
          <w:color w:val="auto"/>
          <w:sz w:val="32"/>
          <w:szCs w:val="32"/>
          <w:highlight w:val="none"/>
          <w:lang w:val="en-US" w:eastAsia="zh-CN"/>
        </w:rPr>
        <w:t>0</w:t>
      </w:r>
      <w:r>
        <w:rPr>
          <w:rFonts w:hint="eastAsia" w:asciiTheme="minorEastAsia" w:hAnsiTheme="minorEastAsia" w:eastAsiaTheme="minorEastAsia"/>
          <w:color w:val="auto"/>
          <w:sz w:val="32"/>
          <w:szCs w:val="32"/>
          <w:highlight w:val="none"/>
        </w:rPr>
        <w:t>台；单位价值100万元以上专用设备</w:t>
      </w:r>
      <w:r>
        <w:rPr>
          <w:rFonts w:hint="eastAsia" w:asciiTheme="minorEastAsia" w:hAnsiTheme="minorEastAsia" w:eastAsiaTheme="minorEastAsia"/>
          <w:color w:val="auto"/>
          <w:sz w:val="32"/>
          <w:szCs w:val="32"/>
          <w:highlight w:val="none"/>
          <w:lang w:val="en-US" w:eastAsia="zh-CN"/>
        </w:rPr>
        <w:t>0</w:t>
      </w:r>
      <w:r>
        <w:rPr>
          <w:rFonts w:hint="eastAsia" w:asciiTheme="minorEastAsia" w:hAnsiTheme="minorEastAsia" w:eastAsiaTheme="minorEastAsia"/>
          <w:color w:val="auto"/>
          <w:sz w:val="32"/>
          <w:szCs w:val="32"/>
          <w:highlight w:val="none"/>
        </w:rPr>
        <w:t>台。</w:t>
      </w:r>
    </w:p>
    <w:p>
      <w:pPr>
        <w:pStyle w:val="10"/>
        <w:shd w:val="clear"/>
        <w:rPr>
          <w:rFonts w:hAnsi="黑体"/>
          <w:b/>
          <w:color w:val="auto"/>
          <w:sz w:val="32"/>
          <w:szCs w:val="32"/>
          <w:highlight w:val="none"/>
        </w:rPr>
      </w:pPr>
      <w:r>
        <w:rPr>
          <w:rFonts w:hint="eastAsia" w:hAnsi="黑体"/>
          <w:b/>
          <w:color w:val="auto"/>
          <w:sz w:val="32"/>
          <w:szCs w:val="32"/>
          <w:highlight w:val="none"/>
        </w:rPr>
        <w:t>十四、2021年度预算绩效情况说明</w:t>
      </w:r>
    </w:p>
    <w:p>
      <w:pPr>
        <w:keepNext w:val="0"/>
        <w:keepLines w:val="0"/>
        <w:pageBreakBefore w:val="0"/>
        <w:widowControl w:val="0"/>
        <w:numPr>
          <w:ilvl w:val="0"/>
          <w:numId w:val="0"/>
        </w:numPr>
        <w:shd w:val="clear"/>
        <w:kinsoku/>
        <w:wordWrap/>
        <w:overflowPunct/>
        <w:topLinePunct w:val="0"/>
        <w:autoSpaceDE/>
        <w:autoSpaceDN/>
        <w:bidi w:val="0"/>
        <w:adjustRightInd/>
        <w:snapToGrid/>
        <w:spacing w:line="360" w:lineRule="auto"/>
        <w:ind w:firstLine="640" w:firstLineChars="200"/>
        <w:textAlignment w:val="auto"/>
        <w:rPr>
          <w:rFonts w:hint="eastAsia" w:cs="黑体" w:asciiTheme="minorEastAsia" w:hAnsiTheme="minorEastAsia" w:eastAsiaTheme="minorEastAsia"/>
          <w:color w:val="auto"/>
          <w:kern w:val="0"/>
          <w:sz w:val="32"/>
          <w:szCs w:val="32"/>
          <w:highlight w:val="none"/>
          <w:lang w:val="en-US" w:eastAsia="zh-CN" w:bidi="ar-SA"/>
        </w:rPr>
      </w:pPr>
      <w:r>
        <w:rPr>
          <w:rFonts w:hint="eastAsia" w:cs="黑体" w:asciiTheme="minorEastAsia" w:hAnsiTheme="minorEastAsia" w:eastAsiaTheme="minorEastAsia"/>
          <w:color w:val="auto"/>
          <w:kern w:val="0"/>
          <w:sz w:val="32"/>
          <w:szCs w:val="32"/>
          <w:highlight w:val="none"/>
          <w:lang w:val="en-US" w:eastAsia="zh-CN" w:bidi="ar-SA"/>
        </w:rPr>
        <w:t>中国共产党岳阳市岳阳楼区委员会统一战线工作部整体绩效自评综述：根据年初设定的整体绩效目标，整体绩效自评得分为99分。全年预算数为196.21万元，执行数为231.48万元，完成预算的117.98%。中国共产党岳阳市岳阳楼区委员会统一战线工作部整体绩效自评综述：本单位各项项目资金其主要用途是确保单位的正常运转，促进各项工作任务顺利完成。在人员经费支出、公共支出严格执行区委区政府的各项制度；在项目经费的使用上，在保证各项任务顺利完成的同时，严格落实厉行节约的原则。详情见附件。</w:t>
      </w:r>
    </w:p>
    <w:p>
      <w:pPr>
        <w:pStyle w:val="10"/>
        <w:shd w:val="clear"/>
        <w:jc w:val="both"/>
        <w:rPr>
          <w:color w:val="auto"/>
          <w:sz w:val="72"/>
          <w:szCs w:val="72"/>
          <w:highlight w:val="none"/>
        </w:rPr>
      </w:pPr>
    </w:p>
    <w:p>
      <w:pPr>
        <w:pStyle w:val="10"/>
        <w:shd w:val="clear"/>
        <w:jc w:val="both"/>
        <w:rPr>
          <w:color w:val="auto"/>
          <w:sz w:val="72"/>
          <w:szCs w:val="72"/>
          <w:highlight w:val="none"/>
        </w:rPr>
      </w:pPr>
    </w:p>
    <w:p>
      <w:pPr>
        <w:pStyle w:val="10"/>
        <w:shd w:val="clear"/>
        <w:jc w:val="both"/>
        <w:rPr>
          <w:color w:val="auto"/>
          <w:sz w:val="72"/>
          <w:szCs w:val="72"/>
          <w:highlight w:val="none"/>
        </w:rPr>
      </w:pPr>
    </w:p>
    <w:p>
      <w:pPr>
        <w:pStyle w:val="10"/>
        <w:shd w:val="clear"/>
        <w:jc w:val="both"/>
        <w:rPr>
          <w:color w:val="auto"/>
          <w:sz w:val="72"/>
          <w:szCs w:val="72"/>
          <w:highlight w:val="none"/>
        </w:rPr>
      </w:pPr>
    </w:p>
    <w:p>
      <w:pPr>
        <w:pStyle w:val="10"/>
        <w:shd w:val="clear"/>
        <w:jc w:val="both"/>
        <w:rPr>
          <w:color w:val="auto"/>
          <w:sz w:val="72"/>
          <w:szCs w:val="72"/>
          <w:highlight w:val="none"/>
        </w:rPr>
      </w:pPr>
    </w:p>
    <w:p>
      <w:pPr>
        <w:pStyle w:val="10"/>
        <w:shd w:val="clear"/>
        <w:jc w:val="both"/>
        <w:rPr>
          <w:color w:val="auto"/>
          <w:sz w:val="72"/>
          <w:szCs w:val="72"/>
          <w:highlight w:val="none"/>
        </w:rPr>
      </w:pPr>
    </w:p>
    <w:p>
      <w:pPr>
        <w:pStyle w:val="10"/>
        <w:shd w:val="clear"/>
        <w:jc w:val="both"/>
        <w:rPr>
          <w:color w:val="auto"/>
          <w:sz w:val="72"/>
          <w:szCs w:val="72"/>
          <w:highlight w:val="none"/>
        </w:rPr>
      </w:pPr>
    </w:p>
    <w:p>
      <w:pPr>
        <w:pStyle w:val="10"/>
        <w:shd w:val="clear"/>
        <w:jc w:val="both"/>
        <w:rPr>
          <w:color w:val="auto"/>
          <w:sz w:val="72"/>
          <w:szCs w:val="72"/>
          <w:highlight w:val="none"/>
        </w:rPr>
      </w:pPr>
    </w:p>
    <w:p>
      <w:pPr>
        <w:pStyle w:val="10"/>
        <w:shd w:val="clear"/>
        <w:jc w:val="both"/>
        <w:rPr>
          <w:color w:val="auto"/>
          <w:sz w:val="72"/>
          <w:szCs w:val="72"/>
          <w:highlight w:val="none"/>
        </w:rPr>
      </w:pPr>
    </w:p>
    <w:p>
      <w:pPr>
        <w:pStyle w:val="10"/>
        <w:shd w:val="clear"/>
        <w:jc w:val="center"/>
        <w:rPr>
          <w:color w:val="auto"/>
          <w:sz w:val="72"/>
          <w:szCs w:val="72"/>
          <w:highlight w:val="none"/>
        </w:rPr>
      </w:pPr>
      <w:r>
        <w:rPr>
          <w:rFonts w:hint="eastAsia"/>
          <w:color w:val="auto"/>
          <w:sz w:val="72"/>
          <w:szCs w:val="72"/>
          <w:highlight w:val="none"/>
        </w:rPr>
        <w:t>第四部分</w:t>
      </w:r>
    </w:p>
    <w:p>
      <w:pPr>
        <w:shd w:val="clear"/>
        <w:jc w:val="center"/>
        <w:rPr>
          <w:rFonts w:ascii="黑体" w:eastAsia="黑体" w:cs="黑体"/>
          <w:color w:val="auto"/>
          <w:kern w:val="0"/>
          <w:sz w:val="70"/>
          <w:szCs w:val="70"/>
          <w:highlight w:val="none"/>
        </w:rPr>
      </w:pPr>
    </w:p>
    <w:p>
      <w:pPr>
        <w:shd w:val="clear"/>
        <w:jc w:val="center"/>
        <w:rPr>
          <w:rFonts w:ascii="黑体" w:eastAsia="黑体" w:cs="黑体"/>
          <w:color w:val="auto"/>
          <w:kern w:val="0"/>
          <w:sz w:val="70"/>
          <w:szCs w:val="70"/>
          <w:highlight w:val="none"/>
        </w:rPr>
      </w:pPr>
      <w:r>
        <w:rPr>
          <w:rFonts w:hint="eastAsia" w:ascii="黑体" w:eastAsia="黑体" w:cs="黑体"/>
          <w:color w:val="auto"/>
          <w:kern w:val="0"/>
          <w:sz w:val="70"/>
          <w:szCs w:val="70"/>
          <w:highlight w:val="none"/>
        </w:rPr>
        <w:t>名词解释</w:t>
      </w:r>
    </w:p>
    <w:p>
      <w:pPr>
        <w:widowControl/>
        <w:shd w:val="clear"/>
        <w:jc w:val="left"/>
        <w:rPr>
          <w:rFonts w:ascii="黑体" w:eastAsia="黑体" w:cs="黑体"/>
          <w:color w:val="auto"/>
          <w:kern w:val="0"/>
          <w:sz w:val="70"/>
          <w:szCs w:val="70"/>
          <w:highlight w:val="none"/>
        </w:rPr>
      </w:pPr>
      <w:r>
        <w:rPr>
          <w:rFonts w:ascii="黑体" w:eastAsia="黑体" w:cs="黑体"/>
          <w:color w:val="auto"/>
          <w:kern w:val="0"/>
          <w:sz w:val="70"/>
          <w:szCs w:val="70"/>
          <w:highlight w:val="none"/>
        </w:rPr>
        <w:br w:type="page"/>
      </w:r>
    </w:p>
    <w:p>
      <w:pPr>
        <w:shd w:val="clear"/>
        <w:ind w:firstLine="640" w:firstLineChars="200"/>
        <w:jc w:val="left"/>
        <w:rPr>
          <w:rFonts w:cs="黑体" w:asciiTheme="minorEastAsia" w:hAnsiTheme="minorEastAsia"/>
          <w:color w:val="auto"/>
          <w:kern w:val="0"/>
          <w:sz w:val="32"/>
          <w:szCs w:val="32"/>
          <w:highlight w:val="none"/>
        </w:rPr>
      </w:pPr>
    </w:p>
    <w:p>
      <w:pPr>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一、“三公”经费：指用财政拨款安排的因公出国（境）费、公务用车购置及运行费和公务接待费。其中，因公出国（境）费反映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pPr>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二、机关运行经费，是指各部门的公用经费，包括办公及印刷费、邮电费、差旅费、会议费、福利费、日常维修费、专用材料及一般设备购置费、办公用房水电费、办公用房取暖费、办公用房物业管理费、公务用车运行维护费以及其他费用。</w:t>
      </w:r>
    </w:p>
    <w:p>
      <w:pPr>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三、财政拨款收入：指本级财政当年拨付的资金。</w:t>
      </w:r>
    </w:p>
    <w:p>
      <w:pPr>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四、其他收入：指除上述“财政拨款收入”、“上级补助收入”、“事业收入”、“经营收入”、“附属单位上缴收入”等以外的收入。</w:t>
      </w:r>
    </w:p>
    <w:p>
      <w:pPr>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五、基本支出：指保障机构正常运转、完成支日常工作任务而发生的人员支出和公用支出。</w:t>
      </w:r>
    </w:p>
    <w:p>
      <w:pPr>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六、项目支出：指在基本支出之外为完成特定行政任务和事业发展目标所发生的支出。</w:t>
      </w:r>
    </w:p>
    <w:p>
      <w:pPr>
        <w:pStyle w:val="10"/>
        <w:ind w:firstLine="640"/>
        <w:rPr>
          <w:rFonts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七、会议费：反映会议中按规定开支的住宿费、伙食费、会议室租金、交通费、文件印刷费、医药费等。</w:t>
      </w:r>
    </w:p>
    <w:p>
      <w:pPr>
        <w:pStyle w:val="10"/>
        <w:shd w:val="clear"/>
        <w:jc w:val="center"/>
        <w:rPr>
          <w:color w:val="auto"/>
          <w:sz w:val="72"/>
          <w:szCs w:val="72"/>
          <w:highlight w:val="none"/>
        </w:rPr>
      </w:pPr>
      <w:r>
        <w:rPr>
          <w:rFonts w:hint="eastAsia" w:asciiTheme="minorEastAsia" w:hAnsiTheme="minorEastAsia" w:eastAsiaTheme="minorEastAsia" w:cstheme="minorEastAsia"/>
          <w:color w:val="auto"/>
          <w:sz w:val="32"/>
          <w:szCs w:val="32"/>
          <w:highlight w:val="none"/>
        </w:rPr>
        <w:t>八、培训费：反映除因公出国（境）培训费以外的各类培训支出。</w:t>
      </w:r>
    </w:p>
    <w:p>
      <w:pPr>
        <w:pStyle w:val="10"/>
        <w:shd w:val="clear"/>
        <w:jc w:val="center"/>
        <w:rPr>
          <w:color w:val="auto"/>
          <w:sz w:val="72"/>
          <w:szCs w:val="72"/>
          <w:highlight w:val="none"/>
        </w:rPr>
      </w:pPr>
    </w:p>
    <w:p>
      <w:pPr>
        <w:pStyle w:val="10"/>
        <w:shd w:val="clear"/>
        <w:jc w:val="center"/>
        <w:rPr>
          <w:color w:val="auto"/>
          <w:sz w:val="72"/>
          <w:szCs w:val="72"/>
          <w:highlight w:val="none"/>
        </w:rPr>
      </w:pPr>
    </w:p>
    <w:p>
      <w:pPr>
        <w:pStyle w:val="10"/>
        <w:shd w:val="clear"/>
        <w:jc w:val="center"/>
        <w:rPr>
          <w:color w:val="auto"/>
          <w:sz w:val="72"/>
          <w:szCs w:val="72"/>
          <w:highlight w:val="none"/>
        </w:rPr>
      </w:pPr>
    </w:p>
    <w:p>
      <w:pPr>
        <w:pStyle w:val="10"/>
        <w:shd w:val="clear"/>
        <w:jc w:val="center"/>
        <w:rPr>
          <w:color w:val="auto"/>
          <w:sz w:val="72"/>
          <w:szCs w:val="72"/>
          <w:highlight w:val="none"/>
        </w:rPr>
      </w:pPr>
    </w:p>
    <w:p>
      <w:pPr>
        <w:pStyle w:val="10"/>
        <w:shd w:val="clear"/>
        <w:jc w:val="center"/>
        <w:rPr>
          <w:color w:val="auto"/>
          <w:sz w:val="72"/>
          <w:szCs w:val="72"/>
          <w:highlight w:val="none"/>
        </w:rPr>
      </w:pPr>
      <w:r>
        <w:rPr>
          <w:rFonts w:hint="eastAsia"/>
          <w:color w:val="auto"/>
          <w:sz w:val="72"/>
          <w:szCs w:val="72"/>
          <w:highlight w:val="none"/>
        </w:rPr>
        <w:t>第五部分</w:t>
      </w:r>
    </w:p>
    <w:p>
      <w:pPr>
        <w:shd w:val="clear"/>
        <w:jc w:val="center"/>
        <w:rPr>
          <w:rFonts w:ascii="黑体" w:eastAsia="黑体" w:cs="黑体"/>
          <w:color w:val="auto"/>
          <w:kern w:val="0"/>
          <w:sz w:val="70"/>
          <w:szCs w:val="70"/>
          <w:highlight w:val="none"/>
        </w:rPr>
      </w:pPr>
    </w:p>
    <w:p>
      <w:pPr>
        <w:shd w:val="clear"/>
        <w:jc w:val="center"/>
        <w:rPr>
          <w:rFonts w:cs="黑体" w:asciiTheme="minorEastAsia" w:hAnsiTheme="minorEastAsia"/>
          <w:color w:val="auto"/>
          <w:kern w:val="0"/>
          <w:sz w:val="32"/>
          <w:szCs w:val="32"/>
          <w:highlight w:val="green"/>
        </w:rPr>
      </w:pPr>
      <w:r>
        <w:rPr>
          <w:rFonts w:hint="eastAsia" w:ascii="黑体" w:eastAsia="黑体" w:cs="黑体"/>
          <w:color w:val="auto"/>
          <w:kern w:val="0"/>
          <w:sz w:val="70"/>
          <w:szCs w:val="70"/>
          <w:highlight w:val="none"/>
        </w:rPr>
        <w:t>附件</w:t>
      </w: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UzZTIxMmY2M2ViYmM2M2E1M2EwZmU2MjkwZmU0YTIifQ=="/>
  </w:docVars>
  <w:rsids>
    <w:rsidRoot w:val="00172A27"/>
    <w:rsid w:val="00001A8B"/>
    <w:rsid w:val="0002229B"/>
    <w:rsid w:val="00024868"/>
    <w:rsid w:val="000273BD"/>
    <w:rsid w:val="0003358A"/>
    <w:rsid w:val="00033EA1"/>
    <w:rsid w:val="000343D7"/>
    <w:rsid w:val="000415B7"/>
    <w:rsid w:val="00041E3F"/>
    <w:rsid w:val="00055DAA"/>
    <w:rsid w:val="00061F7B"/>
    <w:rsid w:val="000658A3"/>
    <w:rsid w:val="00074155"/>
    <w:rsid w:val="000873EF"/>
    <w:rsid w:val="000942DB"/>
    <w:rsid w:val="000A3F69"/>
    <w:rsid w:val="000B2E5E"/>
    <w:rsid w:val="000F24D6"/>
    <w:rsid w:val="00103957"/>
    <w:rsid w:val="00116512"/>
    <w:rsid w:val="00124A1F"/>
    <w:rsid w:val="00132739"/>
    <w:rsid w:val="00152C6D"/>
    <w:rsid w:val="00162D39"/>
    <w:rsid w:val="001652F2"/>
    <w:rsid w:val="001678BD"/>
    <w:rsid w:val="00172A27"/>
    <w:rsid w:val="00180381"/>
    <w:rsid w:val="00182373"/>
    <w:rsid w:val="001A4DDF"/>
    <w:rsid w:val="001A67DB"/>
    <w:rsid w:val="001B3A4F"/>
    <w:rsid w:val="001C3C29"/>
    <w:rsid w:val="001C5D8D"/>
    <w:rsid w:val="001D51E5"/>
    <w:rsid w:val="001E080D"/>
    <w:rsid w:val="001E53D0"/>
    <w:rsid w:val="001F0C3B"/>
    <w:rsid w:val="00202C14"/>
    <w:rsid w:val="00202C82"/>
    <w:rsid w:val="0021201D"/>
    <w:rsid w:val="00214427"/>
    <w:rsid w:val="00226CB7"/>
    <w:rsid w:val="00250A29"/>
    <w:rsid w:val="00252BA4"/>
    <w:rsid w:val="00264552"/>
    <w:rsid w:val="00264EF9"/>
    <w:rsid w:val="00265724"/>
    <w:rsid w:val="0027426B"/>
    <w:rsid w:val="00294B20"/>
    <w:rsid w:val="002D39DB"/>
    <w:rsid w:val="002D4C81"/>
    <w:rsid w:val="002E0A30"/>
    <w:rsid w:val="002F33B3"/>
    <w:rsid w:val="003130C4"/>
    <w:rsid w:val="00316C4B"/>
    <w:rsid w:val="0032192B"/>
    <w:rsid w:val="003240A9"/>
    <w:rsid w:val="00325798"/>
    <w:rsid w:val="0033649D"/>
    <w:rsid w:val="003479BD"/>
    <w:rsid w:val="00370008"/>
    <w:rsid w:val="0037197D"/>
    <w:rsid w:val="003768D5"/>
    <w:rsid w:val="00382BD4"/>
    <w:rsid w:val="003C4197"/>
    <w:rsid w:val="003C47E6"/>
    <w:rsid w:val="003C4FC2"/>
    <w:rsid w:val="003D2724"/>
    <w:rsid w:val="003E2331"/>
    <w:rsid w:val="003E3D84"/>
    <w:rsid w:val="00416E61"/>
    <w:rsid w:val="0042790C"/>
    <w:rsid w:val="004506F9"/>
    <w:rsid w:val="004717A2"/>
    <w:rsid w:val="00472D3A"/>
    <w:rsid w:val="00473DF3"/>
    <w:rsid w:val="00487911"/>
    <w:rsid w:val="00491741"/>
    <w:rsid w:val="00494018"/>
    <w:rsid w:val="004A2C25"/>
    <w:rsid w:val="004B0CEE"/>
    <w:rsid w:val="004B6F3C"/>
    <w:rsid w:val="004B7A2B"/>
    <w:rsid w:val="004E1DF7"/>
    <w:rsid w:val="004E4AC4"/>
    <w:rsid w:val="00500E5F"/>
    <w:rsid w:val="005122EF"/>
    <w:rsid w:val="00513175"/>
    <w:rsid w:val="0051441A"/>
    <w:rsid w:val="0051735E"/>
    <w:rsid w:val="00517C33"/>
    <w:rsid w:val="00517D5F"/>
    <w:rsid w:val="00521AF2"/>
    <w:rsid w:val="00523644"/>
    <w:rsid w:val="005312E4"/>
    <w:rsid w:val="005330C9"/>
    <w:rsid w:val="0054069E"/>
    <w:rsid w:val="00544866"/>
    <w:rsid w:val="005767CC"/>
    <w:rsid w:val="00590D9F"/>
    <w:rsid w:val="00595D26"/>
    <w:rsid w:val="00597842"/>
    <w:rsid w:val="005A0ABD"/>
    <w:rsid w:val="005A74E6"/>
    <w:rsid w:val="005B3913"/>
    <w:rsid w:val="005B404E"/>
    <w:rsid w:val="005D4D55"/>
    <w:rsid w:val="005E2CFB"/>
    <w:rsid w:val="005F2103"/>
    <w:rsid w:val="005F3D1C"/>
    <w:rsid w:val="00614A3D"/>
    <w:rsid w:val="0062378F"/>
    <w:rsid w:val="00623CAC"/>
    <w:rsid w:val="00641842"/>
    <w:rsid w:val="00650831"/>
    <w:rsid w:val="00651EEC"/>
    <w:rsid w:val="00686673"/>
    <w:rsid w:val="00691E8C"/>
    <w:rsid w:val="006A22C4"/>
    <w:rsid w:val="006A2336"/>
    <w:rsid w:val="006A348B"/>
    <w:rsid w:val="006A351B"/>
    <w:rsid w:val="006A460B"/>
    <w:rsid w:val="006A5ED4"/>
    <w:rsid w:val="006A6B05"/>
    <w:rsid w:val="006A7D70"/>
    <w:rsid w:val="006B0422"/>
    <w:rsid w:val="006B0576"/>
    <w:rsid w:val="006C0AF2"/>
    <w:rsid w:val="006C1B53"/>
    <w:rsid w:val="006D7730"/>
    <w:rsid w:val="006E1514"/>
    <w:rsid w:val="006E224A"/>
    <w:rsid w:val="006E5284"/>
    <w:rsid w:val="006F3EB5"/>
    <w:rsid w:val="006F7350"/>
    <w:rsid w:val="00702E34"/>
    <w:rsid w:val="00704395"/>
    <w:rsid w:val="00705354"/>
    <w:rsid w:val="00710FE7"/>
    <w:rsid w:val="00717621"/>
    <w:rsid w:val="00720FF1"/>
    <w:rsid w:val="007246DA"/>
    <w:rsid w:val="00727A53"/>
    <w:rsid w:val="00734B05"/>
    <w:rsid w:val="00763B58"/>
    <w:rsid w:val="00780378"/>
    <w:rsid w:val="00787B42"/>
    <w:rsid w:val="0079187B"/>
    <w:rsid w:val="00792F1A"/>
    <w:rsid w:val="007B3166"/>
    <w:rsid w:val="007B5B5E"/>
    <w:rsid w:val="007C4539"/>
    <w:rsid w:val="007E23F2"/>
    <w:rsid w:val="007E43F0"/>
    <w:rsid w:val="007F3657"/>
    <w:rsid w:val="007F4CC5"/>
    <w:rsid w:val="00812ED5"/>
    <w:rsid w:val="008277D9"/>
    <w:rsid w:val="008312FE"/>
    <w:rsid w:val="00836ABF"/>
    <w:rsid w:val="0084478C"/>
    <w:rsid w:val="0086638C"/>
    <w:rsid w:val="00871512"/>
    <w:rsid w:val="008A3E8D"/>
    <w:rsid w:val="008A7EBD"/>
    <w:rsid w:val="008D7221"/>
    <w:rsid w:val="008F1E6C"/>
    <w:rsid w:val="008F772D"/>
    <w:rsid w:val="009019AA"/>
    <w:rsid w:val="00916D24"/>
    <w:rsid w:val="00917348"/>
    <w:rsid w:val="009237C4"/>
    <w:rsid w:val="00944C48"/>
    <w:rsid w:val="00950252"/>
    <w:rsid w:val="00965DA8"/>
    <w:rsid w:val="00967F5D"/>
    <w:rsid w:val="009843AC"/>
    <w:rsid w:val="009A0F95"/>
    <w:rsid w:val="009B3ADF"/>
    <w:rsid w:val="009C3B52"/>
    <w:rsid w:val="009E6817"/>
    <w:rsid w:val="009E6E9A"/>
    <w:rsid w:val="00A01D2B"/>
    <w:rsid w:val="00A0739D"/>
    <w:rsid w:val="00A14A83"/>
    <w:rsid w:val="00A42218"/>
    <w:rsid w:val="00A60C5D"/>
    <w:rsid w:val="00A671C4"/>
    <w:rsid w:val="00A70249"/>
    <w:rsid w:val="00A70B02"/>
    <w:rsid w:val="00A71D9F"/>
    <w:rsid w:val="00A728DC"/>
    <w:rsid w:val="00A73917"/>
    <w:rsid w:val="00A77536"/>
    <w:rsid w:val="00A80F59"/>
    <w:rsid w:val="00A92E9F"/>
    <w:rsid w:val="00AA3205"/>
    <w:rsid w:val="00AA4917"/>
    <w:rsid w:val="00AB0EA9"/>
    <w:rsid w:val="00AF0664"/>
    <w:rsid w:val="00B0093B"/>
    <w:rsid w:val="00B068E6"/>
    <w:rsid w:val="00B07739"/>
    <w:rsid w:val="00B11EC7"/>
    <w:rsid w:val="00B3153A"/>
    <w:rsid w:val="00B33BEA"/>
    <w:rsid w:val="00B57C9F"/>
    <w:rsid w:val="00B63572"/>
    <w:rsid w:val="00B647E3"/>
    <w:rsid w:val="00B845B3"/>
    <w:rsid w:val="00B85D8B"/>
    <w:rsid w:val="00BA05AE"/>
    <w:rsid w:val="00BB4A40"/>
    <w:rsid w:val="00BD3DA9"/>
    <w:rsid w:val="00BD6C3E"/>
    <w:rsid w:val="00BE3674"/>
    <w:rsid w:val="00BF15F8"/>
    <w:rsid w:val="00C10681"/>
    <w:rsid w:val="00C3049A"/>
    <w:rsid w:val="00C31B1E"/>
    <w:rsid w:val="00C37B06"/>
    <w:rsid w:val="00C421A5"/>
    <w:rsid w:val="00C60666"/>
    <w:rsid w:val="00C6476F"/>
    <w:rsid w:val="00C77645"/>
    <w:rsid w:val="00C938F7"/>
    <w:rsid w:val="00CB3271"/>
    <w:rsid w:val="00CE04C3"/>
    <w:rsid w:val="00CE76A0"/>
    <w:rsid w:val="00D135E3"/>
    <w:rsid w:val="00D13C55"/>
    <w:rsid w:val="00D148C6"/>
    <w:rsid w:val="00D17A8A"/>
    <w:rsid w:val="00D27EFF"/>
    <w:rsid w:val="00D30778"/>
    <w:rsid w:val="00D315A9"/>
    <w:rsid w:val="00D33BEA"/>
    <w:rsid w:val="00D415BA"/>
    <w:rsid w:val="00D61274"/>
    <w:rsid w:val="00D63780"/>
    <w:rsid w:val="00D644EE"/>
    <w:rsid w:val="00D70C48"/>
    <w:rsid w:val="00D75489"/>
    <w:rsid w:val="00D9272B"/>
    <w:rsid w:val="00DA2DD9"/>
    <w:rsid w:val="00DC3A5E"/>
    <w:rsid w:val="00DC4ABB"/>
    <w:rsid w:val="00DC73EE"/>
    <w:rsid w:val="00DD06FF"/>
    <w:rsid w:val="00DD5FE9"/>
    <w:rsid w:val="00DE6377"/>
    <w:rsid w:val="00DF4139"/>
    <w:rsid w:val="00E00C7A"/>
    <w:rsid w:val="00E0131C"/>
    <w:rsid w:val="00E16568"/>
    <w:rsid w:val="00E17021"/>
    <w:rsid w:val="00E209CF"/>
    <w:rsid w:val="00E32479"/>
    <w:rsid w:val="00E32FB9"/>
    <w:rsid w:val="00E37D6C"/>
    <w:rsid w:val="00E55B68"/>
    <w:rsid w:val="00E67BE6"/>
    <w:rsid w:val="00E83EFF"/>
    <w:rsid w:val="00E86440"/>
    <w:rsid w:val="00E8683C"/>
    <w:rsid w:val="00EA1529"/>
    <w:rsid w:val="00EA2B72"/>
    <w:rsid w:val="00EA4FD2"/>
    <w:rsid w:val="00EF572B"/>
    <w:rsid w:val="00F12FE7"/>
    <w:rsid w:val="00F20FA7"/>
    <w:rsid w:val="00F32899"/>
    <w:rsid w:val="00F40980"/>
    <w:rsid w:val="00F74360"/>
    <w:rsid w:val="00F755D7"/>
    <w:rsid w:val="00FB462F"/>
    <w:rsid w:val="00FE16FA"/>
    <w:rsid w:val="00FE328A"/>
    <w:rsid w:val="00FE6269"/>
    <w:rsid w:val="00FF5CD6"/>
    <w:rsid w:val="01247A49"/>
    <w:rsid w:val="05633A58"/>
    <w:rsid w:val="06B411F0"/>
    <w:rsid w:val="080314DF"/>
    <w:rsid w:val="087403E0"/>
    <w:rsid w:val="0A4E7ED0"/>
    <w:rsid w:val="0B31639D"/>
    <w:rsid w:val="0BE56081"/>
    <w:rsid w:val="0DC11453"/>
    <w:rsid w:val="0EC53D6C"/>
    <w:rsid w:val="0FE54EA9"/>
    <w:rsid w:val="10A760C7"/>
    <w:rsid w:val="11C77A6B"/>
    <w:rsid w:val="13BE003E"/>
    <w:rsid w:val="153F7937"/>
    <w:rsid w:val="15686AC4"/>
    <w:rsid w:val="17A87124"/>
    <w:rsid w:val="1B0A532F"/>
    <w:rsid w:val="1DC1157D"/>
    <w:rsid w:val="1F961506"/>
    <w:rsid w:val="20005AA5"/>
    <w:rsid w:val="226135EE"/>
    <w:rsid w:val="266E6546"/>
    <w:rsid w:val="27DB542D"/>
    <w:rsid w:val="281443BF"/>
    <w:rsid w:val="28A9332A"/>
    <w:rsid w:val="28AF4690"/>
    <w:rsid w:val="2A363677"/>
    <w:rsid w:val="2A4B759E"/>
    <w:rsid w:val="2AF8706D"/>
    <w:rsid w:val="2C0F22F3"/>
    <w:rsid w:val="2C5030EA"/>
    <w:rsid w:val="2C5E3F58"/>
    <w:rsid w:val="2D480E41"/>
    <w:rsid w:val="2E644BAD"/>
    <w:rsid w:val="30403E11"/>
    <w:rsid w:val="33E43411"/>
    <w:rsid w:val="366364DD"/>
    <w:rsid w:val="370B6762"/>
    <w:rsid w:val="39545545"/>
    <w:rsid w:val="39C5751E"/>
    <w:rsid w:val="3AED525D"/>
    <w:rsid w:val="3B360EA9"/>
    <w:rsid w:val="3E5A023F"/>
    <w:rsid w:val="40B026A6"/>
    <w:rsid w:val="413D5B0B"/>
    <w:rsid w:val="42040C20"/>
    <w:rsid w:val="434C601F"/>
    <w:rsid w:val="43825CCD"/>
    <w:rsid w:val="45F9639D"/>
    <w:rsid w:val="466B3EE3"/>
    <w:rsid w:val="48ED43E7"/>
    <w:rsid w:val="4A1F6FFD"/>
    <w:rsid w:val="4CF92DAD"/>
    <w:rsid w:val="506645F3"/>
    <w:rsid w:val="510A17E2"/>
    <w:rsid w:val="514F3AA3"/>
    <w:rsid w:val="56B65AA7"/>
    <w:rsid w:val="593A078C"/>
    <w:rsid w:val="59A25F77"/>
    <w:rsid w:val="5BEB01D8"/>
    <w:rsid w:val="5F28512A"/>
    <w:rsid w:val="5F870BCF"/>
    <w:rsid w:val="60A907EA"/>
    <w:rsid w:val="6145544E"/>
    <w:rsid w:val="6AFD7C96"/>
    <w:rsid w:val="714D2072"/>
    <w:rsid w:val="719F71CB"/>
    <w:rsid w:val="721F581D"/>
    <w:rsid w:val="72B65B29"/>
    <w:rsid w:val="735A3B6A"/>
    <w:rsid w:val="74761067"/>
    <w:rsid w:val="74E02493"/>
    <w:rsid w:val="75F6445C"/>
    <w:rsid w:val="774A59FE"/>
    <w:rsid w:val="78354901"/>
    <w:rsid w:val="78B23EB4"/>
    <w:rsid w:val="7D275D53"/>
    <w:rsid w:val="7D724709"/>
    <w:rsid w:val="7F276D78"/>
    <w:rsid w:val="7FCD26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unhideWhenUsed/>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rPr>
      <w:sz w:val="24"/>
    </w:rPr>
  </w:style>
  <w:style w:type="character" w:customStyle="1" w:styleId="8">
    <w:name w:val="页眉 字符"/>
    <w:basedOn w:val="7"/>
    <w:link w:val="4"/>
    <w:qFormat/>
    <w:uiPriority w:val="99"/>
    <w:rPr>
      <w:sz w:val="18"/>
      <w:szCs w:val="18"/>
    </w:rPr>
  </w:style>
  <w:style w:type="character" w:customStyle="1" w:styleId="9">
    <w:name w:val="页脚 字符"/>
    <w:basedOn w:val="7"/>
    <w:link w:val="3"/>
    <w:qFormat/>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字符"/>
    <w:basedOn w:val="7"/>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480904-B2FB-4FE3-894F-42F14B17BC59}">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17</Pages>
  <Words>5926</Words>
  <Characters>6515</Characters>
  <Lines>41</Lines>
  <Paragraphs>11</Paragraphs>
  <TotalTime>1</TotalTime>
  <ScaleCrop>false</ScaleCrop>
  <LinksUpToDate>false</LinksUpToDate>
  <CharactersWithSpaces>6548</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赤湾</cp:lastModifiedBy>
  <cp:lastPrinted>2022-07-27T12:55:00Z</cp:lastPrinted>
  <dcterms:modified xsi:type="dcterms:W3CDTF">2023-04-24T03:00:48Z</dcterms:modified>
  <cp:revision>318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C02081F76A1C414C807C3137DC2EA958</vt:lpwstr>
  </property>
</Properties>
</file>