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bookmarkStart w:id="0" w:name="OLE_LINK1"/>
      <w:r>
        <w:rPr>
          <w:rFonts w:hint="eastAsia" w:eastAsia="方正小标宋简体"/>
          <w:bCs/>
          <w:sz w:val="46"/>
          <w:szCs w:val="46"/>
        </w:rPr>
        <w:t>岳阳楼区2021年度部门（单位）整体支出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left="2219" w:hanging="2219" w:hangingChars="700"/>
        <w:jc w:val="left"/>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中共岳阳市岳阳楼区委网络安全和信息化委员会办公室</w:t>
      </w:r>
      <w:bookmarkStart w:id="1" w:name="_GoBack"/>
      <w:bookmarkEnd w:id="1"/>
    </w:p>
    <w:p>
      <w:pPr>
        <w:spacing w:beforeLines="50" w:line="348" w:lineRule="auto"/>
        <w:jc w:val="left"/>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106025</w:t>
      </w:r>
    </w:p>
    <w:p>
      <w:pPr>
        <w:spacing w:beforeLines="50" w:line="348" w:lineRule="auto"/>
        <w:jc w:val="both"/>
        <w:rPr>
          <w:rFonts w:eastAsia="仿宋_GB2312"/>
          <w:sz w:val="32"/>
          <w:szCs w:val="32"/>
        </w:rPr>
      </w:pPr>
      <w:r>
        <w:rPr>
          <w:rFonts w:hint="eastAsia" w:eastAsia="仿宋_GB2312"/>
          <w:sz w:val="32"/>
          <w:szCs w:val="32"/>
        </w:rPr>
        <w:t>评价方式：部门（单位）绩效自评</w:t>
      </w:r>
    </w:p>
    <w:p>
      <w:pPr>
        <w:spacing w:beforeLines="50" w:line="348" w:lineRule="auto"/>
        <w:jc w:val="both"/>
        <w:rPr>
          <w:rFonts w:eastAsia="仿宋_GB2312"/>
          <w:sz w:val="32"/>
          <w:szCs w:val="32"/>
        </w:rPr>
      </w:pPr>
      <w:r>
        <w:rPr>
          <w:rFonts w:hint="eastAsia" w:eastAsia="仿宋_GB2312"/>
          <w:sz w:val="32"/>
          <w:szCs w:val="32"/>
        </w:rPr>
        <w:t>评价机构：部门（单位）评价组</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2022 年  5 月  9 日</w:t>
      </w:r>
    </w:p>
    <w:p>
      <w:pPr>
        <w:autoSpaceDN w:val="0"/>
        <w:jc w:val="center"/>
        <w:textAlignment w:val="center"/>
        <w:rPr>
          <w:rFonts w:eastAsia="仿宋_GB2312"/>
          <w:sz w:val="32"/>
          <w:szCs w:val="32"/>
        </w:rPr>
      </w:pPr>
      <w:r>
        <w:rPr>
          <w:rFonts w:hint="eastAsia" w:eastAsia="仿宋_GB2312"/>
          <w:sz w:val="32"/>
        </w:rPr>
        <w:t>岳阳楼区财政</w:t>
      </w:r>
      <w:r>
        <w:rPr>
          <w:rFonts w:hint="eastAsia" w:eastAsia="仿宋_GB2312"/>
          <w:sz w:val="32"/>
          <w:szCs w:val="32"/>
        </w:rPr>
        <w:t>局（制）</w:t>
      </w:r>
    </w:p>
    <w:p>
      <w:pPr>
        <w:autoSpaceDN w:val="0"/>
        <w:textAlignment w:val="center"/>
        <w:rPr>
          <w:rFonts w:eastAsia="仿宋_GB2312"/>
          <w:sz w:val="32"/>
          <w:szCs w:val="32"/>
        </w:rPr>
      </w:pP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58"/>
        <w:gridCol w:w="155"/>
        <w:gridCol w:w="1126"/>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8"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李志兵</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07308245548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4"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ign w:val="center"/>
          </w:tcPr>
          <w:p>
            <w:pPr>
              <w:autoSpaceDN w:val="0"/>
              <w:spacing w:line="320" w:lineRule="exact"/>
              <w:jc w:val="left"/>
              <w:textAlignment w:val="center"/>
              <w:rPr>
                <w:rFonts w:ascii="仿宋_GB2312" w:hAnsi="仿宋_GB2312" w:eastAsia="仿宋_GB2312" w:cs="仿宋_GB2312"/>
                <w:color w:val="000000"/>
                <w:sz w:val="20"/>
                <w:szCs w:val="20"/>
              </w:rPr>
            </w:pPr>
            <w:r>
              <w:rPr>
                <w:rFonts w:hint="eastAsia" w:ascii="仿宋_GB2312" w:hAnsi="宋体" w:eastAsia="仿宋_GB2312" w:cs="仿宋_GB2312"/>
                <w:color w:val="000000"/>
                <w:sz w:val="20"/>
                <w:szCs w:val="20"/>
              </w:rPr>
              <w:t>贯彻落实中央关于网络安全和信息化工作的方针政策和决策部署，全面落实省委、市委和区委、区政府关于网信工作的部署要求。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2"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ign w:val="center"/>
          </w:tcPr>
          <w:p>
            <w:pPr>
              <w:widowControl/>
              <w:spacing w:line="240" w:lineRule="atLeast"/>
              <w:rPr>
                <w:rFonts w:ascii="Times New Roman" w:hAnsi="Times New Roman" w:eastAsia="仿宋_GB2312"/>
                <w:kern w:val="0"/>
                <w:sz w:val="20"/>
                <w:szCs w:val="20"/>
              </w:rPr>
            </w:pPr>
            <w:r>
              <w:rPr>
                <w:rFonts w:hint="eastAsia" w:ascii="仿宋_GB2312" w:hAnsi="宋体" w:eastAsia="仿宋_GB2312" w:cs="仿宋_GB2312"/>
                <w:color w:val="000000"/>
                <w:kern w:val="0"/>
                <w:sz w:val="20"/>
                <w:szCs w:val="20"/>
              </w:rPr>
              <w:t>1、统筹协调组织开展全区互联网宣传管理和舆论引导工作，运营好“今日楼区微博”、“岳阳楼新闻网”、“掌上岳阳楼区”等两微一端平台。</w:t>
            </w:r>
          </w:p>
          <w:p>
            <w:pPr>
              <w:widowControl/>
              <w:spacing w:line="240" w:lineRule="atLeast"/>
              <w:rPr>
                <w:rFonts w:ascii="Times New Roman" w:hAnsi="Times New Roman" w:eastAsia="仿宋_GB2312"/>
                <w:kern w:val="0"/>
                <w:sz w:val="20"/>
                <w:szCs w:val="20"/>
              </w:rPr>
            </w:pPr>
            <w:r>
              <w:rPr>
                <w:rFonts w:hint="eastAsia" w:ascii="仿宋_GB2312" w:hAnsi="宋体" w:eastAsia="仿宋_GB2312" w:cs="仿宋_GB2312"/>
                <w:color w:val="000000"/>
                <w:kern w:val="0"/>
                <w:sz w:val="20"/>
                <w:szCs w:val="20"/>
              </w:rPr>
              <w:t>2、指导协调全区网络舆情监测、预警、报告和处置，实现全区网络舆情平稳可控。</w:t>
            </w:r>
          </w:p>
          <w:p>
            <w:pPr>
              <w:widowControl/>
              <w:spacing w:line="240" w:lineRule="atLeast"/>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3、统筹全区网络社会工作，组织开展网友活动。</w:t>
            </w:r>
          </w:p>
          <w:p>
            <w:pPr>
              <w:widowControl/>
              <w:spacing w:line="240" w:lineRule="atLeast"/>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4、组织开展“网络安全宣传周”活动，开展网络安全培训。</w:t>
            </w:r>
          </w:p>
          <w:p>
            <w:pPr>
              <w:autoSpaceDN w:val="0"/>
              <w:spacing w:line="320" w:lineRule="exact"/>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5、开展全区关键信息基础设施安全检测，保障网络安全。</w:t>
            </w:r>
          </w:p>
          <w:p>
            <w:pPr>
              <w:autoSpaceDN w:val="0"/>
              <w:spacing w:line="320" w:lineRule="exact"/>
              <w:jc w:val="left"/>
              <w:textAlignment w:val="center"/>
              <w:rPr>
                <w:rFonts w:ascii="仿宋_GB2312" w:eastAsia="仿宋_GB2312"/>
                <w:sz w:val="20"/>
                <w:szCs w:val="20"/>
              </w:rPr>
            </w:pPr>
            <w:r>
              <w:rPr>
                <w:rFonts w:hint="eastAsia" w:ascii="仿宋_GB2312" w:hAnsi="宋体" w:eastAsia="仿宋_GB2312" w:cs="仿宋_GB2312"/>
                <w:color w:val="000000"/>
                <w:sz w:val="20"/>
                <w:szCs w:val="20"/>
              </w:rPr>
              <w:t>6、</w:t>
            </w:r>
            <w:r>
              <w:rPr>
                <w:rFonts w:hint="eastAsia" w:ascii="仿宋_GB2312" w:eastAsia="仿宋_GB2312"/>
                <w:sz w:val="20"/>
                <w:szCs w:val="20"/>
              </w:rPr>
              <w:t>网络文明（安全）示范社区”创建</w:t>
            </w:r>
          </w:p>
          <w:p>
            <w:pPr>
              <w:autoSpaceDN w:val="0"/>
              <w:spacing w:line="320" w:lineRule="exact"/>
              <w:jc w:val="left"/>
              <w:textAlignment w:val="center"/>
              <w:rPr>
                <w:rFonts w:ascii="仿宋_GB2312" w:eastAsia="仿宋_GB2312"/>
                <w:sz w:val="22"/>
              </w:rPr>
            </w:pPr>
            <w:r>
              <w:rPr>
                <w:rFonts w:hint="eastAsia" w:ascii="仿宋_GB2312" w:eastAsia="仿宋_GB2312"/>
                <w:sz w:val="20"/>
                <w:szCs w:val="20"/>
              </w:rPr>
              <w:t>7.组织召开了全区网络综合治理体系建设工作推进会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4"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ign w:val="center"/>
          </w:tcPr>
          <w:p>
            <w:pPr>
              <w:autoSpaceDN w:val="0"/>
              <w:spacing w:line="32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全面落实党委（党组）网络意识形态工作责任制和网络安全工作责任制，着力抓好网上宣传引导、网络意识形态、网络舆情管控、网络综合治理、网络安全和信息化等各项工作。2021年度获得全省网络综合治理工作、全市网络宣传评论工作、网络舆情工作和网络安全工作等五项先进集体荣誉</w:t>
            </w:r>
            <w:r>
              <w:rPr>
                <w:rFonts w:hint="eastAsia" w:ascii="仿宋_GB2312" w:hAnsi="宋体" w:eastAsia="仿宋_GB2312" w:cs="仿宋_GB2312"/>
                <w:color w:val="00000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499"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81"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499"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81"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499"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区委网信办</w:t>
            </w:r>
          </w:p>
        </w:tc>
        <w:tc>
          <w:tcPr>
            <w:tcW w:w="1281" w:type="dxa"/>
            <w:gridSpan w:val="2"/>
            <w:tcBorders>
              <w:right w:val="single" w:color="auto" w:sz="4" w:space="0"/>
            </w:tcBorders>
            <w:noWrap/>
            <w:vAlign w:val="center"/>
          </w:tcPr>
          <w:p>
            <w:pPr>
              <w:autoSpaceDN w:val="0"/>
              <w:spacing w:line="320" w:lineRule="exact"/>
              <w:ind w:firstLine="120" w:firstLineChars="5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297.36</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297.36</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ind w:firstLine="120" w:firstLineChars="5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499" w:type="dxa"/>
            <w:gridSpan w:val="2"/>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81"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499" w:type="dxa"/>
            <w:gridSpan w:val="2"/>
            <w:vMerge w:val="continue"/>
            <w:noWrap/>
            <w:vAlign w:val="center"/>
          </w:tcPr>
          <w:p>
            <w:pPr>
              <w:spacing w:line="320" w:lineRule="exact"/>
              <w:jc w:val="center"/>
              <w:rPr>
                <w:rFonts w:ascii="仿宋_GB2312" w:hAnsi="仿宋_GB2312" w:eastAsia="仿宋_GB2312" w:cs="仿宋_GB2312"/>
                <w:sz w:val="24"/>
              </w:rPr>
            </w:pPr>
          </w:p>
        </w:tc>
        <w:tc>
          <w:tcPr>
            <w:tcW w:w="1281"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499" w:type="dxa"/>
            <w:gridSpan w:val="2"/>
            <w:vMerge w:val="continue"/>
            <w:noWrap/>
            <w:vAlign w:val="center"/>
          </w:tcPr>
          <w:p>
            <w:pPr>
              <w:spacing w:line="320" w:lineRule="exact"/>
              <w:jc w:val="center"/>
              <w:rPr>
                <w:rFonts w:ascii="仿宋_GB2312" w:hAnsi="仿宋_GB2312" w:eastAsia="仿宋_GB2312" w:cs="仿宋_GB2312"/>
                <w:sz w:val="24"/>
              </w:rPr>
            </w:pPr>
          </w:p>
        </w:tc>
        <w:tc>
          <w:tcPr>
            <w:tcW w:w="1281"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499" w:type="dxa"/>
            <w:gridSpan w:val="2"/>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区委网信办</w:t>
            </w:r>
          </w:p>
        </w:tc>
        <w:tc>
          <w:tcPr>
            <w:tcW w:w="1281"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297.36</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297.36</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122.51</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174.85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499"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81"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3" w:hRule="atLeast"/>
          <w:jc w:val="center"/>
        </w:trPr>
        <w:tc>
          <w:tcPr>
            <w:tcW w:w="1499" w:type="dxa"/>
            <w:gridSpan w:val="2"/>
            <w:vMerge w:val="continue"/>
            <w:noWrap/>
            <w:vAlign w:val="center"/>
          </w:tcPr>
          <w:p>
            <w:pPr>
              <w:spacing w:line="320" w:lineRule="exact"/>
              <w:jc w:val="center"/>
              <w:rPr>
                <w:rFonts w:ascii="仿宋_GB2312" w:hAnsi="仿宋_GB2312" w:eastAsia="仿宋_GB2312" w:cs="仿宋_GB2312"/>
                <w:sz w:val="24"/>
              </w:rPr>
            </w:pPr>
          </w:p>
        </w:tc>
        <w:tc>
          <w:tcPr>
            <w:tcW w:w="1281"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7" w:hRule="atLeast"/>
          <w:jc w:val="center"/>
        </w:trPr>
        <w:tc>
          <w:tcPr>
            <w:tcW w:w="1499" w:type="dxa"/>
            <w:gridSpan w:val="2"/>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区委网信办</w:t>
            </w:r>
          </w:p>
        </w:tc>
        <w:tc>
          <w:tcPr>
            <w:tcW w:w="1281" w:type="dxa"/>
            <w:gridSpan w:val="2"/>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9" w:hRule="atLeast"/>
          <w:jc w:val="center"/>
        </w:trPr>
        <w:tc>
          <w:tcPr>
            <w:tcW w:w="1499"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81" w:type="dxa"/>
            <w:gridSpan w:val="2"/>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499" w:type="dxa"/>
            <w:gridSpan w:val="2"/>
            <w:vMerge w:val="continue"/>
            <w:noWrap/>
            <w:vAlign w:val="center"/>
          </w:tcPr>
          <w:p>
            <w:pPr>
              <w:spacing w:line="320" w:lineRule="exact"/>
              <w:jc w:val="center"/>
              <w:rPr>
                <w:rFonts w:ascii="仿宋_GB2312" w:hAnsi="仿宋_GB2312" w:eastAsia="仿宋_GB2312" w:cs="仿宋_GB2312"/>
                <w:sz w:val="24"/>
              </w:rPr>
            </w:pPr>
          </w:p>
        </w:tc>
        <w:tc>
          <w:tcPr>
            <w:tcW w:w="1281" w:type="dxa"/>
            <w:gridSpan w:val="2"/>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3" w:hRule="atLeast"/>
          <w:jc w:val="center"/>
        </w:trPr>
        <w:tc>
          <w:tcPr>
            <w:tcW w:w="1499" w:type="dxa"/>
            <w:gridSpan w:val="2"/>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区委网信办</w:t>
            </w:r>
          </w:p>
        </w:tc>
        <w:tc>
          <w:tcPr>
            <w:tcW w:w="1281" w:type="dxa"/>
            <w:gridSpan w:val="2"/>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23.90</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23.90</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目标1：</w:t>
            </w:r>
            <w:r>
              <w:rPr>
                <w:rFonts w:hint="eastAsia" w:ascii="仿宋_GB2312" w:hAnsi="宋体" w:eastAsia="仿宋_GB2312"/>
                <w:sz w:val="18"/>
                <w:szCs w:val="18"/>
              </w:rPr>
              <w:t>大担当推进，全区网信工作有责有为</w:t>
            </w:r>
          </w:p>
          <w:p>
            <w:pPr>
              <w:autoSpaceDN w:val="0"/>
              <w:spacing w:line="32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目标2：</w:t>
            </w:r>
            <w:r>
              <w:rPr>
                <w:rFonts w:hint="eastAsia" w:ascii="仿宋_GB2312" w:hAnsi="宋体" w:eastAsia="仿宋_GB2312"/>
                <w:sz w:val="18"/>
                <w:szCs w:val="18"/>
              </w:rPr>
              <w:t>大格局谋划，网络正面宣传有质有量</w:t>
            </w:r>
          </w:p>
          <w:p>
            <w:pPr>
              <w:autoSpaceDN w:val="0"/>
              <w:spacing w:line="320" w:lineRule="exact"/>
              <w:jc w:val="left"/>
              <w:textAlignment w:val="center"/>
              <w:rPr>
                <w:rFonts w:ascii="仿宋_GB2312" w:hAnsi="宋体" w:eastAsia="仿宋_GB2312"/>
                <w:sz w:val="18"/>
                <w:szCs w:val="18"/>
              </w:rPr>
            </w:pPr>
            <w:r>
              <w:rPr>
                <w:rFonts w:hint="eastAsia" w:ascii="仿宋_GB2312" w:hAnsi="宋体" w:eastAsia="仿宋_GB2312" w:cs="仿宋_GB2312"/>
                <w:color w:val="000000"/>
                <w:sz w:val="18"/>
                <w:szCs w:val="18"/>
              </w:rPr>
              <w:t>目标3：</w:t>
            </w:r>
            <w:r>
              <w:rPr>
                <w:rFonts w:hint="eastAsia" w:ascii="仿宋_GB2312" w:hAnsi="宋体" w:eastAsia="仿宋_GB2312"/>
                <w:sz w:val="18"/>
                <w:szCs w:val="18"/>
              </w:rPr>
              <w:t>大范围统筹，网络舆情处置有力有效</w:t>
            </w:r>
          </w:p>
          <w:p>
            <w:pPr>
              <w:autoSpaceDN w:val="0"/>
              <w:spacing w:line="320" w:lineRule="exact"/>
              <w:jc w:val="left"/>
              <w:textAlignment w:val="center"/>
              <w:rPr>
                <w:rFonts w:ascii="仿宋_GB2312" w:hAnsi="宋体" w:eastAsia="仿宋_GB2312"/>
                <w:sz w:val="18"/>
                <w:szCs w:val="18"/>
              </w:rPr>
            </w:pPr>
            <w:r>
              <w:rPr>
                <w:rFonts w:hint="eastAsia" w:ascii="仿宋_GB2312" w:hAnsi="宋体" w:eastAsia="仿宋_GB2312" w:cs="仿宋_GB2312"/>
                <w:color w:val="000000"/>
                <w:sz w:val="18"/>
                <w:szCs w:val="18"/>
              </w:rPr>
              <w:t>目标4：</w:t>
            </w:r>
            <w:r>
              <w:rPr>
                <w:rFonts w:hint="eastAsia" w:ascii="仿宋_GB2312" w:hAnsi="宋体" w:eastAsia="仿宋_GB2312"/>
                <w:sz w:val="18"/>
                <w:szCs w:val="18"/>
              </w:rPr>
              <w:t>大力度管控，网络空间治理有章有法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sz w:val="18"/>
                <w:szCs w:val="18"/>
              </w:rPr>
              <w:t>目标5：</w:t>
            </w:r>
            <w:r>
              <w:rPr>
                <w:rFonts w:hint="eastAsia" w:ascii="仿宋_GB2312" w:hAnsi="宋体" w:eastAsia="仿宋_GB2312"/>
                <w:sz w:val="18"/>
                <w:szCs w:val="18"/>
              </w:rPr>
              <w:t>大手笔创新，网络安全保障有声有色</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0"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指标1：舆情监测、处置、回复率；舆情处置协调程度、良好的网络舆论氛围；</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Times New Roman" w:hAnsi="Times New Roman" w:eastAsia="仿宋_GB2312"/>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指标1：加强互联网工作群组、政务做好网络正面宣传和舆论引导工作网站和政务新媒体等网络阵地监管;落实关键信息基础设施网络安全保障</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Times New Roman" w:hAnsi="Times New Roman" w:eastAsia="仿宋_GB2312"/>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指标2：落实好网络意识形态工作责任制；国家网络安全宣传周活动</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Times New Roman" w:hAnsi="Times New Roman" w:eastAsia="仿宋_GB2312"/>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widowControl/>
              <w:spacing w:line="320" w:lineRule="exact"/>
              <w:rPr>
                <w:rFonts w:ascii="Times New Roman" w:hAnsi="Times New Roman" w:eastAsia="仿宋_GB2312"/>
                <w:kern w:val="0"/>
                <w:sz w:val="18"/>
                <w:szCs w:val="18"/>
              </w:rPr>
            </w:pPr>
            <w:r>
              <w:rPr>
                <w:rFonts w:hint="eastAsia" w:ascii="仿宋_GB2312" w:hAnsi="仿宋_GB2312" w:eastAsia="仿宋_GB2312" w:cs="仿宋_GB2312"/>
                <w:color w:val="000000"/>
                <w:sz w:val="18"/>
                <w:szCs w:val="18"/>
              </w:rPr>
              <w:t>指标1：</w:t>
            </w:r>
            <w:r>
              <w:rPr>
                <w:rFonts w:ascii="Times New Roman" w:hAnsi="Times New Roman" w:eastAsia="仿宋_GB2312"/>
                <w:kern w:val="0"/>
                <w:sz w:val="18"/>
                <w:szCs w:val="18"/>
              </w:rPr>
              <w:t>1.</w:t>
            </w:r>
            <w:r>
              <w:rPr>
                <w:rFonts w:hint="eastAsia" w:ascii="Times New Roman" w:hAnsi="Times New Roman" w:eastAsia="仿宋_GB2312"/>
                <w:kern w:val="0"/>
                <w:sz w:val="18"/>
                <w:szCs w:val="18"/>
              </w:rPr>
              <w:t>第一时间完成涉区网络舆情处置；</w:t>
            </w:r>
          </w:p>
          <w:p>
            <w:pPr>
              <w:widowControl/>
              <w:spacing w:line="320" w:lineRule="exact"/>
              <w:rPr>
                <w:rFonts w:ascii="Times New Roman" w:hAnsi="Times New Roman" w:eastAsia="仿宋_GB2312"/>
                <w:kern w:val="0"/>
                <w:sz w:val="18"/>
                <w:szCs w:val="18"/>
              </w:rPr>
            </w:pPr>
            <w:r>
              <w:rPr>
                <w:rFonts w:ascii="Times New Roman" w:hAnsi="Times New Roman" w:eastAsia="仿宋_GB2312"/>
                <w:kern w:val="0"/>
                <w:sz w:val="18"/>
                <w:szCs w:val="18"/>
              </w:rPr>
              <w:t>2.</w:t>
            </w:r>
            <w:r>
              <w:rPr>
                <w:rFonts w:hint="eastAsia" w:ascii="Times New Roman" w:hAnsi="Times New Roman" w:eastAsia="仿宋_GB2312"/>
                <w:kern w:val="0"/>
                <w:sz w:val="18"/>
                <w:szCs w:val="18"/>
              </w:rPr>
              <w:t>第一时间协调处置网络安全事件；</w:t>
            </w:r>
          </w:p>
          <w:p>
            <w:pPr>
              <w:autoSpaceDN w:val="0"/>
              <w:spacing w:line="320" w:lineRule="exact"/>
              <w:jc w:val="left"/>
              <w:textAlignment w:val="center"/>
              <w:rPr>
                <w:rFonts w:ascii="仿宋_GB2312" w:hAnsi="仿宋_GB2312" w:eastAsia="仿宋_GB2312" w:cs="仿宋_GB2312"/>
                <w:color w:val="000000"/>
                <w:sz w:val="18"/>
                <w:szCs w:val="18"/>
              </w:rPr>
            </w:pPr>
            <w:r>
              <w:rPr>
                <w:rFonts w:ascii="Times New Roman" w:hAnsi="Times New Roman" w:eastAsia="仿宋_GB2312"/>
                <w:kern w:val="0"/>
                <w:sz w:val="18"/>
                <w:szCs w:val="18"/>
              </w:rPr>
              <w:t>3.</w:t>
            </w:r>
            <w:r>
              <w:rPr>
                <w:rFonts w:hint="eastAsia" w:ascii="Times New Roman" w:hAnsi="Times New Roman" w:eastAsia="仿宋_GB2312"/>
                <w:kern w:val="0"/>
                <w:sz w:val="18"/>
                <w:szCs w:val="18"/>
              </w:rPr>
              <w:t>第一时间完成网上宣传重大议题设置及正面宣传；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Times New Roman" w:hAnsi="Times New Roman" w:eastAsia="仿宋_GB2312"/>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指标1：三公经费控制率</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ascii="Times New Roman" w:hAnsi="Times New Roman" w:eastAsia="仿宋_GB2312"/>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指标2：宣传普级率</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ascii="Times New Roman" w:hAnsi="Times New Roman" w:eastAsia="仿宋_GB2312"/>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Times New Roman" w:hAnsi="Times New Roman" w:eastAsia="仿宋_GB2312"/>
                <w:kern w:val="0"/>
                <w:sz w:val="18"/>
                <w:szCs w:val="18"/>
              </w:rPr>
              <w:t>把牢网络舆论导向，为全区经济社会发展和社会和谐稳定营造良好的网络舆论氛围</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Times New Roman" w:hAnsi="Times New Roman" w:eastAsia="仿宋_GB2312"/>
                <w:kern w:val="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指标1：为全区经济社会发展和社会和谐稳定营造良好的网络舆论氛围；</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Times New Roman" w:hAnsi="Times New Roman" w:eastAsia="仿宋_GB2312"/>
                <w:kern w:val="0"/>
                <w:sz w:val="24"/>
                <w:szCs w:val="24"/>
                <w:lang w:val="en-US" w:eastAsia="zh-CN"/>
              </w:rPr>
              <w:t>95</w:t>
            </w:r>
            <w:r>
              <w:rPr>
                <w:rFonts w:ascii="Times New Roman" w:hAnsi="Times New Roman" w:eastAsia="仿宋_GB2312"/>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指标1：全方位营造浓厚的网络安全氛围</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指标1：满意度评价比上年提高 公众满意度不低于90%</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 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李志兵</w:t>
            </w:r>
          </w:p>
        </w:tc>
        <w:tc>
          <w:tcPr>
            <w:tcW w:w="3561"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网信办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黄小丽</w:t>
            </w:r>
          </w:p>
        </w:tc>
        <w:tc>
          <w:tcPr>
            <w:tcW w:w="3561"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网信办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何勇波</w:t>
            </w:r>
          </w:p>
        </w:tc>
        <w:tc>
          <w:tcPr>
            <w:tcW w:w="3561"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综合办公室主任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网信办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 琪</w:t>
            </w:r>
          </w:p>
        </w:tc>
        <w:tc>
          <w:tcPr>
            <w:tcW w:w="3561"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网信办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77"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82"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杨莎                         联系电话：8245548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五、评价报告综述（文字部分）</w:t>
            </w:r>
          </w:p>
          <w:p>
            <w:pPr>
              <w:pStyle w:val="4"/>
              <w:shd w:val="clear" w:color="auto" w:fill="FFFFFF"/>
              <w:spacing w:before="0" w:beforeAutospacing="0" w:after="0" w:afterAutospacing="0"/>
              <w:ind w:firstLine="1760" w:firstLineChars="400"/>
              <w:jc w:val="both"/>
              <w:rPr>
                <w:rFonts w:ascii="方正小标宋简体" w:eastAsia="方正小标宋简体" w:cs="Calibri"/>
                <w:color w:val="000000"/>
                <w:sz w:val="44"/>
                <w:szCs w:val="44"/>
              </w:rPr>
            </w:pPr>
            <w:r>
              <w:rPr>
                <w:rFonts w:hint="eastAsia" w:ascii="方正小标宋简体" w:eastAsia="方正小标宋简体" w:cs="Calibri"/>
                <w:color w:val="000000"/>
                <w:sz w:val="44"/>
                <w:szCs w:val="44"/>
              </w:rPr>
              <w:t>2021年部门整体支出绩效评价报告</w:t>
            </w:r>
          </w:p>
          <w:p>
            <w:pPr>
              <w:pStyle w:val="4"/>
              <w:shd w:val="clear" w:color="auto" w:fill="FFFFFF"/>
              <w:spacing w:before="0" w:beforeAutospacing="0" w:after="0" w:afterAutospacing="0"/>
              <w:ind w:firstLine="320" w:firstLineChars="100"/>
              <w:rPr>
                <w:rFonts w:ascii="黑体" w:hAnsi="黑体" w:eastAsia="黑体" w:cs="Calibri"/>
                <w:color w:val="000000"/>
                <w:sz w:val="32"/>
                <w:szCs w:val="32"/>
              </w:rPr>
            </w:pPr>
            <w:r>
              <w:rPr>
                <w:rFonts w:hint="eastAsia" w:ascii="黑体" w:hAnsi="黑体" w:eastAsia="黑体" w:cs="Calibri"/>
                <w:color w:val="000000"/>
                <w:sz w:val="32"/>
                <w:szCs w:val="32"/>
              </w:rPr>
              <w:t>一、部门（单位）概况</w:t>
            </w:r>
          </w:p>
          <w:p>
            <w:pPr>
              <w:pStyle w:val="4"/>
              <w:shd w:val="clear" w:color="auto" w:fill="FFFFFF"/>
              <w:spacing w:before="0" w:beforeAutospacing="0" w:after="0" w:afterAutospacing="0"/>
              <w:ind w:firstLine="643" w:firstLineChars="200"/>
              <w:rPr>
                <w:rFonts w:ascii="仿宋_GB2312" w:eastAsia="仿宋_GB2312" w:cs="Calibri"/>
                <w:b/>
                <w:color w:val="000000"/>
                <w:sz w:val="32"/>
                <w:szCs w:val="32"/>
              </w:rPr>
            </w:pPr>
            <w:r>
              <w:rPr>
                <w:rFonts w:hint="eastAsia" w:ascii="仿宋_GB2312" w:eastAsia="仿宋_GB2312" w:cs="Calibri"/>
                <w:b/>
                <w:color w:val="000000"/>
                <w:sz w:val="32"/>
                <w:szCs w:val="32"/>
              </w:rPr>
              <w:t>1、部门（单位）基本情况</w:t>
            </w:r>
          </w:p>
          <w:p>
            <w:pPr>
              <w:pStyle w:val="4"/>
              <w:shd w:val="clear" w:color="auto" w:fill="FFFFFF"/>
              <w:spacing w:before="0" w:beforeAutospacing="0" w:after="0" w:afterAutospacing="0"/>
              <w:ind w:firstLine="640" w:firstLineChars="200"/>
              <w:rPr>
                <w:rFonts w:ascii="仿宋_GB2312" w:eastAsia="仿宋_GB2312" w:cs="Calibri"/>
                <w:color w:val="000000"/>
                <w:sz w:val="32"/>
                <w:szCs w:val="32"/>
              </w:rPr>
            </w:pPr>
            <w:r>
              <w:rPr>
                <w:rFonts w:hint="eastAsia" w:ascii="仿宋_GB2312" w:eastAsia="仿宋_GB2312" w:cs="Calibri"/>
                <w:color w:val="000000"/>
                <w:sz w:val="32"/>
                <w:szCs w:val="32"/>
              </w:rPr>
              <w:t>贯彻落实中央关于网络安全和信息化工作的方针政策和决策部署，全面落实省委、市委和区委、区政府关于网信工作的部署要求。编制人数11人，实际人数10人，其中机关本级5人、二级机构网络文化建设服务中心5人。</w:t>
            </w:r>
          </w:p>
          <w:p>
            <w:pPr>
              <w:widowControl/>
              <w:ind w:firstLine="643" w:firstLineChars="200"/>
              <w:rPr>
                <w:rFonts w:ascii="黑体" w:hAnsi="黑体" w:eastAsia="黑体" w:cs="黑体"/>
                <w:bCs/>
                <w:sz w:val="28"/>
                <w:szCs w:val="28"/>
              </w:rPr>
            </w:pPr>
            <w:r>
              <w:rPr>
                <w:rFonts w:hint="eastAsia" w:ascii="仿宋_GB2312" w:eastAsia="仿宋_GB2312" w:cs="Calibri"/>
                <w:b/>
                <w:color w:val="000000"/>
                <w:sz w:val="32"/>
                <w:szCs w:val="32"/>
              </w:rPr>
              <w:t>2、</w:t>
            </w:r>
            <w:r>
              <w:rPr>
                <w:rFonts w:hint="eastAsia" w:ascii="黑体" w:hAnsi="黑体" w:eastAsia="黑体" w:cs="黑体"/>
                <w:bCs/>
                <w:sz w:val="28"/>
                <w:szCs w:val="28"/>
              </w:rPr>
              <w:t>部门（单位）整体支出管理及使用情况</w:t>
            </w:r>
          </w:p>
          <w:p>
            <w:pPr>
              <w:ind w:firstLine="480" w:firstLineChars="150"/>
            </w:pPr>
            <w:r>
              <w:rPr>
                <w:rFonts w:hint="eastAsia" w:ascii="仿宋_GB2312" w:hAnsi="宋体" w:eastAsia="仿宋_GB2312" w:cs="Calibri"/>
                <w:color w:val="000000"/>
                <w:kern w:val="0"/>
                <w:sz w:val="32"/>
                <w:szCs w:val="32"/>
              </w:rPr>
              <w:t>全年支出297.36万元，其中人员支出</w:t>
            </w:r>
            <w:r>
              <w:rPr>
                <w:rFonts w:hint="eastAsia" w:ascii="仿宋_GB2312" w:hAnsi="宋体" w:eastAsia="仿宋_GB2312" w:cs="Calibri"/>
                <w:color w:val="000000"/>
                <w:kern w:val="0"/>
                <w:sz w:val="32"/>
                <w:szCs w:val="32"/>
                <w:lang w:val="en-US" w:eastAsia="zh-CN"/>
              </w:rPr>
              <w:t>122.51</w:t>
            </w:r>
            <w:r>
              <w:rPr>
                <w:rFonts w:hint="eastAsia" w:ascii="仿宋_GB2312" w:hAnsi="宋体" w:eastAsia="仿宋_GB2312" w:cs="Calibri"/>
                <w:color w:val="000000"/>
                <w:kern w:val="0"/>
                <w:sz w:val="32"/>
                <w:szCs w:val="32"/>
              </w:rPr>
              <w:t>万元</w:t>
            </w:r>
            <w:r>
              <w:rPr>
                <w:rFonts w:hint="eastAsia" w:ascii="仿宋_GB2312" w:hAnsi="宋体" w:eastAsia="仿宋_GB2312" w:cs="Calibri"/>
                <w:color w:val="000000"/>
                <w:kern w:val="0"/>
                <w:sz w:val="32"/>
                <w:szCs w:val="32"/>
                <w:lang w:eastAsia="zh-CN"/>
              </w:rPr>
              <w:t>：</w:t>
            </w:r>
            <w:r>
              <w:rPr>
                <w:rFonts w:hint="eastAsia" w:ascii="仿宋_GB2312" w:hAnsi="宋体" w:eastAsia="仿宋_GB2312" w:cs="Calibri"/>
                <w:color w:val="000000"/>
                <w:kern w:val="0"/>
                <w:sz w:val="32"/>
                <w:szCs w:val="32"/>
              </w:rPr>
              <w:t>主在用于人员工资及社保缴纳等；</w:t>
            </w:r>
            <w:r>
              <w:rPr>
                <w:rFonts w:hint="eastAsia" w:ascii="仿宋_GB2312" w:hAnsi="宋体" w:eastAsia="仿宋_GB2312" w:cs="Calibri"/>
                <w:color w:val="000000"/>
                <w:kern w:val="0"/>
                <w:sz w:val="32"/>
                <w:szCs w:val="32"/>
                <w:lang w:eastAsia="zh-CN"/>
              </w:rPr>
              <w:t>公用</w:t>
            </w:r>
            <w:r>
              <w:rPr>
                <w:rFonts w:hint="eastAsia" w:ascii="仿宋_GB2312" w:hAnsi="宋体" w:eastAsia="仿宋_GB2312" w:cs="Calibri"/>
                <w:color w:val="000000"/>
                <w:kern w:val="0"/>
                <w:sz w:val="32"/>
                <w:szCs w:val="32"/>
              </w:rPr>
              <w:t>支出</w:t>
            </w:r>
            <w:r>
              <w:rPr>
                <w:rFonts w:hint="eastAsia" w:ascii="仿宋_GB2312" w:hAnsi="宋体" w:eastAsia="仿宋_GB2312" w:cs="Calibri"/>
                <w:color w:val="000000"/>
                <w:kern w:val="0"/>
                <w:sz w:val="32"/>
                <w:szCs w:val="32"/>
                <w:lang w:val="en-US" w:eastAsia="zh-CN"/>
              </w:rPr>
              <w:t>174.85</w:t>
            </w:r>
            <w:r>
              <w:rPr>
                <w:rFonts w:hint="eastAsia" w:ascii="仿宋_GB2312" w:hAnsi="宋体" w:eastAsia="仿宋_GB2312" w:cs="Calibri"/>
                <w:color w:val="000000"/>
                <w:kern w:val="0"/>
                <w:sz w:val="32"/>
                <w:szCs w:val="32"/>
              </w:rPr>
              <w:t>万元</w:t>
            </w:r>
            <w:r>
              <w:rPr>
                <w:rFonts w:hint="eastAsia" w:ascii="仿宋_GB2312" w:hAnsi="宋体" w:eastAsia="仿宋_GB2312" w:cs="Calibri"/>
                <w:color w:val="000000"/>
                <w:kern w:val="0"/>
                <w:sz w:val="32"/>
                <w:szCs w:val="32"/>
                <w:lang w:eastAsia="zh-CN"/>
              </w:rPr>
              <w:t>：</w:t>
            </w:r>
            <w:r>
              <w:rPr>
                <w:rFonts w:hint="eastAsia" w:ascii="仿宋_GB2312" w:hAnsi="宋体" w:eastAsia="仿宋_GB2312" w:cs="Calibri"/>
                <w:color w:val="000000"/>
                <w:kern w:val="0"/>
                <w:sz w:val="32"/>
                <w:szCs w:val="32"/>
              </w:rPr>
              <w:t>主要用于日常办公开支、统筹协调组织开展全区互联网宣传管理和舆论引导工作，运营好“岳阳楼新闻网”、“掌上岳阳楼区”等两微一端平台，指导协调全区网络舆情监测、预警、报告和处置，组织开展网友活动等网络社会工作，组织开展“网络安全宣传周”活动，开展网络安全培训及全区关键信息基础设施安全检测。</w:t>
            </w:r>
            <w:r>
              <w:rPr>
                <w:rFonts w:ascii="仿宋_GB2312" w:eastAsia="仿宋_GB2312"/>
                <w:sz w:val="32"/>
                <w:szCs w:val="32"/>
              </w:rPr>
              <w:t>网络</w:t>
            </w:r>
            <w:r>
              <w:rPr>
                <w:rFonts w:hint="eastAsia" w:ascii="仿宋_GB2312" w:eastAsia="仿宋_GB2312"/>
                <w:sz w:val="32"/>
                <w:szCs w:val="32"/>
              </w:rPr>
              <w:t>文明（安全）</w:t>
            </w:r>
            <w:r>
              <w:rPr>
                <w:rFonts w:ascii="仿宋_GB2312" w:eastAsia="仿宋_GB2312"/>
                <w:sz w:val="32"/>
                <w:szCs w:val="32"/>
              </w:rPr>
              <w:t>示范社区</w:t>
            </w:r>
            <w:r>
              <w:rPr>
                <w:rFonts w:eastAsia="仿宋_GB2312"/>
                <w:sz w:val="32"/>
                <w:szCs w:val="32"/>
              </w:rPr>
              <w:t>”</w:t>
            </w:r>
            <w:r>
              <w:rPr>
                <w:rFonts w:ascii="仿宋_GB2312" w:eastAsia="仿宋_GB2312"/>
                <w:sz w:val="32"/>
                <w:szCs w:val="32"/>
              </w:rPr>
              <w:t>创建</w:t>
            </w:r>
            <w:r>
              <w:rPr>
                <w:rFonts w:hint="eastAsia" w:ascii="仿宋_GB2312" w:eastAsia="仿宋_GB2312"/>
                <w:sz w:val="32"/>
                <w:szCs w:val="32"/>
              </w:rPr>
              <w:t>。</w:t>
            </w:r>
          </w:p>
          <w:p>
            <w:pPr>
              <w:pStyle w:val="4"/>
              <w:shd w:val="clear" w:color="auto" w:fill="FFFFFF"/>
              <w:spacing w:before="0" w:beforeAutospacing="0" w:after="0" w:afterAutospacing="0"/>
              <w:ind w:firstLine="320" w:firstLineChars="100"/>
              <w:rPr>
                <w:rFonts w:ascii="黑体" w:hAnsi="黑体" w:eastAsia="黑体" w:cs="Calibri"/>
                <w:color w:val="000000"/>
                <w:sz w:val="32"/>
                <w:szCs w:val="32"/>
              </w:rPr>
            </w:pPr>
            <w:r>
              <w:rPr>
                <w:rFonts w:hint="eastAsia" w:ascii="黑体" w:hAnsi="黑体" w:eastAsia="黑体" w:cs="Calibri"/>
                <w:color w:val="000000"/>
                <w:sz w:val="32"/>
                <w:szCs w:val="32"/>
              </w:rPr>
              <w:t>三、部门（单位）整体支出绩效情况</w:t>
            </w:r>
          </w:p>
          <w:p>
            <w:pPr>
              <w:ind w:firstLine="640" w:firstLineChars="200"/>
              <w:jc w:val="left"/>
              <w:rPr>
                <w:rFonts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在人员经费支出、公共支出中严格执行区委区政府的各项财政管理制度；严格落实厉行节约的原则；三公经费的使用严格控制在范围标准内。</w:t>
            </w:r>
          </w:p>
          <w:p>
            <w:pPr>
              <w:pStyle w:val="4"/>
              <w:shd w:val="clear" w:color="auto" w:fill="FFFFFF"/>
              <w:spacing w:before="0" w:beforeAutospacing="0" w:after="0" w:afterAutospacing="0"/>
              <w:ind w:firstLine="320" w:firstLineChars="100"/>
              <w:rPr>
                <w:rFonts w:ascii="黑体" w:hAnsi="黑体" w:eastAsia="黑体" w:cs="Calibri"/>
                <w:color w:val="000000"/>
                <w:sz w:val="32"/>
                <w:szCs w:val="32"/>
              </w:rPr>
            </w:pPr>
            <w:r>
              <w:rPr>
                <w:rFonts w:hint="eastAsia" w:ascii="黑体" w:hAnsi="黑体" w:eastAsia="黑体" w:cs="Calibri"/>
                <w:color w:val="000000"/>
                <w:sz w:val="32"/>
                <w:szCs w:val="32"/>
              </w:rPr>
              <w:t>四、存在的主要问题</w:t>
            </w:r>
          </w:p>
          <w:p>
            <w:pPr>
              <w:pStyle w:val="4"/>
              <w:shd w:val="clear" w:color="auto" w:fill="FFFFFF"/>
              <w:spacing w:before="0" w:beforeAutospacing="0" w:after="0" w:afterAutospacing="0"/>
              <w:ind w:left="319" w:leftChars="152" w:firstLine="640" w:firstLineChars="200"/>
              <w:rPr>
                <w:rFonts w:ascii="黑体" w:hAnsi="黑体" w:eastAsia="黑体" w:cs="Calibri"/>
                <w:color w:val="000000"/>
                <w:sz w:val="32"/>
                <w:szCs w:val="32"/>
              </w:rPr>
            </w:pPr>
            <w:r>
              <w:rPr>
                <w:rFonts w:hint="eastAsia" w:ascii="仿宋_GB2312" w:eastAsia="仿宋_GB2312"/>
                <w:sz w:val="32"/>
                <w:szCs w:val="32"/>
              </w:rPr>
              <w:t>管理制度需不断完善。</w:t>
            </w:r>
            <w:r>
              <w:rPr>
                <w:rFonts w:hint="eastAsia" w:ascii="仿宋_GB2312" w:eastAsia="仿宋_GB2312"/>
                <w:sz w:val="18"/>
                <w:szCs w:val="18"/>
              </w:rPr>
              <w:br w:type="textWrapping"/>
            </w:r>
            <w:r>
              <w:rPr>
                <w:rFonts w:hint="eastAsia" w:ascii="黑体" w:hAnsi="黑体" w:eastAsia="黑体" w:cs="Calibri"/>
                <w:color w:val="000000"/>
                <w:sz w:val="32"/>
                <w:szCs w:val="32"/>
              </w:rPr>
              <w:t>五、改进措施和有关建议</w:t>
            </w:r>
          </w:p>
          <w:p>
            <w:pPr>
              <w:ind w:firstLine="640" w:firstLineChars="200"/>
              <w:rPr>
                <w:rFonts w:eastAsia="楷体_GB2312"/>
                <w:bCs/>
                <w:sz w:val="28"/>
                <w:szCs w:val="28"/>
              </w:rPr>
            </w:pPr>
            <w:r>
              <w:rPr>
                <w:rFonts w:hint="eastAsia" w:ascii="仿宋_GB2312" w:hAnsi="宋体" w:eastAsia="仿宋_GB2312" w:cs="Calibri"/>
                <w:color w:val="000000"/>
                <w:kern w:val="0"/>
                <w:sz w:val="32"/>
                <w:szCs w:val="32"/>
              </w:rPr>
              <w:t>建立和完善长效机制。把绩效评价作为部门的日常性工作，建立绩效评价管理工作考核的长效机制。</w:t>
            </w:r>
          </w:p>
        </w:tc>
      </w:tr>
    </w:tbl>
    <w:p>
      <w:pPr>
        <w:spacing w:line="348" w:lineRule="auto"/>
        <w:rPr>
          <w:rFonts w:eastAsia="黑体" w:cs="黑体"/>
          <w:bCs/>
          <w:sz w:val="32"/>
          <w:szCs w:val="32"/>
        </w:rPr>
      </w:pPr>
      <w:r>
        <w:rPr>
          <w:rFonts w:hint="eastAsia" w:eastAsia="黑体" w:cs="黑体"/>
          <w:bCs/>
          <w:sz w:val="32"/>
          <w:szCs w:val="32"/>
        </w:rPr>
        <w:t>附件2-2</w:t>
      </w:r>
    </w:p>
    <w:p>
      <w:pPr>
        <w:spacing w:beforeLines="100" w:afterLines="100" w:line="400" w:lineRule="exact"/>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ind w:firstLine="180" w:firstLineChars="100"/>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bookmarkEnd w:id="0"/>
    </w:tbl>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zZTIxMmY2M2ViYmM2M2E1M2EwZmU2MjkwZmU0YTIifQ=="/>
  </w:docVars>
  <w:rsids>
    <w:rsidRoot w:val="19753304"/>
    <w:rsid w:val="00095515"/>
    <w:rsid w:val="0019357C"/>
    <w:rsid w:val="001B1075"/>
    <w:rsid w:val="0022633D"/>
    <w:rsid w:val="003F669D"/>
    <w:rsid w:val="0065216D"/>
    <w:rsid w:val="007168CB"/>
    <w:rsid w:val="007E27FB"/>
    <w:rsid w:val="00861EF9"/>
    <w:rsid w:val="00910EA5"/>
    <w:rsid w:val="00941E35"/>
    <w:rsid w:val="00A27B89"/>
    <w:rsid w:val="00AC1430"/>
    <w:rsid w:val="00B20182"/>
    <w:rsid w:val="00B54D82"/>
    <w:rsid w:val="00B803C5"/>
    <w:rsid w:val="00C04E3C"/>
    <w:rsid w:val="00C31DC2"/>
    <w:rsid w:val="00C3263C"/>
    <w:rsid w:val="00C84AFA"/>
    <w:rsid w:val="00D26DAA"/>
    <w:rsid w:val="00D3032B"/>
    <w:rsid w:val="00DA1771"/>
    <w:rsid w:val="00ED4208"/>
    <w:rsid w:val="00F974B3"/>
    <w:rsid w:val="00FA1EAB"/>
    <w:rsid w:val="01115B19"/>
    <w:rsid w:val="01965F18"/>
    <w:rsid w:val="036F4A4D"/>
    <w:rsid w:val="04333B71"/>
    <w:rsid w:val="045F632C"/>
    <w:rsid w:val="073A38EF"/>
    <w:rsid w:val="08FA3336"/>
    <w:rsid w:val="0EA77E2E"/>
    <w:rsid w:val="0EEE7499"/>
    <w:rsid w:val="10C83D1A"/>
    <w:rsid w:val="12CF03FD"/>
    <w:rsid w:val="1481490C"/>
    <w:rsid w:val="1864027E"/>
    <w:rsid w:val="18DA19D6"/>
    <w:rsid w:val="19753304"/>
    <w:rsid w:val="1B177D78"/>
    <w:rsid w:val="1C0243B2"/>
    <w:rsid w:val="1C1442B7"/>
    <w:rsid w:val="1FDA06C6"/>
    <w:rsid w:val="22723154"/>
    <w:rsid w:val="229E5F79"/>
    <w:rsid w:val="23130E25"/>
    <w:rsid w:val="27402404"/>
    <w:rsid w:val="27541A0C"/>
    <w:rsid w:val="29AF73CD"/>
    <w:rsid w:val="29E277A3"/>
    <w:rsid w:val="2B330D76"/>
    <w:rsid w:val="33134E71"/>
    <w:rsid w:val="331700E2"/>
    <w:rsid w:val="39200C06"/>
    <w:rsid w:val="3C6109FB"/>
    <w:rsid w:val="3D0B3D52"/>
    <w:rsid w:val="3FB452E6"/>
    <w:rsid w:val="435E17B2"/>
    <w:rsid w:val="455C4456"/>
    <w:rsid w:val="46DD3374"/>
    <w:rsid w:val="4BB328F5"/>
    <w:rsid w:val="4D8B58D8"/>
    <w:rsid w:val="4F3A6C20"/>
    <w:rsid w:val="53FF0DCE"/>
    <w:rsid w:val="55393E6B"/>
    <w:rsid w:val="554C0043"/>
    <w:rsid w:val="56E542AB"/>
    <w:rsid w:val="58C47EF0"/>
    <w:rsid w:val="58E32A6C"/>
    <w:rsid w:val="5D9921E3"/>
    <w:rsid w:val="60A2320D"/>
    <w:rsid w:val="61D5545D"/>
    <w:rsid w:val="63C65464"/>
    <w:rsid w:val="66DE0D17"/>
    <w:rsid w:val="692F13B6"/>
    <w:rsid w:val="694841AF"/>
    <w:rsid w:val="6A4470E3"/>
    <w:rsid w:val="6C0A56A9"/>
    <w:rsid w:val="6D34343E"/>
    <w:rsid w:val="6D6655C2"/>
    <w:rsid w:val="735E7467"/>
    <w:rsid w:val="73822D41"/>
    <w:rsid w:val="7419338E"/>
    <w:rsid w:val="762A72DC"/>
    <w:rsid w:val="772F2354"/>
    <w:rsid w:val="793A002E"/>
    <w:rsid w:val="7A613399"/>
    <w:rsid w:val="7D2F3C22"/>
    <w:rsid w:val="7D4A2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3547</Words>
  <Characters>3793</Characters>
  <Lines>33</Lines>
  <Paragraphs>9</Paragraphs>
  <TotalTime>8</TotalTime>
  <ScaleCrop>false</ScaleCrop>
  <LinksUpToDate>false</LinksUpToDate>
  <CharactersWithSpaces>4273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2022-05-09T02:24:00Z</dcterms:created>
  <dc:creator>31543</dc:creator>
  <cp:lastModifiedBy>赤湾</cp:lastModifiedBy>
  <cp:lastPrinted>2022-05-10T03:05:00Z</cp:lastPrinted>
  <dcterms:modified xsi:type="dcterms:W3CDTF">2023-04-18T02:07:02Z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2832558F50FC49B79E709EDA4B7F5E0E</vt:lpwstr>
  </property>
</Properties>
</file>