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附件一</w:t>
      </w:r>
    </w:p>
    <w:p>
      <w:pPr>
        <w:pStyle w:val="2"/>
        <w:widowControl/>
        <w:spacing w:line="660" w:lineRule="exact"/>
        <w:ind w:firstLine="720" w:firstLineChars="200"/>
        <w:jc w:val="both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18"/>
          <w:szCs w:val="1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岳阳楼区人民政府专职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法律顾问单位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报名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843"/>
        <w:gridCol w:w="1527"/>
        <w:gridCol w:w="741"/>
        <w:gridCol w:w="815"/>
        <w:gridCol w:w="2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律所名称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律所执业</w:t>
            </w:r>
          </w:p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许可证号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发证</w:t>
            </w:r>
          </w:p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律所地址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拥有专、兼职律师人数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    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擅长领域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律所简介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获得的荣誉或成功案例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8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承诺：（一）本律师事务所自愿向楼区政府提出竞聘法律顾问的申请；（二）本律师事务所提供信息真实、合法、有效；（三）若发生与上述承诺相违背的事实，由本律师事务所承担全部法律责任。</w:t>
            </w: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                                             </w:t>
            </w:r>
          </w:p>
          <w:p>
            <w:pPr>
              <w:pStyle w:val="2"/>
              <w:widowControl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（加盖公章）</w:t>
            </w: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                                                  年  月  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初审意见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年  月  日        </w:t>
            </w:r>
          </w:p>
        </w:tc>
      </w:tr>
    </w:tbl>
    <w:p>
      <w:pPr>
        <w:pStyle w:val="2"/>
        <w:widowControl/>
        <w:spacing w:line="450" w:lineRule="atLeast"/>
        <w:ind w:right="450"/>
        <w:jc w:val="both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21"/>
          <w:szCs w:val="21"/>
        </w:rPr>
        <w:t>注：简介和荣誉可另附文件</w:t>
      </w:r>
    </w:p>
    <w:p/>
    <w:sectPr>
      <w:pgSz w:w="11900" w:h="16839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YjNmMjJmYTY4MGJmYzFhYzE4MzU5MWViZTRmYmIifQ=="/>
  </w:docVars>
  <w:rsids>
    <w:rsidRoot w:val="6BFA7608"/>
    <w:rsid w:val="002F3F42"/>
    <w:rsid w:val="2F332B44"/>
    <w:rsid w:val="348123EB"/>
    <w:rsid w:val="6BFA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2022-09-20T09:03:00Z</dcterms:created>
  <dc:creator>德志责运</dc:creator>
  <cp:lastModifiedBy>德志责运</cp:lastModifiedBy>
  <dcterms:modified xsi:type="dcterms:W3CDTF">2022-09-20T09:03:34Z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1B7048403C4F41D49B9A197B8FBA6C8B</vt:lpwstr>
  </property>
</Properties>
</file>