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ascii="黑体" w:hAnsi="黑体" w:eastAsia="黑体" w:cs="黑体"/>
          <w:bCs/>
          <w:sz w:val="32"/>
          <w:szCs w:val="32"/>
        </w:rPr>
      </w:pPr>
      <w:r>
        <w:rPr>
          <w:rFonts w:hint="eastAsia" w:ascii="黑体" w:hAnsi="黑体" w:eastAsia="黑体" w:cs="黑体"/>
          <w:bCs/>
          <w:sz w:val="32"/>
          <w:szCs w:val="32"/>
        </w:rPr>
        <w:t>附件3-1</w:t>
      </w:r>
    </w:p>
    <w:p>
      <w:pPr>
        <w:spacing w:line="348" w:lineRule="auto"/>
        <w:jc w:val="center"/>
        <w:rPr>
          <w:rFonts w:eastAsia="方正小标宋简体"/>
          <w:bCs/>
          <w:sz w:val="42"/>
          <w:szCs w:val="42"/>
        </w:rPr>
      </w:pPr>
    </w:p>
    <w:p>
      <w:pPr>
        <w:spacing w:line="800" w:lineRule="exact"/>
        <w:jc w:val="center"/>
        <w:rPr>
          <w:rFonts w:eastAsia="方正小标宋简体"/>
          <w:bCs/>
          <w:sz w:val="46"/>
          <w:szCs w:val="46"/>
        </w:rPr>
      </w:pPr>
      <w:r>
        <w:rPr>
          <w:rFonts w:hint="eastAsia" w:eastAsia="方正小标宋简体"/>
          <w:bCs/>
          <w:sz w:val="46"/>
          <w:szCs w:val="46"/>
        </w:rPr>
        <w:t>岳阳楼区20</w:t>
      </w:r>
      <w:r>
        <w:rPr>
          <w:rFonts w:hint="eastAsia" w:eastAsia="方正小标宋简体"/>
          <w:bCs/>
          <w:sz w:val="46"/>
          <w:szCs w:val="46"/>
          <w:u w:val="single"/>
        </w:rPr>
        <w:t xml:space="preserve"> 20</w:t>
      </w:r>
      <w:r>
        <w:rPr>
          <w:rFonts w:hint="eastAsia" w:eastAsia="方正小标宋简体"/>
          <w:bCs/>
          <w:sz w:val="46"/>
          <w:szCs w:val="46"/>
        </w:rPr>
        <w:t>年度部门（单位）整体支出</w:t>
      </w:r>
    </w:p>
    <w:p>
      <w:pPr>
        <w:spacing w:line="800" w:lineRule="exact"/>
        <w:jc w:val="center"/>
        <w:rPr>
          <w:rFonts w:eastAsia="方正小标宋简体"/>
          <w:bCs/>
          <w:sz w:val="46"/>
          <w:szCs w:val="46"/>
        </w:rPr>
      </w:pPr>
      <w:r>
        <w:rPr>
          <w:rFonts w:hint="eastAsia" w:eastAsia="方正小标宋简体"/>
          <w:bCs/>
          <w:sz w:val="46"/>
          <w:szCs w:val="46"/>
        </w:rPr>
        <w:t>绩效评价自评报告</w:t>
      </w:r>
    </w:p>
    <w:p>
      <w:pPr>
        <w:rPr>
          <w:rFonts w:eastAsia="仿宋_GB2312"/>
          <w:b/>
          <w:sz w:val="32"/>
        </w:rPr>
      </w:pPr>
    </w:p>
    <w:p>
      <w:pPr>
        <w:rPr>
          <w:rFonts w:eastAsia="仿宋_GB2312"/>
          <w:b/>
          <w:sz w:val="32"/>
        </w:rPr>
      </w:pPr>
    </w:p>
    <w:p>
      <w:pPr>
        <w:rPr>
          <w:rFonts w:eastAsia="仿宋_GB2312"/>
          <w:b/>
          <w:sz w:val="32"/>
        </w:rPr>
      </w:pPr>
    </w:p>
    <w:p>
      <w:pPr>
        <w:spacing w:beforeLines="50" w:line="348" w:lineRule="auto"/>
        <w:ind w:firstLine="476" w:firstLineChars="150"/>
        <w:rPr>
          <w:rFonts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岳阳市岳阳楼区科学技术协会      </w:t>
      </w:r>
    </w:p>
    <w:p>
      <w:pPr>
        <w:spacing w:beforeLines="50" w:line="348" w:lineRule="auto"/>
        <w:ind w:firstLine="476" w:firstLineChars="150"/>
        <w:rPr>
          <w:rFonts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602001             </w:t>
      </w:r>
    </w:p>
    <w:p>
      <w:pPr>
        <w:spacing w:beforeLines="50" w:line="348" w:lineRule="auto"/>
        <w:ind w:firstLine="476" w:firstLineChars="150"/>
        <w:rPr>
          <w:rFonts w:eastAsia="仿宋_GB2312"/>
          <w:sz w:val="32"/>
          <w:szCs w:val="32"/>
        </w:rPr>
      </w:pPr>
      <w:r>
        <w:rPr>
          <w:rFonts w:hint="eastAsia" w:eastAsia="仿宋_GB2312"/>
          <w:sz w:val="32"/>
          <w:szCs w:val="32"/>
        </w:rPr>
        <w:t>评价方式：部门（单位）绩效自评</w:t>
      </w:r>
    </w:p>
    <w:p>
      <w:pPr>
        <w:spacing w:beforeLines="50" w:line="348" w:lineRule="auto"/>
        <w:ind w:firstLine="476" w:firstLineChars="150"/>
        <w:rPr>
          <w:rFonts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eastAsia="仿宋_GB2312"/>
          <w:sz w:val="32"/>
        </w:rPr>
      </w:pPr>
    </w:p>
    <w:p>
      <w:pPr>
        <w:spacing w:line="348" w:lineRule="auto"/>
        <w:ind w:firstLine="2188" w:firstLineChars="690"/>
        <w:rPr>
          <w:rFonts w:eastAsia="仿宋_GB2312"/>
          <w:sz w:val="32"/>
        </w:rPr>
      </w:pPr>
    </w:p>
    <w:p>
      <w:pPr>
        <w:spacing w:line="348" w:lineRule="auto"/>
        <w:jc w:val="center"/>
        <w:rPr>
          <w:rFonts w:eastAsia="仿宋_GB2312"/>
          <w:sz w:val="32"/>
        </w:rPr>
      </w:pPr>
      <w:r>
        <w:rPr>
          <w:rFonts w:hint="eastAsia" w:eastAsia="仿宋_GB2312"/>
          <w:sz w:val="32"/>
        </w:rPr>
        <w:t>报告日期：2021年 6  月  29 日</w:t>
      </w:r>
    </w:p>
    <w:p>
      <w:pPr>
        <w:autoSpaceDN w:val="0"/>
        <w:jc w:val="center"/>
        <w:textAlignment w:val="center"/>
        <w:rPr>
          <w:rFonts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tbl>
      <w:tblPr>
        <w:tblStyle w:val="2"/>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4"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任文颖</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8245368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主要负责全区科普宣传、学术交流和科技咨询工作。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414"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400" w:lineRule="exact"/>
              <w:jc w:val="left"/>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任务1：开展学术交流，活跃学术思想，促进学科发展，推动自主创新。</w:t>
            </w:r>
          </w:p>
          <w:p>
            <w:pPr>
              <w:spacing w:line="400" w:lineRule="exact"/>
              <w:jc w:val="left"/>
              <w:rPr>
                <w:rFonts w:ascii="宋体" w:hAnsi="宋体"/>
                <w:color w:val="000000"/>
                <w:sz w:val="28"/>
                <w:szCs w:val="28"/>
              </w:rPr>
            </w:pPr>
            <w:r>
              <w:rPr>
                <w:rFonts w:hint="eastAsia" w:ascii="仿宋_GB2312" w:hAnsi="仿宋_GB2312" w:eastAsia="仿宋_GB2312" w:cs="仿宋_GB2312"/>
                <w:color w:val="000000"/>
                <w:sz w:val="24"/>
                <w:szCs w:val="24"/>
              </w:rPr>
              <w:t>任务2：组织科学技术工作者为建立以企业为主休的技术创新体系、全面提升企业的自主创新能力作贡献。</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szCs w:val="24"/>
              </w:rPr>
              <w:t>任务3：依照《中华人民共和国科学技术普及法》，弘扬科学精神，普及科学知识，传播科学思想和科学方法,捍卫科学尊严，推广先进技术，开展青少年科学技术教育活动，不断提高全民科学素质。</w:t>
            </w:r>
            <w:r>
              <w:rPr>
                <w:rFonts w:hint="eastAsia" w:ascii="仿宋_GB2312" w:hAnsi="仿宋_GB2312" w:eastAsia="仿宋_GB2312" w:cs="仿宋_GB2312"/>
                <w:color w:val="000000"/>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23"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2020年获得了2个国家级奖项，一个省级奖项，2个市级奖项。分别是：中国科普信息员队伍建设优秀单位，全国科普日优秀组织单位；全省科普信息化工作优秀组织单位；全市科普先进工作单位和助力创新驱动发展工作先进单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3"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5" w:hRule="atLeast"/>
          <w:jc w:val="center"/>
        </w:trPr>
        <w:tc>
          <w:tcPr>
            <w:tcW w:w="1700" w:type="dxa"/>
            <w:gridSpan w:val="3"/>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00" w:hRule="atLeast"/>
          <w:jc w:val="center"/>
        </w:trPr>
        <w:tc>
          <w:tcPr>
            <w:tcW w:w="1700" w:type="dxa"/>
            <w:gridSpan w:val="3"/>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8" w:hRule="atLeast"/>
          <w:jc w:val="center"/>
        </w:trPr>
        <w:tc>
          <w:tcPr>
            <w:tcW w:w="1700" w:type="dxa"/>
            <w:gridSpan w:val="3"/>
            <w:vAlign w:val="center"/>
          </w:tcPr>
          <w:p>
            <w:pPr>
              <w:autoSpaceDN w:val="0"/>
              <w:spacing w:line="320" w:lineRule="exact"/>
              <w:jc w:val="center"/>
              <w:textAlignment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区科协</w:t>
            </w:r>
          </w:p>
        </w:tc>
        <w:tc>
          <w:tcPr>
            <w:tcW w:w="1080" w:type="dxa"/>
            <w:tcBorders>
              <w:right w:val="single" w:color="auto" w:sz="4" w:space="0"/>
            </w:tcBorders>
            <w:vAlign w:val="center"/>
          </w:tcPr>
          <w:p>
            <w:pPr>
              <w:autoSpaceDN w:val="0"/>
              <w:spacing w:line="320" w:lineRule="exact"/>
              <w:jc w:val="left"/>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288.44</w:t>
            </w:r>
          </w:p>
        </w:tc>
        <w:tc>
          <w:tcPr>
            <w:tcW w:w="1355"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FF0000"/>
                <w:sz w:val="24"/>
              </w:rPr>
            </w:pPr>
          </w:p>
        </w:tc>
        <w:tc>
          <w:tcPr>
            <w:tcW w:w="108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705"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5" w:hRule="atLeast"/>
          <w:jc w:val="center"/>
        </w:trPr>
        <w:tc>
          <w:tcPr>
            <w:tcW w:w="1700" w:type="dxa"/>
            <w:gridSpan w:val="3"/>
            <w:vMerge w:val="restart"/>
            <w:vAlign w:val="center"/>
          </w:tcPr>
          <w:p>
            <w:pPr>
              <w:snapToGrid w:val="0"/>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7"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2" w:hRule="atLeast"/>
          <w:jc w:val="center"/>
        </w:trPr>
        <w:tc>
          <w:tcPr>
            <w:tcW w:w="1700" w:type="dxa"/>
            <w:gridSpan w:val="3"/>
            <w:vAlign w:val="center"/>
          </w:tcPr>
          <w:p>
            <w:pPr>
              <w:spacing w:line="320" w:lineRule="exact"/>
              <w:jc w:val="left"/>
              <w:rPr>
                <w:rFonts w:ascii="仿宋_GB2312" w:hAnsi="仿宋_GB2312" w:eastAsia="仿宋_GB2312" w:cs="仿宋_GB2312"/>
                <w:color w:val="auto"/>
                <w:sz w:val="24"/>
              </w:rPr>
            </w:pPr>
            <w:r>
              <w:rPr>
                <w:rFonts w:hint="eastAsia" w:ascii="仿宋_GB2312" w:hAnsi="仿宋_GB2312" w:eastAsia="仿宋_GB2312" w:cs="仿宋_GB2312"/>
                <w:color w:val="auto"/>
                <w:sz w:val="24"/>
              </w:rPr>
              <w:t>机关及二级机构</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288.44</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288.44</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190.13</w:t>
            </w:r>
          </w:p>
        </w:tc>
        <w:tc>
          <w:tcPr>
            <w:tcW w:w="2160" w:type="dxa"/>
            <w:gridSpan w:val="4"/>
            <w:vAlign w:val="center"/>
          </w:tcPr>
          <w:p>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98.31</w:t>
            </w: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auto"/>
                <w:sz w:val="24"/>
                <w:lang w:eastAsia="zh-CN"/>
              </w:rPr>
            </w:pPr>
            <w:r>
              <w:rPr>
                <w:rFonts w:hint="eastAsia" w:ascii="仿宋_GB2312" w:hAnsi="仿宋_GB2312" w:eastAsia="仿宋_GB2312" w:cs="仿宋_GB2312"/>
                <w:color w:val="auto"/>
                <w:sz w:val="24"/>
                <w:lang w:val="en-US" w:eastAsia="zh-CN"/>
              </w:rPr>
              <w:t>0</w:t>
            </w: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auto"/>
                <w:sz w:val="24"/>
              </w:rPr>
            </w:pP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FF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65"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8"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机关及二级机构</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1.85</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1.85</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22"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6"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8"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机关及二级机构</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22.66</w:t>
            </w:r>
          </w:p>
        </w:tc>
        <w:tc>
          <w:tcPr>
            <w:tcW w:w="364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1"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3774" w:type="dxa"/>
            <w:gridSpan w:val="7"/>
            <w:vAlign w:val="center"/>
          </w:tcPr>
          <w:p>
            <w:pPr>
              <w:autoSpaceDN w:val="0"/>
              <w:spacing w:line="400" w:lineRule="exact"/>
              <w:jc w:val="left"/>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目标1：认真开展科普活动</w:t>
            </w:r>
          </w:p>
          <w:p>
            <w:pPr>
              <w:autoSpaceDN w:val="0"/>
              <w:spacing w:line="400" w:lineRule="exact"/>
              <w:jc w:val="left"/>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目标2：扎实做好科普示范典型创建</w:t>
            </w:r>
          </w:p>
          <w:p>
            <w:pPr>
              <w:autoSpaceDN w:val="0"/>
              <w:spacing w:line="400" w:lineRule="exact"/>
              <w:jc w:val="left"/>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目标3：实施科普信息化工作</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szCs w:val="24"/>
              </w:rPr>
              <w:t>目标4：十三五纲要工作验收</w:t>
            </w:r>
          </w:p>
        </w:tc>
        <w:tc>
          <w:tcPr>
            <w:tcW w:w="4585" w:type="dxa"/>
            <w:gridSpan w:val="9"/>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1：开展“全国科普日”主题活动</w:t>
            </w:r>
          </w:p>
        </w:tc>
        <w:tc>
          <w:tcPr>
            <w:tcW w:w="2684" w:type="dxa"/>
            <w:gridSpan w:val="6"/>
            <w:vAlign w:val="center"/>
          </w:tcPr>
          <w:p>
            <w:pPr>
              <w:autoSpaceDN w:val="0"/>
              <w:spacing w:line="40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spacing w:line="320" w:lineRule="exact"/>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2：科普信息化工作</w:t>
            </w:r>
          </w:p>
        </w:tc>
        <w:tc>
          <w:tcPr>
            <w:tcW w:w="2684" w:type="dxa"/>
            <w:gridSpan w:val="6"/>
            <w:vAlign w:val="center"/>
          </w:tcPr>
          <w:p>
            <w:pPr>
              <w:autoSpaceDN w:val="0"/>
              <w:spacing w:line="40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spacing w:line="320" w:lineRule="exact"/>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3：动员各街道（乡）开展科普活动</w:t>
            </w:r>
          </w:p>
        </w:tc>
        <w:tc>
          <w:tcPr>
            <w:tcW w:w="2684" w:type="dxa"/>
            <w:gridSpan w:val="6"/>
            <w:vAlign w:val="center"/>
          </w:tcPr>
          <w:p>
            <w:pPr>
              <w:autoSpaceDN w:val="0"/>
              <w:spacing w:line="40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1：16个街道（乡）实施科普信息化</w:t>
            </w:r>
          </w:p>
        </w:tc>
        <w:tc>
          <w:tcPr>
            <w:tcW w:w="2684" w:type="dxa"/>
            <w:gridSpan w:val="6"/>
            <w:vAlign w:val="center"/>
          </w:tcPr>
          <w:p>
            <w:pPr>
              <w:autoSpaceDN w:val="0"/>
              <w:spacing w:line="40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2：各街道（乡）均开展科普活动</w:t>
            </w:r>
          </w:p>
        </w:tc>
        <w:tc>
          <w:tcPr>
            <w:tcW w:w="2684" w:type="dxa"/>
            <w:gridSpan w:val="6"/>
            <w:vAlign w:val="center"/>
          </w:tcPr>
          <w:p>
            <w:pPr>
              <w:autoSpaceDN w:val="0"/>
              <w:spacing w:line="40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1：2020年底</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2684" w:type="dxa"/>
            <w:gridSpan w:val="6"/>
            <w:vAlign w:val="center"/>
          </w:tcPr>
          <w:p>
            <w:pPr>
              <w:autoSpaceDN w:val="0"/>
              <w:spacing w:line="400" w:lineRule="exact"/>
              <w:jc w:val="center"/>
              <w:textAlignment w:val="center"/>
              <w:rPr>
                <w:rFonts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1：在社区开展科普知识讲座</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2：面向群众发放科普读本</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3.科普信息化</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1：十三五纲要工作验收 </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1：建省级科普示范教育基地</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2：建市级科普旅游示范基地</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1.发放科普书籍</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2.开展健康知识科普讲座</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3.公民具备科学素质达10%</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满意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98.1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段雅丽</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副主席</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贺常红</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学会部部长</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464"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417"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552" w:hRule="atLeast"/>
          <w:jc w:val="center"/>
        </w:trPr>
        <w:tc>
          <w:tcPr>
            <w:tcW w:w="9800" w:type="dxa"/>
            <w:gridSpan w:val="17"/>
            <w:vAlign w:val="center"/>
          </w:tcPr>
          <w:p>
            <w:pPr>
              <w:spacing w:line="320" w:lineRule="exact"/>
              <w:rPr>
                <w:rFonts w:eastAsia="仿宋_GB2312"/>
                <w:sz w:val="24"/>
              </w:rPr>
            </w:pPr>
            <w:r>
              <w:rPr>
                <w:rFonts w:hint="eastAsia" w:eastAsia="仿宋_GB2312"/>
                <w:sz w:val="24"/>
              </w:rPr>
              <w:t>财政部门归口业务科室意见：</w:t>
            </w: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eastAsia="仿宋_GB2312"/>
                <w:sz w:val="24"/>
              </w:rPr>
              <w:t xml:space="preserve">                                                                 年    月   日</w:t>
            </w:r>
          </w:p>
        </w:tc>
      </w:tr>
    </w:tbl>
    <w:p>
      <w:pPr>
        <w:rPr>
          <w:rFonts w:eastAsia="仿宋_GB2312" w:cs="仿宋_GB2312"/>
          <w:bCs/>
          <w:sz w:val="28"/>
          <w:szCs w:val="28"/>
        </w:rPr>
      </w:pPr>
      <w:r>
        <w:rPr>
          <w:rFonts w:hint="eastAsia" w:eastAsia="仿宋_GB2312" w:cs="仿宋_GB2312"/>
          <w:bCs/>
          <w:sz w:val="28"/>
          <w:szCs w:val="28"/>
        </w:rPr>
        <w:t>填报人（签名）：  任文颖              联系电话：8245368</w:t>
      </w:r>
    </w:p>
    <w:tbl>
      <w:tblPr>
        <w:tblStyle w:val="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tcPr>
          <w:p>
            <w:pPr>
              <w:jc w:val="center"/>
              <w:rPr>
                <w:rFonts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ascii="Times New Roman" w:hAnsi="Times New Roman" w:eastAsia="仿宋_GB2312"/>
                <w:sz w:val="32"/>
                <w:szCs w:val="32"/>
              </w:rPr>
            </w:pP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 w:eastAsia="仿宋_GB2312"/>
                <w:sz w:val="28"/>
                <w:szCs w:val="28"/>
              </w:rPr>
              <w:t>岳阳楼区科学技术协会隶属区委群团机关，为正科级单位，内设办公室、科普部、学会部三个股室。年末实有编制9人，实有在职10人。</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（二）部门（单位）整体支出规模、使用方向和主要内容、涉及范围等</w:t>
            </w:r>
          </w:p>
          <w:p>
            <w:pPr>
              <w:spacing w:line="400" w:lineRule="exact"/>
              <w:ind w:firstLine="560" w:firstLineChars="200"/>
              <w:rPr>
                <w:rFonts w:ascii="仿宋_GB2312" w:hAnsi="仿宋_GB2312" w:eastAsia="仿宋_GB2312" w:cs="仿宋_GB2312"/>
                <w:bCs/>
                <w:color w:val="auto"/>
                <w:sz w:val="28"/>
                <w:szCs w:val="28"/>
              </w:rPr>
            </w:pPr>
            <w:r>
              <w:rPr>
                <w:rFonts w:hint="eastAsia" w:ascii="仿宋_GB2312" w:hAnsi="仿宋" w:eastAsia="仿宋_GB2312"/>
                <w:color w:val="auto"/>
                <w:sz w:val="28"/>
                <w:szCs w:val="28"/>
              </w:rPr>
              <w:t>岳阳楼区科协</w:t>
            </w:r>
            <w:r>
              <w:rPr>
                <w:rFonts w:hint="eastAsia" w:ascii="仿宋_GB2312" w:hAnsi="仿宋_GB2312" w:eastAsia="仿宋_GB2312" w:cs="仿宋_GB2312"/>
                <w:bCs/>
                <w:color w:val="auto"/>
                <w:sz w:val="28"/>
                <w:szCs w:val="28"/>
              </w:rPr>
              <w:t>全年总支出为</w:t>
            </w:r>
            <w:r>
              <w:rPr>
                <w:rFonts w:hint="eastAsia" w:ascii="仿宋_GB2312" w:hAnsi="仿宋_GB2312" w:eastAsia="仿宋_GB2312" w:cs="仿宋_GB2312"/>
                <w:bCs/>
                <w:color w:val="auto"/>
                <w:sz w:val="28"/>
                <w:szCs w:val="28"/>
                <w:lang w:val="en-US" w:eastAsia="zh-CN"/>
              </w:rPr>
              <w:t>288.44</w:t>
            </w:r>
            <w:r>
              <w:rPr>
                <w:rFonts w:hint="eastAsia" w:ascii="仿宋_GB2312" w:hAnsi="仿宋_GB2312" w:eastAsia="仿宋_GB2312" w:cs="仿宋_GB2312"/>
                <w:bCs/>
                <w:color w:val="auto"/>
                <w:sz w:val="28"/>
                <w:szCs w:val="28"/>
              </w:rPr>
              <w:t>万元，基本支出</w:t>
            </w:r>
            <w:r>
              <w:rPr>
                <w:rFonts w:hint="eastAsia" w:ascii="仿宋_GB2312" w:hAnsi="仿宋_GB2312" w:eastAsia="仿宋_GB2312" w:cs="仿宋_GB2312"/>
                <w:bCs/>
                <w:color w:val="auto"/>
                <w:sz w:val="28"/>
                <w:szCs w:val="28"/>
                <w:lang w:val="en-US" w:eastAsia="zh-CN"/>
              </w:rPr>
              <w:t>288.44</w:t>
            </w:r>
            <w:r>
              <w:rPr>
                <w:rFonts w:hint="eastAsia" w:ascii="仿宋_GB2312" w:hAnsi="仿宋_GB2312" w:eastAsia="仿宋_GB2312" w:cs="仿宋_GB2312"/>
                <w:bCs/>
                <w:color w:val="auto"/>
                <w:sz w:val="28"/>
                <w:szCs w:val="28"/>
              </w:rPr>
              <w:t>万元（其中人员经费支出190.13万元，公用经费支出</w:t>
            </w:r>
            <w:r>
              <w:rPr>
                <w:rFonts w:hint="eastAsia" w:ascii="仿宋_GB2312" w:hAnsi="仿宋_GB2312" w:eastAsia="仿宋_GB2312" w:cs="仿宋_GB2312"/>
                <w:bCs/>
                <w:color w:val="auto"/>
                <w:sz w:val="28"/>
                <w:szCs w:val="28"/>
                <w:lang w:val="en-US" w:eastAsia="zh-CN"/>
              </w:rPr>
              <w:t>98.31</w:t>
            </w:r>
            <w:r>
              <w:rPr>
                <w:rFonts w:hint="eastAsia" w:ascii="仿宋_GB2312" w:hAnsi="仿宋_GB2312" w:eastAsia="仿宋_GB2312" w:cs="仿宋_GB2312"/>
                <w:bCs/>
                <w:color w:val="auto"/>
                <w:sz w:val="28"/>
                <w:szCs w:val="28"/>
              </w:rPr>
              <w:t>万元）。</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400" w:lineRule="exact"/>
              <w:ind w:firstLine="560" w:firstLineChars="200"/>
              <w:rPr>
                <w:rFonts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lang w:eastAsia="zh-CN"/>
              </w:rPr>
              <w:t>（</w:t>
            </w:r>
            <w:r>
              <w:rPr>
                <w:rFonts w:hint="eastAsia" w:ascii="仿宋_GB2312" w:hAnsi="仿宋_GB2312" w:eastAsia="仿宋_GB2312" w:cs="仿宋_GB2312"/>
                <w:bCs/>
                <w:color w:val="auto"/>
                <w:sz w:val="28"/>
                <w:szCs w:val="28"/>
                <w:lang w:val="en-US" w:eastAsia="zh-CN"/>
              </w:rPr>
              <w:t>一</w:t>
            </w:r>
            <w:r>
              <w:rPr>
                <w:rFonts w:hint="eastAsia" w:ascii="仿宋_GB2312" w:hAnsi="仿宋_GB2312" w:eastAsia="仿宋_GB2312" w:cs="仿宋_GB2312"/>
                <w:bCs/>
                <w:color w:val="auto"/>
                <w:sz w:val="28"/>
                <w:szCs w:val="28"/>
                <w:lang w:eastAsia="zh-CN"/>
              </w:rPr>
              <w:t>）</w:t>
            </w:r>
            <w:r>
              <w:rPr>
                <w:rFonts w:hint="eastAsia" w:ascii="仿宋_GB2312" w:hAnsi="仿宋_GB2312" w:eastAsia="仿宋_GB2312" w:cs="仿宋_GB2312"/>
                <w:bCs/>
                <w:color w:val="auto"/>
                <w:sz w:val="28"/>
                <w:szCs w:val="28"/>
              </w:rPr>
              <w:t>全年基本支出共</w:t>
            </w:r>
            <w:r>
              <w:rPr>
                <w:rFonts w:hint="eastAsia" w:ascii="仿宋_GB2312" w:hAnsi="仿宋_GB2312" w:eastAsia="仿宋_GB2312" w:cs="仿宋_GB2312"/>
                <w:bCs/>
                <w:color w:val="auto"/>
                <w:sz w:val="28"/>
                <w:szCs w:val="28"/>
                <w:lang w:val="en-US" w:eastAsia="zh-CN"/>
              </w:rPr>
              <w:t>213.07</w:t>
            </w:r>
            <w:r>
              <w:rPr>
                <w:rFonts w:hint="eastAsia" w:ascii="仿宋_GB2312" w:hAnsi="仿宋_GB2312" w:eastAsia="仿宋_GB2312" w:cs="仿宋_GB2312"/>
                <w:bCs/>
                <w:color w:val="auto"/>
                <w:sz w:val="28"/>
                <w:szCs w:val="28"/>
              </w:rPr>
              <w:t>万元，其中人员经费190.13万元，主要用于干部职工的工资发放，社会保障缴费及其他工资福利支出等。公用经费支出</w:t>
            </w:r>
            <w:r>
              <w:rPr>
                <w:rFonts w:hint="eastAsia" w:ascii="仿宋_GB2312" w:hAnsi="仿宋_GB2312" w:eastAsia="仿宋_GB2312" w:cs="仿宋_GB2312"/>
                <w:bCs/>
                <w:color w:val="auto"/>
                <w:sz w:val="28"/>
                <w:szCs w:val="28"/>
                <w:lang w:val="en-US" w:eastAsia="zh-CN"/>
              </w:rPr>
              <w:t>98.31</w:t>
            </w:r>
            <w:r>
              <w:rPr>
                <w:rFonts w:hint="eastAsia" w:ascii="仿宋_GB2312" w:hAnsi="仿宋_GB2312" w:eastAsia="仿宋_GB2312" w:cs="仿宋_GB2312"/>
                <w:bCs/>
                <w:color w:val="auto"/>
                <w:sz w:val="28"/>
                <w:szCs w:val="28"/>
              </w:rPr>
              <w:t>万元，主要用于日常办公的办公费、印刷及其他商品服务支出费用。</w:t>
            </w:r>
            <w:bookmarkStart w:id="0" w:name="_GoBack"/>
            <w:bookmarkEnd w:id="0"/>
            <w:r>
              <w:rPr>
                <w:rFonts w:hint="eastAsia" w:ascii="仿宋_GB2312" w:hAnsi="仿宋_GB2312" w:eastAsia="仿宋_GB2312" w:cs="仿宋_GB2312"/>
                <w:bCs/>
                <w:color w:val="auto"/>
                <w:sz w:val="28"/>
                <w:szCs w:val="28"/>
              </w:rPr>
              <w:t>老科协拨款</w:t>
            </w:r>
            <w:r>
              <w:rPr>
                <w:rFonts w:hint="eastAsia" w:ascii="仿宋_GB2312" w:hAnsi="仿宋_GB2312" w:eastAsia="仿宋_GB2312" w:cs="仿宋_GB2312"/>
                <w:bCs/>
                <w:color w:val="auto"/>
                <w:sz w:val="28"/>
                <w:szCs w:val="28"/>
                <w:lang w:eastAsia="zh-CN"/>
              </w:rPr>
              <w:t>、</w:t>
            </w:r>
            <w:r>
              <w:rPr>
                <w:rFonts w:hint="eastAsia" w:ascii="仿宋_GB2312" w:hAnsi="仿宋_GB2312" w:eastAsia="仿宋_GB2312" w:cs="仿宋_GB2312"/>
                <w:bCs/>
                <w:color w:val="auto"/>
                <w:sz w:val="28"/>
                <w:szCs w:val="28"/>
              </w:rPr>
              <w:t>科普活动、科普知识讲座等。</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lang w:val="en-US" w:eastAsia="zh-CN"/>
              </w:rPr>
              <w:t>二</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专项资金管理情况分析</w:t>
            </w:r>
          </w:p>
          <w:p>
            <w:pPr>
              <w:spacing w:line="40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各项资金本着专款专用的原则，严格执行项目资金批准的使用计划和项目批复内容，不擅自调项、扩项、缩项，不拆借、挪用、挤占。资金拨付动向按不同专项资金的要求执行。同时对每笔专项资金的支付，严格执行财务制度，落实专项资金审核程序。</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各项专项资金都安排责任人，按专项资金的用途专款专用。</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（二）专项管理情况分析</w:t>
            </w:r>
          </w:p>
          <w:p>
            <w:pPr>
              <w:spacing w:line="40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在使用专项资金时，严格执行专项资使用制度和财务制度，同时对各项专项资金的使用流程进行监督，定时查看财务报表检查专项资金使用情况。</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四、部门（单位）整体支出绩效情况</w:t>
            </w:r>
          </w:p>
          <w:p>
            <w:pPr>
              <w:spacing w:line="40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本单位项目资金其主要用途是确保单位的正常运转，促进各项科普工作任务顺利完成。在人员经费支出、公共支出严格执行区委区政府的各项制度；在项目经费的使用上，在保证各项任务顺利完成的同时，严格落实厉行节约的原则；三公经费的使用严格控制在预算申报的范围内。</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五、存在的主要问题</w:t>
            </w:r>
          </w:p>
          <w:p>
            <w:pPr>
              <w:spacing w:line="40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主要存在问题：在使用公务卡方面需要进一步加强；成本有待进一步降低；财务人员业务水平需进一步提升。</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六、改进措施和有关建议</w:t>
            </w:r>
          </w:p>
          <w:p>
            <w:pPr>
              <w:spacing w:line="400" w:lineRule="exact"/>
              <w:ind w:firstLine="560" w:firstLineChars="200"/>
              <w:rPr>
                <w:rFonts w:ascii="黑体" w:hAnsi="黑体" w:eastAsia="黑体" w:cs="黑体"/>
                <w:bCs/>
                <w:sz w:val="28"/>
                <w:szCs w:val="28"/>
              </w:rPr>
            </w:pPr>
            <w:r>
              <w:rPr>
                <w:rFonts w:hint="eastAsia" w:ascii="仿宋_GB2312" w:hAnsi="仿宋_GB2312" w:eastAsia="仿宋_GB2312" w:cs="仿宋_GB2312"/>
                <w:bCs/>
                <w:sz w:val="28"/>
                <w:szCs w:val="28"/>
              </w:rPr>
              <w:t>一是加大对公务卡的使用力度。二是进一步控制项目经费支出，在确保各项任务完成的同时，力争把成本降底。三是财务人员加强学习，建议区财政局多组织财务人员进行业务知识方面的培训。</w:t>
            </w:r>
          </w:p>
          <w:p>
            <w:pPr>
              <w:spacing w:line="560" w:lineRule="exact"/>
              <w:ind w:firstLine="560" w:firstLineChars="200"/>
              <w:rPr>
                <w:rFonts w:ascii="黑体" w:hAnsi="黑体" w:eastAsia="黑体" w:cs="黑体"/>
                <w:bCs/>
                <w:sz w:val="28"/>
                <w:szCs w:val="28"/>
              </w:rPr>
            </w:pPr>
          </w:p>
          <w:p>
            <w:pPr>
              <w:spacing w:line="560" w:lineRule="exact"/>
              <w:ind w:firstLine="560" w:firstLineChars="200"/>
              <w:rPr>
                <w:rFonts w:eastAsia="楷体_GB2312"/>
                <w:bCs/>
                <w:sz w:val="28"/>
                <w:szCs w:val="28"/>
              </w:rPr>
            </w:pPr>
          </w:p>
        </w:tc>
      </w:tr>
    </w:tbl>
    <w:p>
      <w:pPr>
        <w:spacing w:line="348" w:lineRule="auto"/>
        <w:rPr>
          <w:rFonts w:hint="eastAsia" w:eastAsia="黑体" w:cs="黑体"/>
          <w:bCs/>
          <w:sz w:val="32"/>
          <w:szCs w:val="32"/>
        </w:rPr>
      </w:pPr>
    </w:p>
    <w:p>
      <w:pPr>
        <w:spacing w:line="348" w:lineRule="auto"/>
        <w:rPr>
          <w:rFonts w:hint="eastAsia" w:eastAsia="黑体" w:cs="黑体"/>
          <w:bCs/>
          <w:sz w:val="32"/>
          <w:szCs w:val="32"/>
        </w:rPr>
      </w:pPr>
    </w:p>
    <w:p>
      <w:pPr>
        <w:spacing w:line="348" w:lineRule="auto"/>
        <w:rPr>
          <w:rFonts w:eastAsia="黑体" w:cs="黑体"/>
          <w:bCs/>
          <w:sz w:val="32"/>
          <w:szCs w:val="32"/>
        </w:rPr>
      </w:pPr>
      <w:r>
        <w:rPr>
          <w:rFonts w:hint="eastAsia" w:eastAsia="黑体" w:cs="黑体"/>
          <w:bCs/>
          <w:sz w:val="32"/>
          <w:szCs w:val="32"/>
        </w:rPr>
        <w:t>附件3-2</w:t>
      </w:r>
    </w:p>
    <w:p>
      <w:pPr>
        <w:spacing w:beforeLines="100" w:afterLines="100" w:line="400" w:lineRule="exact"/>
        <w:jc w:val="center"/>
        <w:rPr>
          <w:rFonts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2"/>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4.5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2.6</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p/>
    <w:p/>
    <w:p/>
    <w:tbl>
      <w:tblPr>
        <w:tblStyle w:val="2"/>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98.1</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方正舒体"/>
    <w:panose1 w:val="03000509000000000000"/>
    <w:charset w:val="86"/>
    <w:family w:val="script"/>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FkMGM1YzBkNDg5M2MwOWEzM2VkZThkMzc4Y2YyYTEifQ=="/>
  </w:docVars>
  <w:rsids>
    <w:rsidRoot w:val="6F436BB6"/>
    <w:rsid w:val="12823F2B"/>
    <w:rsid w:val="263C4FCD"/>
    <w:rsid w:val="2F277D89"/>
    <w:rsid w:val="444734E2"/>
    <w:rsid w:val="44553D2F"/>
    <w:rsid w:val="6F436BB6"/>
    <w:rsid w:val="6F915B92"/>
    <w:rsid w:val="746336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3583</Words>
  <Characters>3817</Characters>
  <Lines>0</Lines>
  <Paragraphs>0</Paragraphs>
  <TotalTime>3</TotalTime>
  <ScaleCrop>false</ScaleCrop>
  <LinksUpToDate>false</LinksUpToDate>
  <CharactersWithSpaces>4316</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2022-09-05T08:47:00Z</dcterms:created>
  <dc:creator>Administrator</dc:creator>
  <cp:lastModifiedBy>Hedy</cp:lastModifiedBy>
  <dcterms:modified xsi:type="dcterms:W3CDTF">2022-09-07T03:39:47Z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BB38128A22D945B094454764B67C66C0</vt:lpwstr>
  </property>
</Properties>
</file>