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jc w:val="left"/>
        <w:textAlignment w:val="center"/>
        <w:rPr>
          <w:rFonts w:ascii="Segoe UI" w:hAnsi="Segoe UI" w:eastAsia="宋体" w:cs="Segoe UI"/>
          <w:b/>
          <w:color w:val="212529"/>
          <w:kern w:val="0"/>
          <w:sz w:val="24"/>
          <w:szCs w:val="24"/>
        </w:rPr>
      </w:pPr>
      <w:r>
        <w:rPr>
          <w:rFonts w:hint="eastAsia" w:ascii="Segoe UI" w:hAnsi="Segoe UI" w:eastAsia="宋体" w:cs="Segoe UI"/>
          <w:b/>
          <w:color w:val="212529"/>
          <w:kern w:val="0"/>
          <w:sz w:val="24"/>
          <w:szCs w:val="24"/>
        </w:rPr>
        <w:t xml:space="preserve"> </w:t>
      </w:r>
      <w:r>
        <w:rPr>
          <w:rFonts w:ascii="Segoe UI" w:hAnsi="Segoe UI" w:eastAsia="宋体" w:cs="Segoe UI"/>
          <w:b/>
          <w:color w:val="212529"/>
          <w:kern w:val="0"/>
          <w:sz w:val="24"/>
          <w:szCs w:val="24"/>
        </w:rPr>
        <w:t>2020年中国国际贸易促进委员会岳阳楼区委员会整体支出绩效评价报告</w:t>
      </w:r>
    </w:p>
    <w:p>
      <w:pPr>
        <w:widowControl/>
        <w:shd w:val="clear" w:color="auto" w:fill="FFFFFF"/>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受岳阳楼区财政局委托，湖南公众会计师事务所根据《岳阳楼区财政局关于开展2021年财政支出重点绩效评价工作的通知》（岳楼财绩[2021]4号）要求，对中国国际贸易促进会岳阳楼区委员会2020年部门整体支出开展绩效评价工作，现将情况汇报如下：</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一、基本情况</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（一）机构人员情况</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中国国际贸易促进委员会岳阳楼区委员会为区人民政府国内外经贸联络正科级群团机构，核定部门编制7名，2020年末实有正式在职人员7人，社区抽调1人，临聘人员2人，临时工1人，共计在职人员11人，另外退休人员1人。机关设置2个内设股室：办公室（法律事务部，兼国际商会秘书会）、国际展览部。</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（二）单位主要职责</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1.负责同国内外经济贸易界商会、协会、贸易机构及其经贸团体的经贸联络工作。</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2.与国外相关经贸组织签订有关经贸技术交流协议，并参加经贸展览会。</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3.为本土企业搭建平台，参加国内外经贸洽谈活动，组织企业产品参加经贸展览会。</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4.完成楼区产业规划工作和招商引资工作。</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5、协助完成区人民政府交办其他各项工作任务。</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（三）本年度重点工作计划</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1.完成产业规划编制工作。</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2.强力推进项目前招商工作。</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3.大力发展会员单位，目标任务新发展会员单位3家。</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4.精心细致组织企业参展，大力推进楼区企业产品优势力，帮助企业走出去。</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二、部门整体预算收入、支出管理情况</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（一）部门整体收入预算情况</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2020年财政预算安排经费180.55万元，追加财政拨款收入183.65万元，收入合计364.20万元。</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（二）部门整体收入支出完成情况</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1.部门整体收入、支出使用范围、方向和内容  2020年该会整体收入计364.20万元，支出403.88 万元。其中人员经费214.56万元，包括工资福利支出149.11万元、对个人和家庭补助2.17万元，对企业补助费用3.55万元，商品和服务支出59.73万元；专项支出189.32万元。</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三公经费”支出情况。2020年“三公”经费支出22.74万元为接待费，其中：招商引资专项接待费15.84万元、产业规划专项接待费6.53万元、公务接待费0.37万元；无公务用车购置费及运行维护费、无因公出国（境）费支出。</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xml:space="preserve">3.累计盈余情况。上年结转盈余7.85万元，本年盈余－39.68万元，2020年1月2号凭证2019年终资金结转46.14万元，年末累计盈余14.31万元，产业规划合同尾款于2021年上半年支付完毕。    </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三、绩效评价工作情况</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（一）实施依据</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1.《中华人民共和国预算法》</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2.财政部关于印发《财政支出绩效评价管理暂行办法》的通知（财预〔2011〕285号）</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3.《湖南省人民政府关于全面推进预算绩效管理的意见》（湘政发〔2012〕33号）</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4.《湖南省人民政府关于深化预算管理制度改革的实施意见》（湘政发〔2015〕8号）</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5. 《岳阳楼区财政局关于开展2021年财政支出重点绩效评价工作的通知》（岳楼财绩〔2021〕4号）</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6.《政府会计制度准则》、单位相关《财务管理规定》、内控制度等</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7.2020年度有关单位编制的绩效目标、项目申报资料、上级下达专项资金指标预算执行和项目实施的有关材料等。</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8.其他相关法律法规</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（二）整体支出绩效评价目的</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本次绩效评价主要目的是：通过对2020年度中国国际贸易促进委员会岳阳楼区委员会的预算配置、预算管理、资产管理、职责履行、履职效益及项目和资金管理制度办法的健全性及执行情况；预算资金的绩效情况，即实现的产出情况和取得的效益情况；绩效目标的实现程度，以及影响绩效目标实现的因素；预算支出的政策环境适应情况、其他相关等内容进行绩效评价，对预算支出管理，建立科学、全面、合理的绩效评价管理体系，以提高财政资金的使用效率，实现政府公共目标，为决策部门制定政策依据、改进财政预算支出管理提供有价值的依据。</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（三）整体支出评价原则、指标评价体系（附体系表）评价方法</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1.整体支出绩效评价原则：整体支出绩效评价过程中，我们遵循客观公正、操作简便高效、尊重客观实际、实事求是的原则。</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2.整体支出绩效评价体系：在中国国际贸易促进委员会岳阳楼区委员会《整体支出绩效评价指标体系》参考样表的基础上，根据中国国际贸易促进委员会岳阳楼区委员会整体支出的实际内容及情况进行了调整。</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3.整体支出绩效评价方法：主要采用因素分析法、投入产出效益分析法、比较法、相关部门问卷调查等方法。</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（四）整体支出绩效评价过程</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前期准备：受岳阳楼区财政局委托，按照岳阳楼区财政局绩效评价业务委托合同的相关工作要求，我所于2021年6月26号成立了以杨鸣同志为组长的六人绩效评价工作小组，对照相关的国家法律法规及《岳阳楼区财政局关于开展2021年度财政支出重点绩效评价工作的通知》（岳楼财绩〔2021〕4号）通知精神，对中国国际贸易促进委员会岳阳楼区委员会2020年度整体支出绩效评价工作编制了评价实施方案，制定了部门整体支出绩效评价体系及评分表。根据中国国际贸易促进委员会岳阳楼区委员会整体绩效情况设置了相关问题，进行了社会问卷调查。</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2.组织实施：2021年7月15日-7月25日，我所绩效评价工作小组进驻中国国际贸易促进委员会岳阳楼区委员会，采用核查、抽查等方法检查了该会2020年财政预算执行情况，着重核查了财务收支、资产管理及内部控制制度等情况，对内设机构根据单位职能和年初制定部门绩效考核目标，进行了绩效考评。</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3.分析评价：通过对资料进行整理，分析汇总，依据设定部门整体支出绩效评价指标体系进行了评分，最终形成了综合性书面报告。</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四、整体支出管理和使用情况评价分析</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xml:space="preserve">（一）预算配置情况评价分析  根据岳阳楼区编制部门文件规定，中国国际贸易促进委员会岳阳楼区委员会人员编制7人，2020年决算报表反映实际在职人员11人，超编4人，财政供养人员控制率为157%。  </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xml:space="preserve">（二）整体预算收支出情况分析  </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整体收支出情况分析： 中国国际贸易促进委员会岳阳楼区委员会2020年度财政预算收入364.20万元，支出403.88万元，其中基本支出214.56万元占支出53.12%，包括工资福利支出149.11万元占支出36.92%，商品和服务支出59.73万元占支出14.79%，对个人和家庭补助2.17万元占支出0.54% ，对企业补助3.55万元占支出的0.88%；专项资金支出189.32万元占支出46.88%，本期盈余－39.68万元。明细见下表：</w:t>
      </w:r>
    </w:p>
    <w:tbl>
      <w:tblPr>
        <w:tblStyle w:val="3"/>
        <w:tblpPr w:leftFromText="45" w:rightFromText="45" w:vertAnchor="text"/>
        <w:tblW w:w="8835" w:type="dxa"/>
        <w:tblInd w:w="0" w:type="dxa"/>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Layout w:type="autofit"/>
        <w:tblCellMar>
          <w:top w:w="0" w:type="dxa"/>
          <w:left w:w="0" w:type="dxa"/>
          <w:bottom w:w="0" w:type="dxa"/>
          <w:right w:w="0" w:type="dxa"/>
        </w:tblCellMar>
      </w:tblPr>
      <w:tblGrid>
        <w:gridCol w:w="2355"/>
        <w:gridCol w:w="1155"/>
        <w:gridCol w:w="1545"/>
        <w:gridCol w:w="1290"/>
        <w:gridCol w:w="1455"/>
        <w:gridCol w:w="1035"/>
      </w:tblGrid>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PrEx>
        <w:tc>
          <w:tcPr>
            <w:tcW w:w="7800" w:type="dxa"/>
            <w:gridSpan w:val="5"/>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2020年部门整体支出分析表</w:t>
            </w:r>
          </w:p>
        </w:tc>
        <w:tc>
          <w:tcPr>
            <w:tcW w:w="1035" w:type="dxa"/>
            <w:tcBorders>
              <w:top w:val="outset" w:color="000000" w:sz="6" w:space="0"/>
              <w:left w:val="outset" w:color="000000" w:sz="6" w:space="0"/>
              <w:bottom w:val="outset" w:color="000000" w:sz="6" w:space="0"/>
              <w:right w:val="outset" w:color="000000" w:sz="6" w:space="0"/>
            </w:tcBorders>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PrEx>
        <w:tc>
          <w:tcPr>
            <w:tcW w:w="23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1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54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2745" w:type="dxa"/>
            <w:gridSpan w:val="2"/>
            <w:tcBorders>
              <w:top w:val="outset" w:color="000000" w:sz="6" w:space="0"/>
              <w:left w:val="outset" w:color="000000" w:sz="6" w:space="0"/>
              <w:bottom w:val="outset" w:color="000000" w:sz="6" w:space="0"/>
              <w:right w:val="outset" w:color="000000" w:sz="6" w:space="0"/>
            </w:tcBorders>
            <w:vAlign w:val="center"/>
          </w:tcPr>
          <w:p>
            <w:pPr>
              <w:widowControl/>
              <w:jc w:val="righ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单位：万元</w:t>
            </w:r>
          </w:p>
        </w:tc>
        <w:tc>
          <w:tcPr>
            <w:tcW w:w="1035" w:type="dxa"/>
            <w:tcBorders>
              <w:top w:val="outset" w:color="000000" w:sz="6" w:space="0"/>
              <w:left w:val="outset" w:color="000000" w:sz="6" w:space="0"/>
              <w:bottom w:val="outset" w:color="000000" w:sz="6" w:space="0"/>
              <w:right w:val="outset" w:color="000000" w:sz="6" w:space="0"/>
            </w:tcBorders>
          </w:tcPr>
          <w:p>
            <w:pPr>
              <w:widowControl/>
              <w:jc w:val="righ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PrEx>
        <w:tc>
          <w:tcPr>
            <w:tcW w:w="2355" w:type="dxa"/>
            <w:vMerge w:val="restart"/>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项目</w:t>
            </w:r>
          </w:p>
        </w:tc>
        <w:tc>
          <w:tcPr>
            <w:tcW w:w="1155" w:type="dxa"/>
            <w:vMerge w:val="restart"/>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金额</w:t>
            </w:r>
          </w:p>
        </w:tc>
        <w:tc>
          <w:tcPr>
            <w:tcW w:w="1545" w:type="dxa"/>
            <w:vMerge w:val="restart"/>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占支出%</w:t>
            </w:r>
          </w:p>
        </w:tc>
        <w:tc>
          <w:tcPr>
            <w:tcW w:w="2745" w:type="dxa"/>
            <w:gridSpan w:val="2"/>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占%</w:t>
            </w:r>
          </w:p>
        </w:tc>
        <w:tc>
          <w:tcPr>
            <w:tcW w:w="1035" w:type="dxa"/>
            <w:vMerge w:val="restart"/>
            <w:tcBorders>
              <w:top w:val="outset" w:color="000000" w:sz="6" w:space="0"/>
              <w:left w:val="outset" w:color="000000" w:sz="6" w:space="0"/>
              <w:bottom w:val="outset" w:color="000000" w:sz="6" w:space="0"/>
              <w:right w:val="outset" w:color="000000" w:sz="6" w:space="0"/>
            </w:tcBorders>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备注</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outset" w:color="000000" w:sz="6" w:space="0"/>
              <w:left w:val="outset" w:color="000000" w:sz="6" w:space="0"/>
              <w:bottom w:val="outset" w:color="000000" w:sz="6" w:space="0"/>
              <w:right w:val="outset" w:color="000000" w:sz="6" w:space="0"/>
            </w:tcBorders>
            <w:vAlign w:val="center"/>
          </w:tcPr>
          <w:p>
            <w:pPr>
              <w:widowControl/>
              <w:jc w:val="left"/>
              <w:rPr>
                <w:rFonts w:ascii="Segoe UI" w:hAnsi="Segoe UI" w:eastAsia="宋体" w:cs="Segoe UI"/>
                <w:color w:val="212529"/>
                <w:kern w:val="0"/>
                <w:sz w:val="24"/>
                <w:szCs w:val="24"/>
              </w:rPr>
            </w:pPr>
          </w:p>
        </w:tc>
        <w:tc>
          <w:tcPr>
            <w:tcW w:w="0" w:type="auto"/>
            <w:vMerge w:val="continue"/>
            <w:tcBorders>
              <w:top w:val="outset" w:color="000000" w:sz="6" w:space="0"/>
              <w:left w:val="outset" w:color="000000" w:sz="6" w:space="0"/>
              <w:bottom w:val="outset" w:color="000000" w:sz="6" w:space="0"/>
              <w:right w:val="outset" w:color="000000" w:sz="6" w:space="0"/>
            </w:tcBorders>
            <w:vAlign w:val="center"/>
          </w:tcPr>
          <w:p>
            <w:pPr>
              <w:widowControl/>
              <w:jc w:val="left"/>
              <w:rPr>
                <w:rFonts w:ascii="Segoe UI" w:hAnsi="Segoe UI" w:eastAsia="宋体" w:cs="Segoe UI"/>
                <w:color w:val="212529"/>
                <w:kern w:val="0"/>
                <w:sz w:val="24"/>
                <w:szCs w:val="24"/>
              </w:rPr>
            </w:pPr>
          </w:p>
        </w:tc>
        <w:tc>
          <w:tcPr>
            <w:tcW w:w="0" w:type="auto"/>
            <w:vMerge w:val="continue"/>
            <w:tcBorders>
              <w:top w:val="outset" w:color="000000" w:sz="6" w:space="0"/>
              <w:left w:val="outset" w:color="000000" w:sz="6" w:space="0"/>
              <w:bottom w:val="outset" w:color="000000" w:sz="6" w:space="0"/>
              <w:right w:val="outset" w:color="000000" w:sz="6" w:space="0"/>
            </w:tcBorders>
            <w:vAlign w:val="center"/>
          </w:tcPr>
          <w:p>
            <w:pPr>
              <w:widowControl/>
              <w:jc w:val="left"/>
              <w:rPr>
                <w:rFonts w:ascii="Segoe UI" w:hAnsi="Segoe UI" w:eastAsia="宋体" w:cs="Segoe UI"/>
                <w:color w:val="212529"/>
                <w:kern w:val="0"/>
                <w:sz w:val="24"/>
                <w:szCs w:val="24"/>
              </w:rPr>
            </w:pPr>
          </w:p>
        </w:tc>
        <w:tc>
          <w:tcPr>
            <w:tcW w:w="1290"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基本支出</w:t>
            </w:r>
          </w:p>
        </w:tc>
        <w:tc>
          <w:tcPr>
            <w:tcW w:w="145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项目支出</w:t>
            </w:r>
          </w:p>
        </w:tc>
        <w:tc>
          <w:tcPr>
            <w:tcW w:w="0" w:type="auto"/>
            <w:vMerge w:val="continue"/>
            <w:tcBorders>
              <w:top w:val="outset" w:color="000000" w:sz="6" w:space="0"/>
              <w:left w:val="outset" w:color="000000" w:sz="6" w:space="0"/>
              <w:bottom w:val="outset" w:color="000000" w:sz="6" w:space="0"/>
              <w:right w:val="outset" w:color="000000" w:sz="6" w:space="0"/>
            </w:tcBorders>
            <w:vAlign w:val="center"/>
          </w:tcPr>
          <w:p>
            <w:pPr>
              <w:widowControl/>
              <w:jc w:val="left"/>
              <w:rPr>
                <w:rFonts w:ascii="Segoe UI" w:hAnsi="Segoe UI" w:eastAsia="宋体" w:cs="Segoe UI"/>
                <w:color w:val="212529"/>
                <w:kern w:val="0"/>
                <w:sz w:val="24"/>
                <w:szCs w:val="24"/>
              </w:rPr>
            </w:pP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23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（一）基本支出</w:t>
            </w:r>
          </w:p>
        </w:tc>
        <w:tc>
          <w:tcPr>
            <w:tcW w:w="115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214.56</w:t>
            </w:r>
          </w:p>
        </w:tc>
        <w:tc>
          <w:tcPr>
            <w:tcW w:w="154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53.12</w:t>
            </w:r>
          </w:p>
        </w:tc>
        <w:tc>
          <w:tcPr>
            <w:tcW w:w="1290"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53.12</w:t>
            </w:r>
          </w:p>
        </w:tc>
        <w:tc>
          <w:tcPr>
            <w:tcW w:w="14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035" w:type="dxa"/>
            <w:tcBorders>
              <w:top w:val="outset" w:color="000000" w:sz="6" w:space="0"/>
              <w:left w:val="outset" w:color="000000" w:sz="6" w:space="0"/>
              <w:bottom w:val="outset" w:color="000000" w:sz="6" w:space="0"/>
              <w:right w:val="outset" w:color="000000" w:sz="6" w:space="0"/>
            </w:tcBorders>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23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工资和福利支出</w:t>
            </w:r>
          </w:p>
        </w:tc>
        <w:tc>
          <w:tcPr>
            <w:tcW w:w="1155" w:type="dxa"/>
            <w:tcBorders>
              <w:top w:val="outset" w:color="000000" w:sz="6" w:space="0"/>
              <w:left w:val="outset" w:color="000000" w:sz="6" w:space="0"/>
              <w:bottom w:val="outset" w:color="000000" w:sz="6" w:space="0"/>
              <w:right w:val="outset" w:color="000000" w:sz="6" w:space="0"/>
            </w:tcBorders>
            <w:vAlign w:val="center"/>
          </w:tcPr>
          <w:p>
            <w:pPr>
              <w:widowControl/>
              <w:jc w:val="righ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149.11</w:t>
            </w:r>
          </w:p>
        </w:tc>
        <w:tc>
          <w:tcPr>
            <w:tcW w:w="154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290" w:type="dxa"/>
            <w:tcBorders>
              <w:top w:val="outset" w:color="000000" w:sz="6" w:space="0"/>
              <w:left w:val="outset" w:color="000000" w:sz="6" w:space="0"/>
              <w:bottom w:val="outset" w:color="000000" w:sz="6" w:space="0"/>
              <w:right w:val="outset" w:color="000000" w:sz="6" w:space="0"/>
            </w:tcBorders>
            <w:vAlign w:val="center"/>
          </w:tcPr>
          <w:p>
            <w:pPr>
              <w:widowControl/>
              <w:ind w:firstLine="240" w:firstLineChars="100"/>
              <w:jc w:val="left"/>
              <w:textAlignment w:val="center"/>
              <w:rPr>
                <w:rFonts w:ascii="Segoe UI" w:hAnsi="Segoe UI" w:eastAsia="宋体" w:cs="Segoe UI"/>
                <w:color w:val="212529"/>
                <w:kern w:val="0"/>
                <w:sz w:val="24"/>
                <w:szCs w:val="24"/>
              </w:rPr>
            </w:pPr>
            <w:bookmarkStart w:id="0" w:name="_GoBack"/>
            <w:bookmarkEnd w:id="0"/>
            <w:r>
              <w:rPr>
                <w:rFonts w:ascii="Segoe UI" w:hAnsi="Segoe UI" w:eastAsia="宋体" w:cs="Segoe UI"/>
                <w:color w:val="212529"/>
                <w:kern w:val="0"/>
                <w:sz w:val="24"/>
                <w:szCs w:val="24"/>
              </w:rPr>
              <w:t>36.92</w:t>
            </w:r>
          </w:p>
        </w:tc>
        <w:tc>
          <w:tcPr>
            <w:tcW w:w="14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035" w:type="dxa"/>
            <w:tcBorders>
              <w:top w:val="outset" w:color="000000" w:sz="6" w:space="0"/>
              <w:left w:val="outset" w:color="000000" w:sz="6" w:space="0"/>
              <w:bottom w:val="outset" w:color="000000" w:sz="6" w:space="0"/>
              <w:right w:val="outset" w:color="000000" w:sz="6" w:space="0"/>
            </w:tcBorders>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23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对个人和家庭补助</w:t>
            </w:r>
          </w:p>
        </w:tc>
        <w:tc>
          <w:tcPr>
            <w:tcW w:w="1155" w:type="dxa"/>
            <w:tcBorders>
              <w:top w:val="outset" w:color="000000" w:sz="6" w:space="0"/>
              <w:left w:val="outset" w:color="000000" w:sz="6" w:space="0"/>
              <w:bottom w:val="outset" w:color="000000" w:sz="6" w:space="0"/>
              <w:right w:val="outset" w:color="000000" w:sz="6" w:space="0"/>
            </w:tcBorders>
            <w:vAlign w:val="center"/>
          </w:tcPr>
          <w:p>
            <w:pPr>
              <w:widowControl/>
              <w:jc w:val="righ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2.17</w:t>
            </w:r>
          </w:p>
        </w:tc>
        <w:tc>
          <w:tcPr>
            <w:tcW w:w="154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290"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0.54</w:t>
            </w:r>
          </w:p>
        </w:tc>
        <w:tc>
          <w:tcPr>
            <w:tcW w:w="14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035" w:type="dxa"/>
            <w:tcBorders>
              <w:top w:val="outset" w:color="000000" w:sz="6" w:space="0"/>
              <w:left w:val="outset" w:color="000000" w:sz="6" w:space="0"/>
              <w:bottom w:val="outset" w:color="000000" w:sz="6" w:space="0"/>
              <w:right w:val="outset" w:color="000000" w:sz="6" w:space="0"/>
            </w:tcBorders>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23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商品和服务支出</w:t>
            </w:r>
          </w:p>
        </w:tc>
        <w:tc>
          <w:tcPr>
            <w:tcW w:w="1155" w:type="dxa"/>
            <w:tcBorders>
              <w:top w:val="outset" w:color="000000" w:sz="6" w:space="0"/>
              <w:left w:val="outset" w:color="000000" w:sz="6" w:space="0"/>
              <w:bottom w:val="outset" w:color="000000" w:sz="6" w:space="0"/>
              <w:right w:val="outset" w:color="000000" w:sz="6" w:space="0"/>
            </w:tcBorders>
            <w:vAlign w:val="center"/>
          </w:tcPr>
          <w:p>
            <w:pPr>
              <w:widowControl/>
              <w:jc w:val="righ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59.73</w:t>
            </w:r>
          </w:p>
        </w:tc>
        <w:tc>
          <w:tcPr>
            <w:tcW w:w="154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290"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14.79</w:t>
            </w:r>
          </w:p>
        </w:tc>
        <w:tc>
          <w:tcPr>
            <w:tcW w:w="145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035" w:type="dxa"/>
            <w:tcBorders>
              <w:top w:val="outset" w:color="000000" w:sz="6" w:space="0"/>
              <w:left w:val="outset" w:color="000000" w:sz="6" w:space="0"/>
              <w:bottom w:val="outset" w:color="000000" w:sz="6" w:space="0"/>
              <w:right w:val="outset" w:color="000000" w:sz="6" w:space="0"/>
            </w:tcBorders>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23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对企业补助费用</w:t>
            </w:r>
          </w:p>
        </w:tc>
        <w:tc>
          <w:tcPr>
            <w:tcW w:w="1155" w:type="dxa"/>
            <w:tcBorders>
              <w:top w:val="outset" w:color="000000" w:sz="6" w:space="0"/>
              <w:left w:val="outset" w:color="000000" w:sz="6" w:space="0"/>
              <w:bottom w:val="outset" w:color="000000" w:sz="6" w:space="0"/>
              <w:right w:val="outset" w:color="000000" w:sz="6" w:space="0"/>
            </w:tcBorders>
            <w:vAlign w:val="center"/>
          </w:tcPr>
          <w:p>
            <w:pPr>
              <w:widowControl/>
              <w:jc w:val="righ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3.55</w:t>
            </w:r>
          </w:p>
        </w:tc>
        <w:tc>
          <w:tcPr>
            <w:tcW w:w="154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290"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0.88</w:t>
            </w:r>
          </w:p>
        </w:tc>
        <w:tc>
          <w:tcPr>
            <w:tcW w:w="145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035" w:type="dxa"/>
            <w:tcBorders>
              <w:top w:val="outset" w:color="000000" w:sz="6" w:space="0"/>
              <w:left w:val="outset" w:color="000000" w:sz="6" w:space="0"/>
              <w:bottom w:val="outset" w:color="000000" w:sz="6" w:space="0"/>
              <w:right w:val="outset" w:color="000000" w:sz="6" w:space="0"/>
            </w:tcBorders>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23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其他资本性支出</w:t>
            </w:r>
          </w:p>
        </w:tc>
        <w:tc>
          <w:tcPr>
            <w:tcW w:w="1155" w:type="dxa"/>
            <w:tcBorders>
              <w:top w:val="outset" w:color="000000" w:sz="6" w:space="0"/>
              <w:left w:val="outset" w:color="000000" w:sz="6" w:space="0"/>
              <w:bottom w:val="outset" w:color="000000" w:sz="6" w:space="0"/>
              <w:right w:val="outset" w:color="000000" w:sz="6" w:space="0"/>
            </w:tcBorders>
            <w:vAlign w:val="center"/>
          </w:tcPr>
          <w:p>
            <w:pPr>
              <w:widowControl/>
              <w:jc w:val="righ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54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290"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45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035" w:type="dxa"/>
            <w:tcBorders>
              <w:top w:val="outset" w:color="000000" w:sz="6" w:space="0"/>
              <w:left w:val="outset" w:color="000000" w:sz="6" w:space="0"/>
              <w:bottom w:val="outset" w:color="000000" w:sz="6" w:space="0"/>
              <w:right w:val="outset" w:color="000000" w:sz="6" w:space="0"/>
            </w:tcBorders>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23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（二）项目支出</w:t>
            </w:r>
          </w:p>
        </w:tc>
        <w:tc>
          <w:tcPr>
            <w:tcW w:w="1155" w:type="dxa"/>
            <w:tcBorders>
              <w:top w:val="outset" w:color="000000" w:sz="6" w:space="0"/>
              <w:left w:val="outset" w:color="000000" w:sz="6" w:space="0"/>
              <w:bottom w:val="outset" w:color="000000" w:sz="6" w:space="0"/>
              <w:right w:val="outset" w:color="000000" w:sz="6" w:space="0"/>
            </w:tcBorders>
            <w:vAlign w:val="center"/>
          </w:tcPr>
          <w:p>
            <w:pPr>
              <w:widowControl/>
              <w:jc w:val="righ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189.32</w:t>
            </w:r>
          </w:p>
        </w:tc>
        <w:tc>
          <w:tcPr>
            <w:tcW w:w="154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46.88</w:t>
            </w:r>
          </w:p>
        </w:tc>
        <w:tc>
          <w:tcPr>
            <w:tcW w:w="1290"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45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46.88</w:t>
            </w:r>
          </w:p>
        </w:tc>
        <w:tc>
          <w:tcPr>
            <w:tcW w:w="1035" w:type="dxa"/>
            <w:tcBorders>
              <w:top w:val="outset" w:color="000000" w:sz="6" w:space="0"/>
              <w:left w:val="outset" w:color="000000" w:sz="6" w:space="0"/>
              <w:bottom w:val="outset" w:color="000000" w:sz="6" w:space="0"/>
              <w:right w:val="outset" w:color="000000" w:sz="6" w:space="0"/>
            </w:tcBorders>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23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产业规划专项支出</w:t>
            </w:r>
          </w:p>
        </w:tc>
        <w:tc>
          <w:tcPr>
            <w:tcW w:w="1155" w:type="dxa"/>
            <w:tcBorders>
              <w:top w:val="outset" w:color="000000" w:sz="6" w:space="0"/>
              <w:left w:val="outset" w:color="000000" w:sz="6" w:space="0"/>
              <w:bottom w:val="outset" w:color="000000" w:sz="6" w:space="0"/>
              <w:right w:val="outset" w:color="000000" w:sz="6" w:space="0"/>
            </w:tcBorders>
            <w:vAlign w:val="center"/>
          </w:tcPr>
          <w:p>
            <w:pPr>
              <w:widowControl/>
              <w:jc w:val="righ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163.71</w:t>
            </w:r>
          </w:p>
        </w:tc>
        <w:tc>
          <w:tcPr>
            <w:tcW w:w="154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290"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45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40.53</w:t>
            </w:r>
          </w:p>
        </w:tc>
        <w:tc>
          <w:tcPr>
            <w:tcW w:w="1035" w:type="dxa"/>
            <w:tcBorders>
              <w:top w:val="outset" w:color="000000" w:sz="6" w:space="0"/>
              <w:left w:val="outset" w:color="000000" w:sz="6" w:space="0"/>
              <w:bottom w:val="outset" w:color="000000" w:sz="6" w:space="0"/>
              <w:right w:val="outset" w:color="000000" w:sz="6" w:space="0"/>
            </w:tcBorders>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23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招商规划专项支出</w:t>
            </w:r>
          </w:p>
        </w:tc>
        <w:tc>
          <w:tcPr>
            <w:tcW w:w="1155" w:type="dxa"/>
            <w:tcBorders>
              <w:top w:val="outset" w:color="000000" w:sz="6" w:space="0"/>
              <w:left w:val="outset" w:color="000000" w:sz="6" w:space="0"/>
              <w:bottom w:val="outset" w:color="000000" w:sz="6" w:space="0"/>
              <w:right w:val="outset" w:color="000000" w:sz="6" w:space="0"/>
            </w:tcBorders>
            <w:vAlign w:val="center"/>
          </w:tcPr>
          <w:p>
            <w:pPr>
              <w:widowControl/>
              <w:jc w:val="righ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25.61</w:t>
            </w:r>
          </w:p>
        </w:tc>
        <w:tc>
          <w:tcPr>
            <w:tcW w:w="154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290"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45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6.35</w:t>
            </w:r>
          </w:p>
        </w:tc>
        <w:tc>
          <w:tcPr>
            <w:tcW w:w="1035" w:type="dxa"/>
            <w:tcBorders>
              <w:top w:val="outset" w:color="000000" w:sz="6" w:space="0"/>
              <w:left w:val="outset" w:color="000000" w:sz="6" w:space="0"/>
              <w:bottom w:val="outset" w:color="000000" w:sz="6" w:space="0"/>
              <w:right w:val="outset" w:color="000000" w:sz="6" w:space="0"/>
            </w:tcBorders>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23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15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54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290"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45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035" w:type="dxa"/>
            <w:tcBorders>
              <w:top w:val="outset" w:color="000000" w:sz="6" w:space="0"/>
              <w:left w:val="outset" w:color="000000" w:sz="6" w:space="0"/>
              <w:bottom w:val="outset" w:color="000000" w:sz="6" w:space="0"/>
              <w:right w:val="outset" w:color="000000" w:sz="6" w:space="0"/>
            </w:tcBorders>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23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155" w:type="dxa"/>
            <w:tcBorders>
              <w:top w:val="outset" w:color="000000" w:sz="6" w:space="0"/>
              <w:left w:val="outset" w:color="000000" w:sz="6" w:space="0"/>
              <w:bottom w:val="outset" w:color="000000" w:sz="6" w:space="0"/>
              <w:right w:val="outset" w:color="000000" w:sz="6" w:space="0"/>
            </w:tcBorders>
            <w:vAlign w:val="center"/>
          </w:tcPr>
          <w:p>
            <w:pPr>
              <w:widowControl/>
              <w:jc w:val="righ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54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290"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45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035" w:type="dxa"/>
            <w:tcBorders>
              <w:top w:val="outset" w:color="000000" w:sz="6" w:space="0"/>
              <w:left w:val="outset" w:color="000000" w:sz="6" w:space="0"/>
              <w:bottom w:val="outset" w:color="000000" w:sz="6" w:space="0"/>
              <w:right w:val="outset" w:color="000000" w:sz="6" w:space="0"/>
            </w:tcBorders>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23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155" w:type="dxa"/>
            <w:tcBorders>
              <w:top w:val="outset" w:color="000000" w:sz="6" w:space="0"/>
              <w:left w:val="outset" w:color="000000" w:sz="6" w:space="0"/>
              <w:bottom w:val="outset" w:color="000000" w:sz="6" w:space="0"/>
              <w:right w:val="outset" w:color="000000" w:sz="6" w:space="0"/>
            </w:tcBorders>
            <w:vAlign w:val="center"/>
          </w:tcPr>
          <w:p>
            <w:pPr>
              <w:widowControl/>
              <w:jc w:val="righ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54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290"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45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035" w:type="dxa"/>
            <w:tcBorders>
              <w:top w:val="outset" w:color="000000" w:sz="6" w:space="0"/>
              <w:left w:val="outset" w:color="000000" w:sz="6" w:space="0"/>
              <w:bottom w:val="outset" w:color="000000" w:sz="6" w:space="0"/>
              <w:right w:val="outset" w:color="000000" w:sz="6" w:space="0"/>
            </w:tcBorders>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2355" w:type="dxa"/>
            <w:tcBorders>
              <w:top w:val="outset" w:color="000000" w:sz="6" w:space="0"/>
              <w:left w:val="outset" w:color="000000" w:sz="6" w:space="0"/>
              <w:bottom w:val="outset" w:color="000000" w:sz="6" w:space="0"/>
              <w:right w:val="outset" w:color="000000" w:sz="6" w:space="0"/>
            </w:tcBorders>
            <w:vAlign w:val="center"/>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合计</w:t>
            </w:r>
          </w:p>
        </w:tc>
        <w:tc>
          <w:tcPr>
            <w:tcW w:w="1155" w:type="dxa"/>
            <w:tcBorders>
              <w:top w:val="outset" w:color="000000" w:sz="6" w:space="0"/>
              <w:left w:val="outset" w:color="000000" w:sz="6" w:space="0"/>
              <w:bottom w:val="outset" w:color="000000" w:sz="6" w:space="0"/>
              <w:right w:val="outset" w:color="000000" w:sz="6" w:space="0"/>
            </w:tcBorders>
            <w:vAlign w:val="center"/>
          </w:tcPr>
          <w:p>
            <w:pPr>
              <w:widowControl/>
              <w:jc w:val="righ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403.88</w:t>
            </w:r>
          </w:p>
        </w:tc>
        <w:tc>
          <w:tcPr>
            <w:tcW w:w="154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100</w:t>
            </w:r>
          </w:p>
        </w:tc>
        <w:tc>
          <w:tcPr>
            <w:tcW w:w="1290"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53.12</w:t>
            </w:r>
          </w:p>
        </w:tc>
        <w:tc>
          <w:tcPr>
            <w:tcW w:w="145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46.88</w:t>
            </w:r>
          </w:p>
        </w:tc>
        <w:tc>
          <w:tcPr>
            <w:tcW w:w="1035" w:type="dxa"/>
            <w:tcBorders>
              <w:top w:val="outset" w:color="000000" w:sz="6" w:space="0"/>
              <w:left w:val="outset" w:color="000000" w:sz="6" w:space="0"/>
              <w:bottom w:val="outset" w:color="000000" w:sz="6" w:space="0"/>
              <w:right w:val="outset" w:color="000000" w:sz="6" w:space="0"/>
            </w:tcBorders>
          </w:tcPr>
          <w:p>
            <w:pPr>
              <w:widowControl/>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bl>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（三）固定资产管理情况分析：</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截至年末固定资产原值16.80万元，其中房屋及构筑物15.24万元、通用设备1.4万元、家具用具0.158万元。</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固定资产原值及折旧情况如下表：</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bl>
      <w:tblPr>
        <w:tblStyle w:val="3"/>
        <w:tblW w:w="8745" w:type="dxa"/>
        <w:tblInd w:w="0" w:type="dxa"/>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Layout w:type="autofit"/>
        <w:tblCellMar>
          <w:top w:w="0" w:type="dxa"/>
          <w:left w:w="0" w:type="dxa"/>
          <w:bottom w:w="0" w:type="dxa"/>
          <w:right w:w="0" w:type="dxa"/>
        </w:tblCellMar>
      </w:tblPr>
      <w:tblGrid>
        <w:gridCol w:w="585"/>
        <w:gridCol w:w="2085"/>
        <w:gridCol w:w="1680"/>
        <w:gridCol w:w="1950"/>
        <w:gridCol w:w="1680"/>
        <w:gridCol w:w="795"/>
      </w:tblGrid>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8745" w:type="dxa"/>
            <w:gridSpan w:val="6"/>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208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68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95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2460" w:type="dxa"/>
            <w:gridSpan w:val="2"/>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单位：万元</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序号</w:t>
            </w:r>
          </w:p>
        </w:tc>
        <w:tc>
          <w:tcPr>
            <w:tcW w:w="208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资产名称</w:t>
            </w:r>
          </w:p>
        </w:tc>
        <w:tc>
          <w:tcPr>
            <w:tcW w:w="168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固定资产原值</w:t>
            </w:r>
          </w:p>
        </w:tc>
        <w:tc>
          <w:tcPr>
            <w:tcW w:w="195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固定资产折旧费</w:t>
            </w:r>
          </w:p>
        </w:tc>
        <w:tc>
          <w:tcPr>
            <w:tcW w:w="168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固定资产净值</w:t>
            </w:r>
          </w:p>
        </w:tc>
        <w:tc>
          <w:tcPr>
            <w:tcW w:w="79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备注</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w:t>
            </w:r>
          </w:p>
        </w:tc>
        <w:tc>
          <w:tcPr>
            <w:tcW w:w="208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房屋及构筑物</w:t>
            </w:r>
          </w:p>
        </w:tc>
        <w:tc>
          <w:tcPr>
            <w:tcW w:w="168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15.24</w:t>
            </w:r>
          </w:p>
        </w:tc>
        <w:tc>
          <w:tcPr>
            <w:tcW w:w="195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68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15.24</w:t>
            </w:r>
          </w:p>
        </w:tc>
        <w:tc>
          <w:tcPr>
            <w:tcW w:w="79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w:t>
            </w:r>
          </w:p>
        </w:tc>
        <w:tc>
          <w:tcPr>
            <w:tcW w:w="208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专用设备</w:t>
            </w:r>
          </w:p>
        </w:tc>
        <w:tc>
          <w:tcPr>
            <w:tcW w:w="168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95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68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0</w:t>
            </w:r>
          </w:p>
        </w:tc>
        <w:tc>
          <w:tcPr>
            <w:tcW w:w="79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3</w:t>
            </w:r>
          </w:p>
        </w:tc>
        <w:tc>
          <w:tcPr>
            <w:tcW w:w="208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通用设备</w:t>
            </w:r>
          </w:p>
        </w:tc>
        <w:tc>
          <w:tcPr>
            <w:tcW w:w="168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1.4</w:t>
            </w:r>
          </w:p>
        </w:tc>
        <w:tc>
          <w:tcPr>
            <w:tcW w:w="195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6.29</w:t>
            </w:r>
          </w:p>
        </w:tc>
        <w:tc>
          <w:tcPr>
            <w:tcW w:w="168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-4.89</w:t>
            </w:r>
          </w:p>
        </w:tc>
        <w:tc>
          <w:tcPr>
            <w:tcW w:w="79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w:t>
            </w:r>
          </w:p>
        </w:tc>
        <w:tc>
          <w:tcPr>
            <w:tcW w:w="2085" w:type="dxa"/>
            <w:tcBorders>
              <w:top w:val="outset" w:color="000000" w:sz="6" w:space="0"/>
              <w:left w:val="outset" w:color="000000" w:sz="6" w:space="0"/>
              <w:bottom w:val="outset" w:color="000000" w:sz="6" w:space="0"/>
              <w:right w:val="outset" w:color="000000" w:sz="6" w:space="0"/>
            </w:tcBorders>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家具、用具、装具及动植物</w:t>
            </w:r>
          </w:p>
        </w:tc>
        <w:tc>
          <w:tcPr>
            <w:tcW w:w="168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0.16</w:t>
            </w:r>
          </w:p>
        </w:tc>
        <w:tc>
          <w:tcPr>
            <w:tcW w:w="195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4.18</w:t>
            </w:r>
          </w:p>
        </w:tc>
        <w:tc>
          <w:tcPr>
            <w:tcW w:w="168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-4.03</w:t>
            </w:r>
          </w:p>
        </w:tc>
        <w:tc>
          <w:tcPr>
            <w:tcW w:w="79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r>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PrEx>
        <w:tc>
          <w:tcPr>
            <w:tcW w:w="58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合计</w:t>
            </w:r>
          </w:p>
        </w:tc>
        <w:tc>
          <w:tcPr>
            <w:tcW w:w="208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c>
          <w:tcPr>
            <w:tcW w:w="168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16.8</w:t>
            </w:r>
          </w:p>
        </w:tc>
        <w:tc>
          <w:tcPr>
            <w:tcW w:w="195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10.47</w:t>
            </w:r>
          </w:p>
        </w:tc>
        <w:tc>
          <w:tcPr>
            <w:tcW w:w="1680"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6.32</w:t>
            </w:r>
          </w:p>
        </w:tc>
        <w:tc>
          <w:tcPr>
            <w:tcW w:w="795" w:type="dxa"/>
            <w:tcBorders>
              <w:top w:val="outset" w:color="000000" w:sz="6" w:space="0"/>
              <w:left w:val="outset" w:color="000000" w:sz="6" w:space="0"/>
              <w:bottom w:val="outset" w:color="000000" w:sz="6" w:space="0"/>
              <w:right w:val="outset" w:color="000000" w:sz="6" w:space="0"/>
            </w:tcBorders>
            <w:noWrap/>
            <w:vAlign w:val="center"/>
          </w:tcPr>
          <w:p>
            <w:pPr>
              <w:widowControl/>
              <w:jc w:val="center"/>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tc>
      </w:tr>
    </w:tbl>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五、整体支出绩效情况分析评价</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（一）整体支出绩效情况</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中国国际贸易促进委员会岳阳楼区委员会2020年度财政预算收入364.20万元，支出403.88万元。通过广泛对接、重点洽谈，强化招商引资，力促优势项目入区，棚改片区招商引资取得了一定的成效；通过与专业团队的合作与服务，较好地完成了岳阳楼区产业规划编制工作；通过帮助疫情期企业复工复产，帮助企业申报补贴资金，组织企业参训参展推进楼区企业优势，帮助企业走出去，为岳阳楼区企业发展提供了优质服务。较好地完成了区委区政府交办的工作任务和年初计划，较好地履行了其职能职责，取得较好的成效。</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（二）履职社会效益情况</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中国国际贸易促进委员会岳阳楼区委员会2020年做了大量工作取得以下成效：</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1.招商成效，招商3家知名企业岳阳楼区：</w:t>
      </w:r>
    </w:p>
    <w:p>
      <w:pPr>
        <w:widowControl/>
        <w:shd w:val="clear" w:color="auto" w:fill="FFFFFF"/>
        <w:jc w:val="left"/>
        <w:textAlignment w:val="center"/>
        <w:rPr>
          <w:rFonts w:ascii="Segoe UI" w:hAnsi="Segoe UI" w:eastAsia="宋体" w:cs="Segoe UI"/>
          <w:color w:val="212529"/>
          <w:kern w:val="0"/>
          <w:sz w:val="24"/>
          <w:szCs w:val="24"/>
        </w:rPr>
      </w:pPr>
      <w:r>
        <w:rPr>
          <w:rFonts w:hint="eastAsia" w:ascii="宋体" w:hAnsi="宋体" w:eastAsia="宋体" w:cs="宋体"/>
          <w:color w:val="212529"/>
          <w:kern w:val="0"/>
          <w:sz w:val="24"/>
          <w:szCs w:val="24"/>
        </w:rPr>
        <w:t>⑴</w:t>
      </w:r>
      <w:r>
        <w:rPr>
          <w:rFonts w:ascii="Segoe UI" w:hAnsi="Segoe UI" w:eastAsia="宋体" w:cs="Segoe UI"/>
          <w:color w:val="212529"/>
          <w:kern w:val="0"/>
          <w:sz w:val="24"/>
          <w:szCs w:val="24"/>
        </w:rPr>
        <w:t>祥源城市之光杨树塘金融中心项目正式落地，总建筑面积65万方，总投资约90亿元。</w:t>
      </w:r>
    </w:p>
    <w:p>
      <w:pPr>
        <w:widowControl/>
        <w:shd w:val="clear" w:color="auto" w:fill="FFFFFF"/>
        <w:jc w:val="left"/>
        <w:textAlignment w:val="center"/>
        <w:rPr>
          <w:rFonts w:ascii="Segoe UI" w:hAnsi="Segoe UI" w:eastAsia="宋体" w:cs="Segoe UI"/>
          <w:color w:val="212529"/>
          <w:kern w:val="0"/>
          <w:sz w:val="24"/>
          <w:szCs w:val="24"/>
        </w:rPr>
      </w:pPr>
      <w:r>
        <w:rPr>
          <w:rFonts w:hint="eastAsia" w:ascii="宋体" w:hAnsi="宋体" w:eastAsia="宋体" w:cs="宋体"/>
          <w:color w:val="212529"/>
          <w:kern w:val="0"/>
          <w:sz w:val="24"/>
          <w:szCs w:val="24"/>
        </w:rPr>
        <w:t>⑵</w:t>
      </w:r>
      <w:r>
        <w:rPr>
          <w:rFonts w:ascii="Segoe UI" w:hAnsi="Segoe UI" w:eastAsia="宋体" w:cs="Segoe UI"/>
          <w:color w:val="212529"/>
          <w:kern w:val="0"/>
          <w:sz w:val="24"/>
          <w:szCs w:val="24"/>
        </w:rPr>
        <w:t>金茂集团落户九华山，首期开发6个地块306.9亩，总投资230亿元。</w:t>
      </w:r>
    </w:p>
    <w:p>
      <w:pPr>
        <w:widowControl/>
        <w:shd w:val="clear" w:color="auto" w:fill="FFFFFF"/>
        <w:jc w:val="left"/>
        <w:textAlignment w:val="center"/>
        <w:rPr>
          <w:rFonts w:ascii="Segoe UI" w:hAnsi="Segoe UI" w:eastAsia="宋体" w:cs="Segoe UI"/>
          <w:color w:val="212529"/>
          <w:kern w:val="0"/>
          <w:sz w:val="24"/>
          <w:szCs w:val="24"/>
        </w:rPr>
      </w:pPr>
      <w:r>
        <w:rPr>
          <w:rFonts w:hint="eastAsia" w:ascii="宋体" w:hAnsi="宋体" w:eastAsia="宋体" w:cs="宋体"/>
          <w:color w:val="212529"/>
          <w:kern w:val="0"/>
          <w:sz w:val="24"/>
          <w:szCs w:val="24"/>
        </w:rPr>
        <w:t>⑶</w:t>
      </w:r>
      <w:r>
        <w:rPr>
          <w:rFonts w:ascii="Segoe UI" w:hAnsi="Segoe UI" w:eastAsia="宋体" w:cs="Segoe UI"/>
          <w:color w:val="212529"/>
          <w:kern w:val="0"/>
          <w:sz w:val="24"/>
          <w:szCs w:val="24"/>
        </w:rPr>
        <w:t>岳阳融创环球中心项目，全期占地1627亩，建筑面积超过170万平方米，投资约150亿元，将依托洞庭生态资源、历史人文沉淀、黄金区位价值和生活人气积累，重点建设“生态宜居区、商务休闲区、环球商旅区”三大功能区。</w:t>
      </w:r>
    </w:p>
    <w:p>
      <w:pPr>
        <w:widowControl/>
        <w:shd w:val="clear" w:color="auto" w:fill="FFFFFF"/>
        <w:jc w:val="left"/>
        <w:textAlignment w:val="center"/>
        <w:rPr>
          <w:rFonts w:ascii="Segoe UI" w:hAnsi="Segoe UI" w:eastAsia="宋体" w:cs="Segoe UI"/>
          <w:color w:val="212529"/>
          <w:kern w:val="0"/>
          <w:sz w:val="24"/>
          <w:szCs w:val="24"/>
        </w:rPr>
      </w:pPr>
      <w:r>
        <w:rPr>
          <w:rFonts w:hint="eastAsia" w:ascii="宋体" w:hAnsi="宋体" w:eastAsia="宋体" w:cs="宋体"/>
          <w:color w:val="212529"/>
          <w:kern w:val="0"/>
          <w:sz w:val="24"/>
          <w:szCs w:val="24"/>
        </w:rPr>
        <w:t>⑷</w:t>
      </w:r>
      <w:r>
        <w:rPr>
          <w:rFonts w:ascii="Segoe UI" w:hAnsi="Segoe UI" w:eastAsia="宋体" w:cs="Segoe UI"/>
          <w:color w:val="212529"/>
          <w:kern w:val="0"/>
          <w:sz w:val="24"/>
          <w:szCs w:val="24"/>
        </w:rPr>
        <w:t>琵琶王东北角、螺丝港等一些小地块也已相继出让。</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这些项目的投资建设，将彻底改善城区面貌和城市环境，为市区财政增加新的财力，为市民创造更加美好的工作和生活环境。</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2.发展了会员单位。2020年发展了湖南华卒化工有限公司、湖南远山茶叶有限公司为岳阳楼区贸促会企业会员。</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3.完成了岳阳楼区产业规划编制工作，将岳阳楼区的产业规划融入全市的国土空间规划和市十四五规划之中，做深规划融合。</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（1）《岳阳楼区引领大城市发展战略规划》已经完成，规划成果已经提交；</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（2）《奇家岭郭镇片区的产业规划》已基本定稿；</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（3）浙江大学正在进行编制《七里山、胥家桥片区产业规划》方案，规划成果将于即将提交。</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4.组织企业参展，帮助区内企业申报资金，为区内企业发展提供优质服务。</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（1）岳阳楼区贸促会2020年度组织区内30家左右企业在外地参训参展。大力推进楼区企业产品优势，帮助企业走出去。</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(2) 2020年帮助区内企业申报和取得补贴资金4万元。</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六、整体支出综合评价及结论</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评价小组认为中国国际贸易促进委员会岳阳楼区委员会2020年整体支出基本符合财务管理制度和会计核算要求。财政资金的投入，较好地完成了区委区政府交办的工作任务和年初计划，较好地履行了其职能职责，取得较好的成效。按整体支出绩效评价指标体系对照打分，评价分值为82分，等级为良。</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七、存在问题和改进措施</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（一）财务支出方面存在的问题</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收入管理和核算不规范。2020年岳阳楼区贸促会预算和追加364.20万元。经查，2020年收入没有按行政事业单位会计制度及准则进行明细分类核算，记账凭证后无任何附件说明其收款的手续和用途，故无法分清收入资金的来源的用途，无法对其预算收入与实际支出进行对比分析，无法确定其是否按财政预算控制、安排使用资金，项目资金是否专款专用，是否量入而出而作出判断，也无法对岳阳楼贸促会资金使用情况进行分析评价。</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2.固定资产支出管理与核算不规范。</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（1）岳阳楼区促进会2020年未计提折旧；其中：房屋及构筑物历年未计提折旧，通用设备累计多计提折旧4.89万元，家具、用具、装具及动植物累计多计提4.03万元。</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（2）租赁的房屋及构筑物属于无产权的资产，产生的费用应是办公室的装修费。</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（3）岳阳楼区贸促会未建立固定资产卡片，未对固定资产进行建档管理。岳阳楼区贸促会有固定资产明细表，但固定资产明细表原值和净值与账表金额不相符。</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 2020年8月8号凭证，附件：家具－沙发1张价值1480.00元、家具－午休椅1个价值600.00元，列业务活动费用－商品和服务费用－商品和服务支出。 2020年9月9号凭证，附家具－沙发1张价值1200.00元、家具－铁皮柜1个价值680.00元，列业务活动费用－商品和服务费用－商品和服务支出。按行政单位会计制度及准则，应列固定资产，资产资本化。</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3.财务管理不够规范和严格。岳阳楼区贸促会先后制定和完善了《出差申报制度》、《财务票据审核制度》、《招商引资来客来访接待制度》、《办公室请销假制度》、《招商用车申报制度》等近十个内部管理制度，但不够完整，没有严格执行国家相关法律法规和内部管理制度，以保证财政资金的安全和高效运行。</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（1）2020年1月11号凭证，许小宇借支25000元，。1月32号凭证，许小宇付岳阳楼区炫丽广告有限公司产业规划专项图文制作费，以此还其中部分借支9800元，但无转账银行凭证，也无产业规划专项图文的效果图片。</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（2）2020年11月年29号凭证中，杭州融泰建筑设计有限公司向岳阳楼区贸促会开具了38500元咨询服务费（增值税发票），熊璎以支付这个款为理由还了38500元的借支，但无熊璎转账给对方单位的银行凭证。</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（3）2020年5月5号凭证中，向选成上海差旅费3190元，无出差申请单，出差事件为2019年11月 2日－11月7日，报销时间为2020年5月，跨年度报销费用。</w:t>
      </w:r>
      <w:r>
        <w:rPr>
          <w:rFonts w:hint="eastAsia" w:ascii="宋体" w:hAnsi="宋体" w:eastAsia="宋体" w:cs="宋体"/>
          <w:color w:val="212529"/>
          <w:kern w:val="0"/>
          <w:sz w:val="24"/>
          <w:szCs w:val="24"/>
        </w:rPr>
        <w:t>②</w:t>
      </w:r>
      <w:r>
        <w:rPr>
          <w:rFonts w:ascii="Segoe UI" w:hAnsi="Segoe UI" w:eastAsia="宋体" w:cs="Segoe UI"/>
          <w:color w:val="212529"/>
          <w:kern w:val="0"/>
          <w:sz w:val="24"/>
          <w:szCs w:val="24"/>
        </w:rPr>
        <w:t>2020年5月6号凭证中，向选成北京差旅费2930元，无出差申请单，出差事件为2019年12月1日－12月5日，报销时间为2020年5月，跨年度报销费用。</w:t>
      </w:r>
      <w:r>
        <w:rPr>
          <w:rFonts w:hint="eastAsia" w:ascii="宋体" w:hAnsi="宋体" w:eastAsia="宋体" w:cs="宋体"/>
          <w:color w:val="212529"/>
          <w:kern w:val="0"/>
          <w:sz w:val="24"/>
          <w:szCs w:val="24"/>
        </w:rPr>
        <w:t>③</w:t>
      </w:r>
      <w:r>
        <w:rPr>
          <w:rFonts w:ascii="Segoe UI" w:hAnsi="Segoe UI" w:eastAsia="宋体" w:cs="Segoe UI"/>
          <w:color w:val="212529"/>
          <w:kern w:val="0"/>
          <w:sz w:val="24"/>
          <w:szCs w:val="24"/>
        </w:rPr>
        <w:t>2020年5月7号凭证中，向选成北京差旅费3550元，无出差申请单，出差事件为2019年12月20日－12月26日，报销时间为2020年5月，跨年度报销费用。</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2020年11月年28号凭证中，杭州市西湖区欣业图文制作工作室岳阳楼区贸促会开具了33000元印刷费（增值税发票），熊璎以支付款项为理由还了3000元的借支，向选成以支付款项还了30000元。但无熊璎和向选成转账给对方单位的银行凭证，也无图文效果图片出示。</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4.无发票报销费用、支出。</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（1）2020年2月3号凭证支付食堂房租费5000.00元，附件房东的领款单一张。</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（2）2020年7月2号凭证支付食堂房租费5000.00元，附件附房东的领款单一张。</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5.购物品无收货领发货手续。</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2020年10月10号凭证，购客商接待酒3216.00元，厨房粮油3484.00元；2020年9月2号凭证，购买茶叶2200.00元；2020年6月10号凭证，办公购茶叶5700.00元。</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（二）管理方面存在的问题</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 xml:space="preserve"> 1. 中国国际贸易促进委员会岳阳楼区委员会存在人员超编现象。根据编制部门文件规定人员编制7人，2020末实际在职11人，超编4人，存在人员超编现象。                         </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超预算使用资金。2020年岳阳楼区贸促会预算收入364.20元，实际支出403.88元，支出超预算39.68万元，超预算10.89%，说明岳阳楼区贸促会没有量入而出，没有根据“总量控制、计划管理”的要求控制行政经费，没有以收定支编制整体预算，压缩公务消费开支同时也说明预算编制不够细化、科学。</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3.对财政支出绩效自评工作经验不足，绩效目标制定不够全面、规范。</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（三）建议和改进措施</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1.建立健全各项财务规章、制度并严格执行。建立健全各项财会规章、制度，这样才能有法可依、有章可循，严格执行管理的规定范化、制度化，达到节约财政支出的目的，提高财政资金的使用效益。</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2.加强会计工作规范管理。严格按照预算批复的支出项目和规定标准执行，把好支出审核关，各项支出具实列支，严禁虚列虚支、虚报冒领和挤占挪用；加强资产管理，做到账账相符、账物相符；按照《会计法》进行会计核算，提供合法真实准确完整的会计信息，以保障财政资金合理使用，确保工作有序开展。</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3.加强对财务人员的业务培训，提高财务专业水平。</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4.遵循预算管理原则。对于无法预计的相关工作所需费用，按照程序逐级申报，调整资金用途按照预算调整追加程序逐级申报，确保资金使用按照预算项目和使用用途规范管理。</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5.人员超编问题，建议逐步消化超编人员。人员超编有许多客观因素，情况复杂，行政事业单位编制核定相对稳定，随着机构合并、调整和新增工作任务等方面原因，原来核定的编制人数可能和实际情况已不相符。建议与编制管理部门协调，加强编制人员的动态调整，严格机构编制管理，避免超编现象，并将人员编制管理纳入绩效考核范围。</w:t>
      </w:r>
    </w:p>
    <w:p>
      <w:pPr>
        <w:widowControl/>
        <w:shd w:val="clear" w:color="auto" w:fill="FFFFFF"/>
        <w:jc w:val="left"/>
        <w:textAlignment w:val="center"/>
        <w:rPr>
          <w:rFonts w:ascii="Segoe UI" w:hAnsi="Segoe UI" w:eastAsia="宋体" w:cs="Segoe UI"/>
          <w:color w:val="212529"/>
          <w:kern w:val="0"/>
          <w:sz w:val="24"/>
          <w:szCs w:val="24"/>
        </w:rPr>
      </w:pPr>
      <w:r>
        <w:rPr>
          <w:rFonts w:ascii="Segoe UI" w:hAnsi="Segoe UI" w:eastAsia="宋体" w:cs="Segoe UI"/>
          <w:color w:val="212529"/>
          <w:kern w:val="0"/>
          <w:sz w:val="24"/>
          <w:szCs w:val="24"/>
        </w:rPr>
        <w:t>6.预算财务分析常态化。定期做好预算支出财务分析，及时对预算执行情况进行通报，做好部门整体支出预算评价工作。</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Segoe UI">
    <w:panose1 w:val="020B0502040204020203"/>
    <w:charset w:val="00"/>
    <w:family w:val="swiss"/>
    <w:pitch w:val="default"/>
    <w:sig w:usb0="E10022FF" w:usb1="C000E47F" w:usb2="00000029" w:usb3="00000000" w:csb0="200001DF" w:csb1="2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WU5NjA0ZWJkYTk3NDg3Y2M2OTQ0ZmExNDZjMmRhMzkifQ=="/>
  </w:docVars>
  <w:rsids>
    <w:rsidRoot w:val="004C6F35"/>
    <w:rsid w:val="004C6F35"/>
    <w:rsid w:val="00A87545"/>
    <w:rsid w:val="051F57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unhideWhenUsed/>
    <w:uiPriority w:val="99"/>
    <w:pPr>
      <w:widowControl/>
      <w:jc w:val="left"/>
      <w:textAlignment w:val="center"/>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10</Pages>
  <Words>5742</Words>
  <Characters>6426</Characters>
  <Lines>48</Lines>
  <Paragraphs>13</Paragraphs>
  <TotalTime>1</TotalTime>
  <ScaleCrop>false</ScaleCrop>
  <LinksUpToDate>false</LinksUpToDate>
  <CharactersWithSpaces>6560</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2022-09-06T08:06:00Z</dcterms:created>
  <dc:creator>微软用户</dc:creator>
  <cp:lastModifiedBy>晴天小宝</cp:lastModifiedBy>
  <dcterms:modified xsi:type="dcterms:W3CDTF">2022-09-07T07:12:06Z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5D1479B578434E14881E962580A86D31</vt:lpwstr>
  </property>
</Properties>
</file>