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w:t>
      </w:r>
      <w:r>
        <w:rPr>
          <w:rFonts w:hint="eastAsia" w:eastAsia="方正小标宋简体"/>
          <w:bCs/>
          <w:sz w:val="46"/>
          <w:szCs w:val="46"/>
          <w:lang w:val="en-US" w:eastAsia="zh-CN"/>
        </w:rPr>
        <w:t>20</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4"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岳阳市岳阳楼区王家河街道办事处                                 </w:t>
      </w:r>
    </w:p>
    <w:p>
      <w:pPr>
        <w:spacing w:before="301" w:beforeLines="50" w:line="348" w:lineRule="auto"/>
        <w:ind w:firstLine="474"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800030                    </w:t>
      </w:r>
    </w:p>
    <w:p>
      <w:pPr>
        <w:spacing w:before="301" w:beforeLines="50" w:line="348" w:lineRule="auto"/>
        <w:ind w:firstLine="474"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4"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2" w:firstLineChars="690"/>
        <w:rPr>
          <w:rFonts w:hint="eastAsia" w:eastAsia="仿宋_GB2312"/>
          <w:sz w:val="32"/>
        </w:rPr>
      </w:pPr>
    </w:p>
    <w:p>
      <w:pPr>
        <w:spacing w:line="348" w:lineRule="auto"/>
        <w:ind w:firstLine="2182"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val="en-US" w:eastAsia="zh-CN"/>
        </w:rPr>
        <w:t>2021</w:t>
      </w:r>
      <w:r>
        <w:rPr>
          <w:rFonts w:hint="eastAsia" w:eastAsia="仿宋_GB2312"/>
          <w:sz w:val="32"/>
        </w:rPr>
        <w:t>年</w:t>
      </w:r>
      <w:r>
        <w:rPr>
          <w:rFonts w:hint="eastAsia" w:eastAsia="仿宋_GB2312"/>
          <w:sz w:val="32"/>
          <w:lang w:val="en-US" w:eastAsia="zh-CN"/>
        </w:rPr>
        <w:t>6</w:t>
      </w:r>
      <w:r>
        <w:rPr>
          <w:rFonts w:hint="eastAsia" w:eastAsia="仿宋_GB2312"/>
          <w:sz w:val="32"/>
        </w:rPr>
        <w:t>月</w:t>
      </w:r>
      <w:r>
        <w:rPr>
          <w:rFonts w:hint="eastAsia" w:eastAsia="仿宋_GB2312"/>
          <w:sz w:val="32"/>
          <w:lang w:val="en-US" w:eastAsia="zh-CN"/>
        </w:rPr>
        <w:t>28</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4"/>
        <w:tblW w:w="9800"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6"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臧波</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8620305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6"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270"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 xml:space="preserve">    </w:t>
            </w:r>
            <w:r>
              <w:rPr>
                <w:rFonts w:ascii="仿宋_GB2312" w:hAnsi="仿宋_GB2312" w:eastAsia="仿宋_GB2312" w:cs="仿宋_GB2312"/>
                <w:color w:val="000000"/>
                <w:sz w:val="24"/>
              </w:rPr>
              <w:t>贯彻执行党和国家的路线方针、政策以及市、区关于街道工作方面的指示，制订具体的管理办法并组织实施。指导、</w:t>
            </w:r>
            <w:r>
              <w:rPr>
                <w:rFonts w:hint="eastAsia" w:ascii="仿宋_GB2312" w:hAnsi="仿宋_GB2312" w:eastAsia="仿宋_GB2312" w:cs="仿宋_GB2312"/>
                <w:color w:val="000000"/>
                <w:sz w:val="24"/>
              </w:rPr>
              <w:t>做</w:t>
            </w:r>
            <w:r>
              <w:rPr>
                <w:rFonts w:ascii="仿宋_GB2312" w:hAnsi="仿宋_GB2312" w:eastAsia="仿宋_GB2312" w:cs="仿宋_GB2312"/>
                <w:color w:val="000000"/>
                <w:sz w:val="24"/>
              </w:rPr>
              <w:t>好辖区内居委会的工作，支持、帮助居民委员会加强思想、组织、制度建设，向上级人民政府和有关部门及时反映居民的意见、建议和要求</w:t>
            </w:r>
            <w:r>
              <w:rPr>
                <w:rFonts w:hint="eastAsia" w:ascii="仿宋_GB2312" w:hAnsi="仿宋_GB2312" w:eastAsia="仿宋_GB2312" w:cs="仿宋_GB2312"/>
                <w:color w:val="000000"/>
                <w:sz w:val="24"/>
              </w:rPr>
              <w:t>。</w:t>
            </w:r>
            <w:r>
              <w:rPr>
                <w:rFonts w:ascii="仿宋_GB2312" w:hAnsi="仿宋_GB2312" w:eastAsia="仿宋_GB2312" w:cs="仿宋_GB2312"/>
                <w:color w:val="000000"/>
                <w:sz w:val="24"/>
              </w:rPr>
              <w:t>承办区委、区政府交办的其他工作。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414"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任务1:底线工作常抓不懈，群众评价明显提升</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任务2：中心工作齐头并进，经济发展前景广阔</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任务3：综合服务创先争优，民生福祉务实有为</w:t>
            </w:r>
          </w:p>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任务4：干部职工严管厚爱，队伍建设形象良好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23"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rPr>
              <w:t>以建设“</w:t>
            </w:r>
            <w:r>
              <w:rPr>
                <w:rFonts w:hint="eastAsia" w:ascii="仿宋_GB2312" w:hAnsi="仿宋_GB2312" w:eastAsia="仿宋_GB2312" w:cs="仿宋_GB2312"/>
                <w:color w:val="000000"/>
                <w:sz w:val="24"/>
                <w:lang w:eastAsia="zh-CN"/>
              </w:rPr>
              <w:t>核心引领区和首善之区</w:t>
            </w:r>
            <w:r>
              <w:rPr>
                <w:rFonts w:hint="eastAsia" w:ascii="仿宋_GB2312" w:hAnsi="仿宋_GB2312" w:eastAsia="仿宋_GB2312" w:cs="仿宋_GB2312"/>
                <w:color w:val="000000"/>
                <w:sz w:val="24"/>
              </w:rPr>
              <w:t>”为指南，以“四美街道”建设为目标，以“五化社区”</w:t>
            </w:r>
            <w:r>
              <w:rPr>
                <w:rFonts w:hint="eastAsia" w:ascii="仿宋_GB2312" w:hAnsi="仿宋_GB2312" w:eastAsia="仿宋_GB2312" w:cs="仿宋_GB2312"/>
                <w:color w:val="000000"/>
                <w:sz w:val="24"/>
                <w:lang w:eastAsia="zh-CN"/>
              </w:rPr>
              <w:t>建设</w:t>
            </w:r>
            <w:r>
              <w:rPr>
                <w:rFonts w:hint="eastAsia" w:ascii="仿宋_GB2312" w:hAnsi="仿宋_GB2312" w:eastAsia="仿宋_GB2312" w:cs="仿宋_GB2312"/>
                <w:color w:val="000000"/>
                <w:sz w:val="24"/>
              </w:rPr>
              <w:t>为标准，以“六抓六促”为抓手，</w:t>
            </w:r>
            <w:r>
              <w:rPr>
                <w:rFonts w:hint="eastAsia" w:ascii="仿宋_GB2312" w:hAnsi="仿宋_GB2312" w:eastAsia="仿宋_GB2312" w:cs="仿宋_GB2312"/>
                <w:color w:val="000000"/>
                <w:sz w:val="24"/>
                <w:lang w:eastAsia="zh-CN"/>
              </w:rPr>
              <w:t>比学赶超、创先争优，获得省、市、区荣誉</w:t>
            </w:r>
            <w:r>
              <w:rPr>
                <w:rFonts w:hint="eastAsia" w:ascii="仿宋_GB2312" w:hAnsi="仿宋_GB2312" w:eastAsia="仿宋_GB2312" w:cs="仿宋_GB2312"/>
                <w:color w:val="000000"/>
                <w:sz w:val="24"/>
                <w:lang w:val="en-US" w:eastAsia="zh-CN"/>
              </w:rPr>
              <w:t>18个，</w:t>
            </w:r>
            <w:r>
              <w:rPr>
                <w:rFonts w:hint="eastAsia" w:ascii="仿宋_GB2312" w:hAnsi="仿宋_GB2312" w:eastAsia="仿宋_GB2312" w:cs="仿宋_GB2312"/>
                <w:color w:val="000000"/>
                <w:sz w:val="24"/>
              </w:rPr>
              <w:t>各项工作成效显著，经济社会全面发展。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3"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5" w:hRule="atLeast"/>
          <w:jc w:val="center"/>
        </w:trPr>
        <w:tc>
          <w:tcPr>
            <w:tcW w:w="1700" w:type="dxa"/>
            <w:gridSpan w:val="3"/>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800" w:hRule="atLeast"/>
          <w:jc w:val="center"/>
        </w:trPr>
        <w:tc>
          <w:tcPr>
            <w:tcW w:w="1700" w:type="dxa"/>
            <w:gridSpan w:val="3"/>
            <w:vMerge w:val="continue"/>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90" w:hRule="atLeast"/>
          <w:jc w:val="center"/>
        </w:trPr>
        <w:tc>
          <w:tcPr>
            <w:tcW w:w="1700" w:type="dxa"/>
            <w:gridSpan w:val="3"/>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岳阳市岳阳楼区王家河街道办事处机关</w:t>
            </w:r>
          </w:p>
        </w:tc>
        <w:tc>
          <w:tcPr>
            <w:tcW w:w="1080" w:type="dxa"/>
            <w:tcBorders>
              <w:righ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1464.85</w:t>
            </w:r>
          </w:p>
        </w:tc>
        <w:tc>
          <w:tcPr>
            <w:tcW w:w="1355" w:type="dxa"/>
            <w:gridSpan w:val="2"/>
            <w:tcBorders>
              <w:left w:val="single" w:color="auto" w:sz="4" w:space="0"/>
            </w:tcBorders>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p>
        </w:tc>
        <w:tc>
          <w:tcPr>
            <w:tcW w:w="1080"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1464.85</w:t>
            </w:r>
          </w:p>
        </w:tc>
        <w:tc>
          <w:tcPr>
            <w:tcW w:w="1705" w:type="dxa"/>
            <w:gridSpan w:val="2"/>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55" w:hRule="atLeast"/>
          <w:jc w:val="center"/>
        </w:trPr>
        <w:tc>
          <w:tcPr>
            <w:tcW w:w="1700" w:type="dxa"/>
            <w:gridSpan w:val="3"/>
            <w:vMerge w:val="restart"/>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17"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8"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52"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岳阳市岳阳楼区王家河街道办事处机关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1464.85</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1231.86</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232.99</w:t>
            </w:r>
          </w:p>
        </w:tc>
        <w:tc>
          <w:tcPr>
            <w:tcW w:w="1080" w:type="dxa"/>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720" w:type="dxa"/>
            <w:gridSpan w:val="3"/>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625" w:type="dxa"/>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65"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24"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58"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岳阳市岳阳楼区王家河街道办事处机关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20.9</w:t>
            </w:r>
          </w:p>
        </w:tc>
        <w:tc>
          <w:tcPr>
            <w:tcW w:w="1355" w:type="dxa"/>
            <w:gridSpan w:val="2"/>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20.9</w:t>
            </w:r>
          </w:p>
        </w:tc>
        <w:tc>
          <w:tcPr>
            <w:tcW w:w="1080"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60"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43" w:hRule="atLeast"/>
          <w:jc w:val="center"/>
        </w:trPr>
        <w:tc>
          <w:tcPr>
            <w:tcW w:w="1700" w:type="dxa"/>
            <w:gridSpan w:val="3"/>
            <w:vMerge w:val="restart"/>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6" w:hRule="atLeast"/>
          <w:jc w:val="center"/>
        </w:trPr>
        <w:tc>
          <w:tcPr>
            <w:tcW w:w="1700" w:type="dxa"/>
            <w:gridSpan w:val="3"/>
            <w:vMerge w:val="continue"/>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730" w:hRule="atLeast"/>
          <w:jc w:val="center"/>
        </w:trPr>
        <w:tc>
          <w:tcPr>
            <w:tcW w:w="1700" w:type="dxa"/>
            <w:gridSpan w:val="3"/>
            <w:vAlign w:val="center"/>
          </w:tcPr>
          <w:p>
            <w:pPr>
              <w:spacing w:line="320" w:lineRule="exact"/>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岳阳市岳阳楼区王家河街道办事处机关</w:t>
            </w:r>
          </w:p>
        </w:tc>
        <w:tc>
          <w:tcPr>
            <w:tcW w:w="1080" w:type="dxa"/>
            <w:tcBorders>
              <w:righ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23.1</w:t>
            </w:r>
          </w:p>
        </w:tc>
        <w:tc>
          <w:tcPr>
            <w:tcW w:w="2435" w:type="dxa"/>
            <w:gridSpan w:val="4"/>
            <w:tcBorders>
              <w:left w:val="single" w:color="auto" w:sz="4" w:space="0"/>
            </w:tcBorders>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23.1</w:t>
            </w:r>
          </w:p>
        </w:tc>
        <w:tc>
          <w:tcPr>
            <w:tcW w:w="364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941"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2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01"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332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3774" w:type="dxa"/>
            <w:gridSpan w:val="7"/>
            <w:textDirection w:val="lrTb"/>
            <w:vAlign w:val="center"/>
          </w:tcPr>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目标1：财政供养人员控制率100%，“三公”经费控制到位，重点项目资金安排到位。</w:t>
            </w:r>
          </w:p>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目标2：控制预算调整率，资金支付进度正常，资金结余控制到位，“三公”经费支出控制到位，资金管理和使用合规，信息公开完善，执行政府采购及公务卡使用规范。</w:t>
            </w:r>
          </w:p>
          <w:p>
            <w:pPr>
              <w:widowControl/>
              <w:spacing w:line="300" w:lineRule="atLeast"/>
              <w:jc w:val="left"/>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目标3：资产管理制度健全，安全管理，利用率100</w:t>
            </w:r>
            <w:r>
              <w:rPr>
                <w:rFonts w:hint="eastAsia" w:ascii="仿宋_GB2312" w:hAnsi="仿宋_GB2312" w:eastAsia="仿宋_GB2312" w:cs="仿宋_GB2312"/>
                <w:color w:val="000000"/>
                <w:sz w:val="24"/>
                <w:szCs w:val="24"/>
              </w:rPr>
              <w:t>%</w:t>
            </w:r>
            <w:r>
              <w:rPr>
                <w:rFonts w:hint="eastAsia" w:ascii="仿宋_GB2312" w:hAnsi="仿宋_GB2312" w:eastAsia="仿宋_GB2312" w:cs="仿宋_GB2312"/>
                <w:color w:val="000000"/>
                <w:sz w:val="24"/>
                <w:szCs w:val="24"/>
                <w:lang w:eastAsia="zh-CN"/>
              </w:rPr>
              <w:t>。</w:t>
            </w:r>
          </w:p>
        </w:tc>
        <w:tc>
          <w:tcPr>
            <w:tcW w:w="4585" w:type="dxa"/>
            <w:gridSpan w:val="9"/>
            <w:textDirection w:val="lrTb"/>
            <w:vAlign w:val="center"/>
          </w:tcPr>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目标1：财政供养人员控制率100%，“三公”经费控制到位，重点项目资金安排到位。</w:t>
            </w:r>
          </w:p>
          <w:p>
            <w:pPr>
              <w:widowControl/>
              <w:spacing w:line="300" w:lineRule="atLeast"/>
              <w:jc w:val="left"/>
              <w:rPr>
                <w:rFonts w:hint="eastAsia" w:ascii="Times New Roman" w:hAnsi="Times New Roman" w:eastAsia="仿宋_GB2312"/>
                <w:kern w:val="0"/>
                <w:sz w:val="24"/>
                <w:szCs w:val="24"/>
              </w:rPr>
            </w:pPr>
            <w:r>
              <w:rPr>
                <w:rFonts w:hint="eastAsia" w:ascii="Times New Roman" w:hAnsi="Times New Roman" w:eastAsia="仿宋_GB2312"/>
                <w:kern w:val="0"/>
                <w:sz w:val="24"/>
                <w:szCs w:val="24"/>
              </w:rPr>
              <w:t>目标2：控制预算调整率，资金支付进度正常，资金结余控制到位，“三公”经费支出控制到位，资金管理和使用合规，信息公开完善，执行政府采购及公务卡使用规范。</w:t>
            </w:r>
          </w:p>
          <w:p>
            <w:pPr>
              <w:widowControl/>
              <w:spacing w:line="300" w:lineRule="atLeast"/>
              <w:jc w:val="left"/>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目标3：资产管理制度健全，安全管理，利用率100%。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441" w:type="dxa"/>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332"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实现绩效考核的全覆盖，包括办事处、站所、各社区</w:t>
            </w:r>
            <w:r>
              <w:rPr>
                <w:rFonts w:hint="eastAsia" w:ascii="Times New Roman" w:hAnsi="Times New Roman" w:eastAsia="仿宋_GB2312"/>
                <w:kern w:val="0"/>
                <w:sz w:val="24"/>
                <w:szCs w:val="24"/>
                <w:lang w:eastAsia="zh-CN"/>
              </w:rPr>
              <w:t>。</w:t>
            </w:r>
          </w:p>
        </w:tc>
        <w:tc>
          <w:tcPr>
            <w:tcW w:w="2684" w:type="dxa"/>
            <w:gridSpan w:val="6"/>
            <w:vMerge w:val="restart"/>
            <w:vAlign w:val="center"/>
          </w:tcPr>
          <w:p>
            <w:pPr>
              <w:autoSpaceDN w:val="0"/>
              <w:spacing w:line="32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346"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每月开展1-2次治安集中整治行动</w:t>
            </w:r>
          </w:p>
        </w:tc>
        <w:tc>
          <w:tcPr>
            <w:tcW w:w="2684" w:type="dxa"/>
            <w:gridSpan w:val="6"/>
            <w:vMerge w:val="restart"/>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13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各项任务按时完成率</w:t>
            </w:r>
          </w:p>
        </w:tc>
        <w:tc>
          <w:tcPr>
            <w:tcW w:w="2684" w:type="dxa"/>
            <w:gridSpan w:val="6"/>
            <w:vMerge w:val="restart"/>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color w:val="000000"/>
                <w:sz w:val="24"/>
                <w:lang w:val="en-US" w:eastAsia="zh-CN"/>
              </w:rPr>
              <w:t xml:space="preserve">       </w:t>
            </w: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1059"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vMerge w:val="restart"/>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严格控制各项支出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restart"/>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社会治安稳定、无重大政治事件及安全生产事故</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积极对接“四上”企业和限上个体户，做好每月登记上报</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Times New Roman" w:hAnsi="Times New Roman" w:eastAsia="仿宋_GB2312"/>
                <w:kern w:val="0"/>
                <w:sz w:val="24"/>
                <w:szCs w:val="24"/>
              </w:rPr>
              <w:t>居住环境明显改善，卫生整治效果突出</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454" w:hRule="atLeast"/>
          <w:jc w:val="center"/>
        </w:trPr>
        <w:tc>
          <w:tcPr>
            <w:tcW w:w="1441" w:type="dxa"/>
            <w:vMerge w:val="continue"/>
            <w:vAlign w:val="center"/>
          </w:tcPr>
          <w:p>
            <w:pPr>
              <w:spacing w:line="320" w:lineRule="exact"/>
              <w:rPr>
                <w:rFonts w:hint="eastAsia" w:ascii="仿宋_GB2312" w:hAnsi="仿宋_GB2312" w:eastAsia="仿宋_GB2312" w:cs="仿宋_GB2312"/>
                <w:sz w:val="24"/>
              </w:rPr>
            </w:pPr>
          </w:p>
        </w:tc>
        <w:tc>
          <w:tcPr>
            <w:tcW w:w="1549" w:type="dxa"/>
            <w:gridSpan w:val="4"/>
            <w:vMerge w:val="continue"/>
            <w:vAlign w:val="center"/>
          </w:tcPr>
          <w:p>
            <w:pPr>
              <w:autoSpaceDN w:val="0"/>
              <w:spacing w:line="320" w:lineRule="exact"/>
              <w:rPr>
                <w:rFonts w:hint="eastAsia" w:ascii="仿宋_GB2312" w:hAnsi="仿宋_GB2312" w:eastAsia="仿宋_GB2312" w:cs="仿宋_GB2312"/>
                <w:sz w:val="24"/>
              </w:rPr>
            </w:pPr>
          </w:p>
        </w:tc>
        <w:tc>
          <w:tcPr>
            <w:tcW w:w="1417"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综治民调提质，公众安全感满意度提高</w:t>
            </w:r>
          </w:p>
        </w:tc>
        <w:tc>
          <w:tcPr>
            <w:tcW w:w="2684" w:type="dxa"/>
            <w:gridSpan w:val="6"/>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lang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94.5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2990" w:type="dxa"/>
            <w:gridSpan w:val="5"/>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9800" w:type="dxa"/>
            <w:gridSpan w:val="17"/>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567" w:hRule="atLeast"/>
          <w:jc w:val="center"/>
        </w:trPr>
        <w:tc>
          <w:tcPr>
            <w:tcW w:w="1654" w:type="dxa"/>
            <w:gridSpan w:val="2"/>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杨霞霞</w:t>
            </w:r>
          </w:p>
        </w:tc>
        <w:tc>
          <w:tcPr>
            <w:tcW w:w="3561" w:type="dxa"/>
            <w:gridSpan w:val="6"/>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工委副书记、办事处主任</w:t>
            </w:r>
          </w:p>
        </w:tc>
        <w:tc>
          <w:tcPr>
            <w:tcW w:w="1479" w:type="dxa"/>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王家河街道办事处</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周军辉</w:t>
            </w:r>
          </w:p>
        </w:tc>
        <w:tc>
          <w:tcPr>
            <w:tcW w:w="3561" w:type="dxa"/>
            <w:gridSpan w:val="6"/>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工委委员、纪工委书记</w:t>
            </w:r>
          </w:p>
        </w:tc>
        <w:tc>
          <w:tcPr>
            <w:tcW w:w="1479" w:type="dxa"/>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王家河街道办事处</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臧波</w:t>
            </w:r>
          </w:p>
        </w:tc>
        <w:tc>
          <w:tcPr>
            <w:tcW w:w="3561" w:type="dxa"/>
            <w:gridSpan w:val="6"/>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财政所所长</w:t>
            </w:r>
          </w:p>
        </w:tc>
        <w:tc>
          <w:tcPr>
            <w:tcW w:w="1479" w:type="dxa"/>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王家河街道办事处</w:t>
            </w: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680" w:hRule="atLeast"/>
          <w:jc w:val="center"/>
        </w:trPr>
        <w:tc>
          <w:tcPr>
            <w:tcW w:w="1654" w:type="dxa"/>
            <w:gridSpan w:val="2"/>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p>
        </w:tc>
        <w:tc>
          <w:tcPr>
            <w:tcW w:w="3561" w:type="dxa"/>
            <w:gridSpan w:val="6"/>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p>
        </w:tc>
        <w:tc>
          <w:tcPr>
            <w:tcW w:w="1479" w:type="dxa"/>
            <w:textDirection w:val="lrTb"/>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Ex>
        <w:trPr>
          <w:trHeight w:val="2722" w:hRule="atLeast"/>
          <w:jc w:val="center"/>
        </w:trPr>
        <w:tc>
          <w:tcPr>
            <w:tcW w:w="9800" w:type="dxa"/>
            <w:gridSpan w:val="17"/>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联系电话：</w:t>
      </w:r>
    </w:p>
    <w:tbl>
      <w:tblPr>
        <w:tblStyle w:val="4"/>
        <w:tblW w:w="95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998" w:hRule="atLeast"/>
          <w:jc w:val="center"/>
        </w:trPr>
        <w:tc>
          <w:tcPr>
            <w:tcW w:w="9558" w:type="dxa"/>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hint="eastAsia" w:ascii="仿宋" w:hAnsi="仿宋" w:eastAsia="仿宋"/>
                <w:sz w:val="28"/>
                <w:szCs w:val="28"/>
              </w:rPr>
            </w:pPr>
            <w:r>
              <w:rPr>
                <w:rFonts w:hint="eastAsia" w:ascii="仿宋" w:hAnsi="仿宋" w:eastAsia="仿宋"/>
                <w:sz w:val="28"/>
                <w:szCs w:val="28"/>
                <w:lang w:eastAsia="zh-CN"/>
              </w:rPr>
              <w:t>我街道</w:t>
            </w:r>
            <w:r>
              <w:rPr>
                <w:rFonts w:hint="eastAsia" w:ascii="仿宋" w:hAnsi="仿宋" w:eastAsia="仿宋"/>
                <w:sz w:val="28"/>
                <w:szCs w:val="28"/>
              </w:rPr>
              <w:t>现有在职人员67人，与年初预算人员人数和编制结构一致。办事处内设党政办、民政办、计生办和综治办4个职能办公室；设置经管站、劳保站、计生服务所、城管环卫站、控违站和公共文化和社会事务服务中心6个站所；下辖枫树新村、枫树岭、王家河、东升、海棠等5个社区，总面积3.43平方公里，常住人口4.39万人。街道东起王家河、西至琵琶王路、北连巴陵东路、南抵金鹗大道。</w:t>
            </w:r>
          </w:p>
          <w:p>
            <w:pPr>
              <w:spacing w:line="560" w:lineRule="exact"/>
              <w:ind w:firstLine="560" w:firstLineChars="200"/>
              <w:rPr>
                <w:rFonts w:hint="eastAsia" w:ascii="仿宋_GB2312" w:hAnsi="仿宋_GB2312" w:eastAsia="仿宋_GB2312" w:cs="仿宋_GB2312"/>
                <w:bCs/>
                <w:sz w:val="28"/>
                <w:szCs w:val="28"/>
              </w:rPr>
            </w:pPr>
            <w:r>
              <w:rPr>
                <w:rFonts w:hint="eastAsia" w:ascii="仿宋" w:hAnsi="仿宋" w:eastAsia="仿宋"/>
                <w:sz w:val="28"/>
                <w:szCs w:val="28"/>
              </w:rPr>
              <w:t>街道的主要职责是：</w:t>
            </w:r>
            <w:r>
              <w:rPr>
                <w:rFonts w:ascii="仿宋" w:hAnsi="仿宋" w:eastAsia="仿宋"/>
                <w:sz w:val="28"/>
                <w:szCs w:val="28"/>
              </w:rPr>
              <w:t>贯彻执行党和国家的路线方针、政策以及市、区关于街道工作方面的指示，制订具体的管理办法并组织实施。指导、搞好辖区内居委会的工作，支持、帮助居民委员会加强思想、组织、制度建设，向上级人民政府和有关部门及时反映居民的意见、建议和要求</w:t>
            </w:r>
            <w:r>
              <w:rPr>
                <w:rFonts w:hint="eastAsia" w:ascii="仿宋" w:hAnsi="仿宋" w:eastAsia="仿宋"/>
                <w:sz w:val="28"/>
                <w:szCs w:val="28"/>
              </w:rPr>
              <w:t>。</w:t>
            </w:r>
            <w:r>
              <w:rPr>
                <w:rFonts w:ascii="仿宋" w:hAnsi="仿宋" w:eastAsia="仿宋"/>
                <w:sz w:val="28"/>
                <w:szCs w:val="28"/>
              </w:rPr>
              <w:t>承办区委、区政府交办的其他工作。</w:t>
            </w:r>
          </w:p>
          <w:p>
            <w:pPr>
              <w:numPr>
                <w:ilvl w:val="0"/>
                <w:numId w:val="1"/>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spacing w:line="560" w:lineRule="exact"/>
              <w:ind w:firstLine="560" w:firstLineChars="200"/>
              <w:rPr>
                <w:rFonts w:hint="eastAsia" w:ascii="仿宋_GB2312" w:hAnsi="仿宋_GB2312" w:eastAsia="仿宋_GB2312" w:cs="仿宋_GB2312"/>
                <w:bCs/>
                <w:sz w:val="28"/>
                <w:szCs w:val="28"/>
              </w:rPr>
            </w:pPr>
            <w:r>
              <w:rPr>
                <w:rFonts w:hint="eastAsia" w:ascii="仿宋" w:hAnsi="仿宋" w:eastAsia="仿宋" w:cs="仿宋"/>
                <w:sz w:val="28"/>
                <w:szCs w:val="28"/>
              </w:rPr>
              <w:t>20</w:t>
            </w:r>
            <w:r>
              <w:rPr>
                <w:rFonts w:hint="eastAsia" w:ascii="仿宋" w:hAnsi="仿宋" w:eastAsia="仿宋" w:cs="仿宋"/>
                <w:sz w:val="28"/>
                <w:szCs w:val="28"/>
                <w:lang w:val="en-US" w:eastAsia="zh-CN"/>
              </w:rPr>
              <w:t>20</w:t>
            </w:r>
            <w:r>
              <w:rPr>
                <w:rFonts w:hint="eastAsia" w:ascii="仿宋" w:hAnsi="仿宋" w:eastAsia="仿宋" w:cs="仿宋"/>
                <w:sz w:val="28"/>
                <w:szCs w:val="28"/>
              </w:rPr>
              <w:t>年收入预算收入</w:t>
            </w:r>
            <w:r>
              <w:rPr>
                <w:rFonts w:hint="eastAsia" w:ascii="仿宋" w:hAnsi="仿宋" w:eastAsia="仿宋"/>
                <w:sz w:val="28"/>
                <w:szCs w:val="28"/>
                <w:lang w:val="en-US" w:eastAsia="zh-CN"/>
              </w:rPr>
              <w:t>1464.85</w:t>
            </w:r>
            <w:r>
              <w:rPr>
                <w:rFonts w:hint="eastAsia" w:ascii="仿宋" w:hAnsi="仿宋" w:eastAsia="仿宋"/>
                <w:sz w:val="28"/>
                <w:szCs w:val="28"/>
              </w:rPr>
              <w:t>万元</w:t>
            </w:r>
            <w:r>
              <w:rPr>
                <w:rFonts w:hint="eastAsia" w:ascii="仿宋" w:hAnsi="仿宋" w:eastAsia="仿宋" w:cs="仿宋"/>
                <w:sz w:val="28"/>
                <w:szCs w:val="28"/>
              </w:rPr>
              <w:t>，全部为财政拨款收入，支出预算</w:t>
            </w:r>
            <w:r>
              <w:rPr>
                <w:rFonts w:hint="eastAsia" w:ascii="仿宋" w:hAnsi="仿宋" w:eastAsia="仿宋" w:cs="仿宋"/>
                <w:sz w:val="28"/>
                <w:szCs w:val="28"/>
                <w:lang w:val="en-US" w:eastAsia="zh-CN"/>
              </w:rPr>
              <w:t xml:space="preserve">     </w:t>
            </w:r>
            <w:r>
              <w:rPr>
                <w:rFonts w:hint="eastAsia" w:ascii="仿宋" w:hAnsi="仿宋" w:eastAsia="仿宋"/>
                <w:sz w:val="28"/>
                <w:szCs w:val="28"/>
                <w:lang w:val="en-US" w:eastAsia="zh-CN"/>
              </w:rPr>
              <w:t>1464.85</w:t>
            </w:r>
            <w:r>
              <w:rPr>
                <w:rFonts w:hint="eastAsia" w:ascii="仿宋" w:hAnsi="仿宋" w:eastAsia="仿宋"/>
                <w:sz w:val="28"/>
                <w:szCs w:val="28"/>
              </w:rPr>
              <w:t>万元</w:t>
            </w:r>
            <w:r>
              <w:rPr>
                <w:rFonts w:hint="eastAsia" w:ascii="仿宋" w:hAnsi="仿宋" w:eastAsia="仿宋" w:cs="仿宋"/>
                <w:sz w:val="28"/>
                <w:szCs w:val="28"/>
              </w:rPr>
              <w:t>，全部为基本支出。</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64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年保障单位机构正常运转、完成日常工作任务而发生的各项支出为</w:t>
            </w:r>
            <w:r>
              <w:rPr>
                <w:rFonts w:hint="eastAsia" w:ascii="仿宋_GB2312" w:hAnsi="仿宋_GB2312" w:eastAsia="仿宋_GB2312" w:cs="仿宋_GB2312"/>
                <w:bCs/>
                <w:sz w:val="28"/>
                <w:szCs w:val="28"/>
                <w:lang w:val="en-US" w:eastAsia="zh-CN"/>
              </w:rPr>
              <w:t xml:space="preserve">     </w:t>
            </w:r>
            <w:r>
              <w:rPr>
                <w:rFonts w:hint="eastAsia" w:ascii="仿宋" w:hAnsi="仿宋" w:eastAsia="仿宋"/>
                <w:sz w:val="28"/>
                <w:szCs w:val="28"/>
                <w:lang w:val="en-US" w:eastAsia="zh-CN"/>
              </w:rPr>
              <w:t>1464.85</w:t>
            </w:r>
            <w:bookmarkStart w:id="0" w:name="_GoBack"/>
            <w:bookmarkEnd w:id="0"/>
            <w:r>
              <w:rPr>
                <w:rFonts w:hint="eastAsia" w:ascii="仿宋" w:hAnsi="仿宋" w:eastAsia="仿宋" w:cs="仿宋"/>
                <w:sz w:val="28"/>
                <w:szCs w:val="28"/>
              </w:rPr>
              <w:t>万元</w:t>
            </w:r>
            <w:r>
              <w:rPr>
                <w:rFonts w:hint="eastAsia" w:ascii="仿宋_GB2312" w:hAnsi="仿宋_GB2312" w:eastAsia="仿宋_GB2312" w:cs="仿宋_GB2312"/>
                <w:bCs/>
                <w:sz w:val="28"/>
                <w:szCs w:val="28"/>
              </w:rPr>
              <w:t>，包括人员基本工资、津贴补贴等人员经费以及办公费、印刷费、水电费、办公设备购置等。“三公”经费为公务接待费共计</w:t>
            </w:r>
            <w:r>
              <w:rPr>
                <w:rFonts w:hint="eastAsia" w:ascii="仿宋_GB2312" w:hAnsi="仿宋_GB2312" w:eastAsia="仿宋_GB2312" w:cs="仿宋_GB2312"/>
                <w:color w:val="000000"/>
                <w:sz w:val="24"/>
                <w:lang w:val="en-US" w:eastAsia="zh-CN"/>
              </w:rPr>
              <w:t>20.9</w:t>
            </w:r>
            <w:r>
              <w:rPr>
                <w:rFonts w:hint="eastAsia" w:ascii="仿宋_GB2312" w:hAnsi="仿宋_GB2312" w:eastAsia="仿宋_GB2312" w:cs="仿宋_GB2312"/>
                <w:bCs/>
                <w:sz w:val="28"/>
                <w:szCs w:val="28"/>
              </w:rPr>
              <w:t>万元，主要用于加班用餐。</w:t>
            </w:r>
          </w:p>
          <w:p>
            <w:pPr>
              <w:spacing w:line="560" w:lineRule="exact"/>
              <w:ind w:firstLine="560" w:firstLineChars="200"/>
              <w:rPr>
                <w:rFonts w:hint="eastAsia" w:ascii="仿宋_GB2312" w:hAnsi="仿宋_GB2312" w:eastAsia="仿宋_GB2312" w:cs="仿宋_GB2312"/>
                <w:bCs/>
                <w:sz w:val="28"/>
                <w:szCs w:val="28"/>
              </w:rPr>
            </w:pP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年本单位无专项支出。</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64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成立了财经工作领导小组，组织机关、各站所、社区负责人及财务人员进行了财务培训，街道全程监督资金的使用环节，财政所、经管站定期对各站所、社区进行财务检查。</w:t>
            </w:r>
          </w:p>
          <w:p>
            <w:pPr>
              <w:numPr>
                <w:ilvl w:val="0"/>
                <w:numId w:val="2"/>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部门（单位）整体支出绩效情况</w:t>
            </w:r>
          </w:p>
          <w:p>
            <w:pPr>
              <w:spacing w:line="560" w:lineRule="exact"/>
              <w:ind w:firstLine="640"/>
              <w:rPr>
                <w:rFonts w:hint="eastAsia" w:ascii="黑体" w:hAnsi="黑体" w:eastAsia="黑体" w:cs="黑体"/>
                <w:bCs/>
                <w:sz w:val="28"/>
                <w:szCs w:val="28"/>
              </w:rPr>
            </w:pP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20</w:t>
            </w:r>
            <w:r>
              <w:rPr>
                <w:rFonts w:hint="eastAsia" w:ascii="仿宋_GB2312" w:hAnsi="仿宋_GB2312" w:eastAsia="仿宋_GB2312" w:cs="仿宋_GB2312"/>
                <w:bCs/>
                <w:sz w:val="28"/>
                <w:szCs w:val="28"/>
              </w:rPr>
              <w:t>年街道整体支出按照年初预算安排按进度合理使用，各类资金及时拨付，根据部门整体支出绩效评价标准，整体支出绩效情况</w:t>
            </w:r>
            <w:r>
              <w:rPr>
                <w:rFonts w:hint="eastAsia" w:ascii="仿宋_GB2312" w:hAnsi="仿宋_GB2312" w:eastAsia="仿宋_GB2312" w:cs="仿宋_GB2312"/>
                <w:bCs/>
                <w:sz w:val="28"/>
                <w:szCs w:val="28"/>
                <w:lang w:val="en-US" w:eastAsia="zh-CN"/>
              </w:rPr>
              <w:t>94.5</w:t>
            </w:r>
            <w:r>
              <w:rPr>
                <w:rFonts w:hint="eastAsia" w:ascii="仿宋_GB2312" w:hAnsi="仿宋_GB2312" w:eastAsia="仿宋_GB2312" w:cs="仿宋_GB2312"/>
                <w:bCs/>
                <w:sz w:val="28"/>
                <w:szCs w:val="28"/>
              </w:rPr>
              <w:t>分。其中：投入</w:t>
            </w:r>
            <w:r>
              <w:rPr>
                <w:rFonts w:hint="eastAsia" w:ascii="仿宋_GB2312" w:hAnsi="仿宋_GB2312" w:eastAsia="仿宋_GB2312" w:cs="仿宋_GB2312"/>
                <w:bCs/>
                <w:sz w:val="28"/>
                <w:szCs w:val="28"/>
                <w:lang w:val="en-US" w:eastAsia="zh-CN"/>
              </w:rPr>
              <w:t>15</w:t>
            </w:r>
            <w:r>
              <w:rPr>
                <w:rFonts w:hint="eastAsia" w:ascii="仿宋_GB2312" w:hAnsi="仿宋_GB2312" w:eastAsia="仿宋_GB2312" w:cs="仿宋_GB2312"/>
                <w:bCs/>
                <w:sz w:val="28"/>
                <w:szCs w:val="28"/>
              </w:rPr>
              <w:t>分、过程</w:t>
            </w:r>
            <w:r>
              <w:rPr>
                <w:rFonts w:hint="eastAsia" w:ascii="仿宋_GB2312" w:hAnsi="仿宋_GB2312" w:eastAsia="仿宋_GB2312" w:cs="仿宋_GB2312"/>
                <w:bCs/>
                <w:sz w:val="28"/>
                <w:szCs w:val="28"/>
                <w:lang w:val="en-US" w:eastAsia="zh-CN"/>
              </w:rPr>
              <w:t>37</w:t>
            </w:r>
            <w:r>
              <w:rPr>
                <w:rFonts w:hint="eastAsia" w:ascii="仿宋_GB2312" w:hAnsi="仿宋_GB2312" w:eastAsia="仿宋_GB2312" w:cs="仿宋_GB2312"/>
                <w:bCs/>
                <w:sz w:val="28"/>
                <w:szCs w:val="28"/>
              </w:rPr>
              <w:t>分、产出</w:t>
            </w:r>
            <w:r>
              <w:rPr>
                <w:rFonts w:hint="eastAsia" w:ascii="仿宋_GB2312" w:hAnsi="仿宋_GB2312" w:eastAsia="仿宋_GB2312" w:cs="仿宋_GB2312"/>
                <w:bCs/>
                <w:sz w:val="28"/>
                <w:szCs w:val="28"/>
                <w:lang w:val="en-US" w:eastAsia="zh-CN"/>
              </w:rPr>
              <w:t>24</w:t>
            </w:r>
            <w:r>
              <w:rPr>
                <w:rFonts w:hint="eastAsia" w:ascii="仿宋_GB2312" w:hAnsi="仿宋_GB2312" w:eastAsia="仿宋_GB2312" w:cs="仿宋_GB2312"/>
                <w:bCs/>
                <w:sz w:val="28"/>
                <w:szCs w:val="28"/>
              </w:rPr>
              <w:t>分、效果</w:t>
            </w:r>
            <w:r>
              <w:rPr>
                <w:rFonts w:hint="eastAsia" w:ascii="仿宋_GB2312" w:hAnsi="仿宋_GB2312" w:eastAsia="仿宋_GB2312" w:cs="仿宋_GB2312"/>
                <w:bCs/>
                <w:sz w:val="28"/>
                <w:szCs w:val="28"/>
                <w:lang w:val="en-US" w:eastAsia="zh-CN"/>
              </w:rPr>
              <w:t>18.5</w:t>
            </w:r>
            <w:r>
              <w:rPr>
                <w:rFonts w:hint="eastAsia" w:ascii="仿宋_GB2312" w:hAnsi="仿宋_GB2312" w:eastAsia="仿宋_GB2312" w:cs="仿宋_GB2312"/>
                <w:bCs/>
                <w:sz w:val="28"/>
                <w:szCs w:val="28"/>
              </w:rPr>
              <w:t>分。</w:t>
            </w:r>
          </w:p>
          <w:p>
            <w:pPr>
              <w:numPr>
                <w:ilvl w:val="0"/>
                <w:numId w:val="2"/>
              </w:num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存在的主要问题</w:t>
            </w:r>
          </w:p>
          <w:p>
            <w:pPr>
              <w:spacing w:line="560" w:lineRule="exact"/>
              <w:ind w:firstLine="64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w:t>
            </w:r>
            <w:r>
              <w:rPr>
                <w:rFonts w:hint="eastAsia" w:ascii="仿宋_GB2312" w:hAnsi="仿宋_GB2312" w:eastAsia="仿宋_GB2312" w:cs="仿宋_GB2312"/>
                <w:bCs/>
                <w:sz w:val="28"/>
                <w:szCs w:val="28"/>
              </w:rPr>
              <w:t>服务创新工作有待完善，</w:t>
            </w:r>
            <w:r>
              <w:rPr>
                <w:rFonts w:hint="eastAsia" w:ascii="仿宋_GB2312" w:hAnsi="仿宋_GB2312" w:eastAsia="仿宋_GB2312" w:cs="仿宋_GB2312"/>
                <w:bCs/>
                <w:sz w:val="28"/>
                <w:szCs w:val="28"/>
                <w:lang w:eastAsia="zh-CN"/>
              </w:rPr>
              <w:t>居</w:t>
            </w:r>
            <w:r>
              <w:rPr>
                <w:rFonts w:hint="eastAsia" w:ascii="仿宋_GB2312" w:hAnsi="仿宋_GB2312" w:eastAsia="仿宋_GB2312" w:cs="仿宋_GB2312"/>
                <w:bCs/>
                <w:sz w:val="28"/>
                <w:szCs w:val="28"/>
              </w:rPr>
              <w:t>民自治水平有待提升。</w:t>
            </w:r>
          </w:p>
          <w:p>
            <w:pPr>
              <w:spacing w:line="560" w:lineRule="exact"/>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 xml:space="preserve">    2、街道基层财务人员信息相对闭塞，对各项财务制度把握不够精确，导致在报账过程中出现极少数手续不完善的现象。</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spacing w:line="560" w:lineRule="exact"/>
              <w:ind w:firstLine="64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1、进一步提升服务创新意识，提高居民自治能力与水平。</w:t>
            </w:r>
          </w:p>
          <w:p>
            <w:pPr>
              <w:spacing w:line="560" w:lineRule="exact"/>
              <w:ind w:firstLine="640"/>
              <w:rPr>
                <w:rFonts w:eastAsia="楷体_GB2312"/>
                <w:bCs/>
                <w:sz w:val="28"/>
                <w:szCs w:val="28"/>
              </w:rPr>
            </w:pPr>
            <w:r>
              <w:rPr>
                <w:rFonts w:hint="eastAsia" w:ascii="仿宋_GB2312" w:hAnsi="仿宋_GB2312" w:eastAsia="仿宋_GB2312" w:cs="仿宋_GB2312"/>
                <w:bCs/>
                <w:sz w:val="28"/>
                <w:szCs w:val="28"/>
                <w:lang w:val="en-US" w:eastAsia="zh-CN"/>
              </w:rPr>
              <w:t>2、加强对财务人员的业务培训，进一步规范财务管理工作，不断提高财务人员管理水平。</w:t>
            </w:r>
          </w:p>
        </w:tc>
      </w:tr>
    </w:tbl>
    <w:p>
      <w:pPr>
        <w:spacing w:line="348" w:lineRule="auto"/>
        <w:rPr>
          <w:rFonts w:hint="eastAsia" w:eastAsia="黑体" w:cs="黑体"/>
          <w:bCs/>
          <w:sz w:val="32"/>
          <w:szCs w:val="32"/>
        </w:rPr>
      </w:pPr>
    </w:p>
    <w:p>
      <w:pPr>
        <w:spacing w:line="348" w:lineRule="auto"/>
        <w:rPr>
          <w:rFonts w:hint="eastAsia" w:eastAsia="黑体" w:cs="黑体"/>
          <w:bCs/>
          <w:sz w:val="32"/>
          <w:szCs w:val="32"/>
        </w:rPr>
      </w:pPr>
      <w:r>
        <w:rPr>
          <w:rFonts w:hint="eastAsia" w:eastAsia="黑体" w:cs="黑体"/>
          <w:bCs/>
          <w:sz w:val="32"/>
          <w:szCs w:val="32"/>
        </w:rPr>
        <w:t>附件3-2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4"/>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2</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4"/>
        <w:tblW w:w="9894" w:type="dxa"/>
        <w:jc w:val="center"/>
        <w:tblInd w:w="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6</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94.5</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简体">
    <w:altName w:val="微软雅黑"/>
    <w:panose1 w:val="03000509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仿宋">
    <w:altName w:val="仿宋_GB2312"/>
    <w:panose1 w:val="02010609060101010101"/>
    <w:charset w:val="86"/>
    <w:family w:val="modern"/>
    <w:pitch w:val="default"/>
    <w:sig w:usb0="00000000" w:usb1="00000000" w:usb2="00000016" w:usb3="00000000" w:csb0="00040001" w:csb1="00000000"/>
  </w:font>
  <w:font w:name="方正仿宋简体">
    <w:altName w:val="微软雅黑"/>
    <w:panose1 w:val="03000509000000000000"/>
    <w:charset w:val="86"/>
    <w:family w:val="auto"/>
    <w:pitch w:val="default"/>
    <w:sig w:usb0="00000000" w:usb1="0000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0D93848"/>
    <w:multiLevelType w:val="singleLevel"/>
    <w:tmpl w:val="60D93848"/>
    <w:lvl w:ilvl="0" w:tentative="0">
      <w:start w:val="2"/>
      <w:numFmt w:val="chineseCounting"/>
      <w:suff w:val="nothing"/>
      <w:lvlText w:val="（%1）"/>
      <w:lvlJc w:val="left"/>
    </w:lvl>
  </w:abstractNum>
  <w:abstractNum w:abstractNumId="1">
    <w:nsid w:val="60D938D9"/>
    <w:multiLevelType w:val="singleLevel"/>
    <w:tmpl w:val="60D938D9"/>
    <w:lvl w:ilvl="0" w:tentative="0">
      <w:start w:val="4"/>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316A3E"/>
    <w:rsid w:val="034C2DEA"/>
    <w:rsid w:val="040729E7"/>
    <w:rsid w:val="042208D7"/>
    <w:rsid w:val="04437640"/>
    <w:rsid w:val="04BD7B5F"/>
    <w:rsid w:val="05A94E33"/>
    <w:rsid w:val="05F15C1D"/>
    <w:rsid w:val="06455072"/>
    <w:rsid w:val="068D2862"/>
    <w:rsid w:val="06FA35F3"/>
    <w:rsid w:val="08C024E4"/>
    <w:rsid w:val="0A0E71B7"/>
    <w:rsid w:val="0A2D6928"/>
    <w:rsid w:val="0A603DEE"/>
    <w:rsid w:val="0B6130E1"/>
    <w:rsid w:val="0BE73621"/>
    <w:rsid w:val="0CE50927"/>
    <w:rsid w:val="0CFB5EA4"/>
    <w:rsid w:val="0DD8452E"/>
    <w:rsid w:val="10887E57"/>
    <w:rsid w:val="10944A58"/>
    <w:rsid w:val="10A37ED5"/>
    <w:rsid w:val="10D6417B"/>
    <w:rsid w:val="14074425"/>
    <w:rsid w:val="141D7B5E"/>
    <w:rsid w:val="14C76E0A"/>
    <w:rsid w:val="1542728D"/>
    <w:rsid w:val="15B15670"/>
    <w:rsid w:val="160A574B"/>
    <w:rsid w:val="181637C7"/>
    <w:rsid w:val="18257F55"/>
    <w:rsid w:val="1933238B"/>
    <w:rsid w:val="1AA55F20"/>
    <w:rsid w:val="1B225149"/>
    <w:rsid w:val="1BBB5436"/>
    <w:rsid w:val="1BC54654"/>
    <w:rsid w:val="1BFE4924"/>
    <w:rsid w:val="1C8E0BCD"/>
    <w:rsid w:val="1D704B52"/>
    <w:rsid w:val="1F0A63C3"/>
    <w:rsid w:val="1F6944EB"/>
    <w:rsid w:val="20235543"/>
    <w:rsid w:val="2040517A"/>
    <w:rsid w:val="20F62F74"/>
    <w:rsid w:val="214103A4"/>
    <w:rsid w:val="21DC77E3"/>
    <w:rsid w:val="222B3017"/>
    <w:rsid w:val="23674E0A"/>
    <w:rsid w:val="23F00E0E"/>
    <w:rsid w:val="24951FF5"/>
    <w:rsid w:val="25331FC3"/>
    <w:rsid w:val="2544151E"/>
    <w:rsid w:val="25FE3AA3"/>
    <w:rsid w:val="281C3B03"/>
    <w:rsid w:val="29117A6E"/>
    <w:rsid w:val="294C56DC"/>
    <w:rsid w:val="29646B54"/>
    <w:rsid w:val="29C331ED"/>
    <w:rsid w:val="2AD91BED"/>
    <w:rsid w:val="2B135BC9"/>
    <w:rsid w:val="2B194191"/>
    <w:rsid w:val="2B6A45C8"/>
    <w:rsid w:val="2C51063B"/>
    <w:rsid w:val="2C89266F"/>
    <w:rsid w:val="2DF2229A"/>
    <w:rsid w:val="2E4A63CA"/>
    <w:rsid w:val="2FD40A7B"/>
    <w:rsid w:val="2FFD2448"/>
    <w:rsid w:val="30CC68F1"/>
    <w:rsid w:val="30D86B68"/>
    <w:rsid w:val="31D32296"/>
    <w:rsid w:val="31ED4B06"/>
    <w:rsid w:val="3290538D"/>
    <w:rsid w:val="32CC4645"/>
    <w:rsid w:val="33F27E00"/>
    <w:rsid w:val="343C3F8F"/>
    <w:rsid w:val="34DB2D2B"/>
    <w:rsid w:val="3517679D"/>
    <w:rsid w:val="35B6603E"/>
    <w:rsid w:val="35C32DC2"/>
    <w:rsid w:val="36CE6969"/>
    <w:rsid w:val="37E73ABD"/>
    <w:rsid w:val="39776F52"/>
    <w:rsid w:val="39A513E1"/>
    <w:rsid w:val="39DE3F97"/>
    <w:rsid w:val="3A895BE3"/>
    <w:rsid w:val="3B345D65"/>
    <w:rsid w:val="3C081AD0"/>
    <w:rsid w:val="3C64380A"/>
    <w:rsid w:val="3CF3022C"/>
    <w:rsid w:val="3E3931B2"/>
    <w:rsid w:val="4020125A"/>
    <w:rsid w:val="40CF788D"/>
    <w:rsid w:val="41AA1939"/>
    <w:rsid w:val="41C05904"/>
    <w:rsid w:val="41DF1697"/>
    <w:rsid w:val="423140F6"/>
    <w:rsid w:val="448B610A"/>
    <w:rsid w:val="461C7086"/>
    <w:rsid w:val="466A0803"/>
    <w:rsid w:val="475565E8"/>
    <w:rsid w:val="478005DD"/>
    <w:rsid w:val="483658CF"/>
    <w:rsid w:val="484463D1"/>
    <w:rsid w:val="486B41EA"/>
    <w:rsid w:val="48AD22EA"/>
    <w:rsid w:val="499875CE"/>
    <w:rsid w:val="4A2A4502"/>
    <w:rsid w:val="4A4A02EF"/>
    <w:rsid w:val="4AAC7AD1"/>
    <w:rsid w:val="4CA76AC0"/>
    <w:rsid w:val="4DBB2D94"/>
    <w:rsid w:val="4DFB2B0D"/>
    <w:rsid w:val="4E3C7773"/>
    <w:rsid w:val="4FB460FC"/>
    <w:rsid w:val="4FF527D8"/>
    <w:rsid w:val="50E943D1"/>
    <w:rsid w:val="52197C1A"/>
    <w:rsid w:val="521A1F70"/>
    <w:rsid w:val="5229480A"/>
    <w:rsid w:val="5371388D"/>
    <w:rsid w:val="53EA0185"/>
    <w:rsid w:val="567614DB"/>
    <w:rsid w:val="56D36558"/>
    <w:rsid w:val="574D7605"/>
    <w:rsid w:val="57A90D94"/>
    <w:rsid w:val="59651C4D"/>
    <w:rsid w:val="5AA83753"/>
    <w:rsid w:val="5AB45D93"/>
    <w:rsid w:val="5B6E3745"/>
    <w:rsid w:val="5C266795"/>
    <w:rsid w:val="5CF8115D"/>
    <w:rsid w:val="5DAE0242"/>
    <w:rsid w:val="5DF54845"/>
    <w:rsid w:val="5EAB20B2"/>
    <w:rsid w:val="5EC529A7"/>
    <w:rsid w:val="60433B9E"/>
    <w:rsid w:val="60892763"/>
    <w:rsid w:val="62670768"/>
    <w:rsid w:val="62995F2C"/>
    <w:rsid w:val="63900294"/>
    <w:rsid w:val="6455523B"/>
    <w:rsid w:val="65B81128"/>
    <w:rsid w:val="66276D11"/>
    <w:rsid w:val="66F34550"/>
    <w:rsid w:val="67827F2E"/>
    <w:rsid w:val="67E43444"/>
    <w:rsid w:val="6824322E"/>
    <w:rsid w:val="69744415"/>
    <w:rsid w:val="69BB3FE9"/>
    <w:rsid w:val="69C94974"/>
    <w:rsid w:val="6B0836C5"/>
    <w:rsid w:val="6B2E4274"/>
    <w:rsid w:val="6B943C75"/>
    <w:rsid w:val="6C3F69AA"/>
    <w:rsid w:val="6C9D3EB0"/>
    <w:rsid w:val="6D45003D"/>
    <w:rsid w:val="6D4B17A7"/>
    <w:rsid w:val="6D5A444C"/>
    <w:rsid w:val="6E5201C3"/>
    <w:rsid w:val="6E7C6562"/>
    <w:rsid w:val="71684323"/>
    <w:rsid w:val="72B8383F"/>
    <w:rsid w:val="73D33FBC"/>
    <w:rsid w:val="73DA23B8"/>
    <w:rsid w:val="741C20F2"/>
    <w:rsid w:val="747E1C84"/>
    <w:rsid w:val="75345010"/>
    <w:rsid w:val="76112C44"/>
    <w:rsid w:val="76592AFF"/>
    <w:rsid w:val="768803C7"/>
    <w:rsid w:val="772B775B"/>
    <w:rsid w:val="77DC3745"/>
    <w:rsid w:val="78453157"/>
    <w:rsid w:val="79075639"/>
    <w:rsid w:val="79565885"/>
    <w:rsid w:val="796D7A4C"/>
    <w:rsid w:val="7A034382"/>
    <w:rsid w:val="7B1E672B"/>
    <w:rsid w:val="7BB60371"/>
    <w:rsid w:val="7BE906BE"/>
    <w:rsid w:val="7BEB7F10"/>
    <w:rsid w:val="7C8A13B9"/>
    <w:rsid w:val="7DA83ADE"/>
    <w:rsid w:val="7F8B3214"/>
    <w:rsid w:val="7FBE0FD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Office_10.8.0.5838_F1E327BC-269C-435d-A152-05C5408002CA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2022-09-02T09:28:12Z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2052-10.8.0.5838</vt:lpwstr>
  </property>
</Properties>
</file>