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1" w:firstLineChars="7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ascii="黑体" w:hAnsi="黑体" w:eastAsia="黑体"/>
          <w:sz w:val="32"/>
          <w:szCs w:val="32"/>
        </w:rPr>
      </w:pPr>
      <w:r>
        <w:rPr>
          <w:rFonts w:hint="eastAsia" w:ascii="黑体" w:hAnsi="黑体" w:eastAsia="黑体"/>
          <w:sz w:val="32"/>
          <w:szCs w:val="32"/>
        </w:rPr>
        <w:t>一、部门基本情况</w:t>
      </w:r>
    </w:p>
    <w:p>
      <w:pPr>
        <w:ind w:firstLine="640" w:firstLineChars="200"/>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w:t>
      </w:r>
      <w:r>
        <w:rPr>
          <w:rFonts w:hint="eastAsia" w:ascii="黑体" w:hAnsi="黑体" w:eastAsia="黑体"/>
          <w:sz w:val="32"/>
          <w:szCs w:val="32"/>
        </w:rPr>
        <w:t>职能</w:t>
      </w:r>
      <w:r>
        <w:rPr>
          <w:rFonts w:ascii="黑体" w:hAnsi="黑体" w:eastAsia="黑体"/>
          <w:sz w:val="32"/>
          <w:szCs w:val="32"/>
        </w:rPr>
        <w:t>职责</w:t>
      </w:r>
    </w:p>
    <w:p>
      <w:pPr>
        <w:widowControl/>
        <w:spacing w:line="600" w:lineRule="exact"/>
        <w:ind w:firstLine="640" w:firstLineChars="200"/>
        <w:rPr>
          <w:rFonts w:asciiTheme="minorEastAsia" w:hAnsiTheme="minorEastAsia"/>
          <w:bCs/>
          <w:kern w:val="0"/>
          <w:sz w:val="32"/>
          <w:szCs w:val="32"/>
        </w:rPr>
      </w:pPr>
      <w:r>
        <w:rPr>
          <w:rFonts w:asciiTheme="minorEastAsia" w:hAnsiTheme="minorEastAsia"/>
          <w:bCs/>
          <w:kern w:val="0"/>
          <w:sz w:val="32"/>
          <w:szCs w:val="32"/>
        </w:rPr>
        <w:t>保障孤老优抚对象的生活，全方位为孤老优抚对象服务。加快孤老优抚对象养老服务设施建设；加快孤老优抚对象养老服务业发展，推进孤老优抚对象健康快速发展。确保院内老人的生活保障</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（二）部门机构设置</w:t>
      </w:r>
    </w:p>
    <w:p>
      <w:pPr>
        <w:spacing w:line="560" w:lineRule="exact"/>
        <w:ind w:firstLine="640" w:firstLineChars="200"/>
        <w:jc w:val="left"/>
        <w:rPr>
          <w:rFonts w:hint="eastAsia" w:asciiTheme="minorEastAsia" w:hAnsiTheme="minorEastAsia"/>
          <w:bCs/>
          <w:kern w:val="0"/>
          <w:sz w:val="32"/>
          <w:szCs w:val="32"/>
        </w:rPr>
      </w:pPr>
      <w:r>
        <w:rPr>
          <w:rFonts w:hint="eastAsia" w:asciiTheme="minorEastAsia" w:hAnsiTheme="minorEastAsia"/>
          <w:bCs/>
          <w:kern w:val="0"/>
          <w:sz w:val="32"/>
          <w:szCs w:val="32"/>
        </w:rPr>
        <w:t>现有人数9人，其中在职在编人员3人；退休人员6人。本单位为二级预</w:t>
      </w:r>
      <w:bookmarkStart w:id="0" w:name="_GoBack"/>
      <w:bookmarkEnd w:id="0"/>
      <w:r>
        <w:rPr>
          <w:rFonts w:hint="eastAsia" w:asciiTheme="minorEastAsia" w:hAnsiTheme="minorEastAsia"/>
          <w:bCs/>
          <w:kern w:val="0"/>
          <w:sz w:val="32"/>
          <w:szCs w:val="32"/>
        </w:rPr>
        <w:t>算单位，没有预算独立、财务独立核算的下属预算单位，因此纳入2021年部门预算公开范围的本单位本级预算。</w:t>
      </w:r>
    </w:p>
    <w:p>
      <w:pPr>
        <w:ind w:firstLine="640" w:firstLineChars="200"/>
        <w:jc w:val="left"/>
        <w:rPr>
          <w:rFonts w:hint="eastAsia" w:ascii="黑体" w:hAnsi="黑体" w:eastAsia="黑体"/>
          <w:sz w:val="32"/>
          <w:szCs w:val="32"/>
        </w:rPr>
      </w:pPr>
      <w:r>
        <w:rPr>
          <w:rFonts w:hint="eastAsia" w:ascii="黑体" w:hAnsi="黑体" w:eastAsia="黑体"/>
          <w:sz w:val="32"/>
          <w:szCs w:val="32"/>
        </w:rPr>
        <w:t>二、2020年整体支出管理及使用情况</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我局2020年收入为</w:t>
      </w:r>
      <w:r>
        <w:rPr>
          <w:rFonts w:ascii="仿宋_GB2312" w:hAnsi="仿宋_GB2312" w:eastAsia="仿宋_GB2312" w:cs="仿宋_GB2312"/>
          <w:sz w:val="30"/>
          <w:szCs w:val="30"/>
        </w:rPr>
        <w:t>65.9</w:t>
      </w:r>
      <w:r>
        <w:rPr>
          <w:rFonts w:hint="eastAsia" w:ascii="仿宋_GB2312" w:hAnsi="仿宋_GB2312" w:eastAsia="仿宋_GB2312" w:cs="仿宋_GB2312"/>
          <w:sz w:val="30"/>
          <w:szCs w:val="30"/>
        </w:rPr>
        <w:t>万元，其中上年结转</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万元，财政拨款收入</w:t>
      </w:r>
      <w:r>
        <w:rPr>
          <w:rFonts w:ascii="仿宋_GB2312" w:hAnsi="仿宋_GB2312" w:eastAsia="仿宋_GB2312" w:cs="仿宋_GB2312"/>
          <w:sz w:val="30"/>
          <w:szCs w:val="30"/>
        </w:rPr>
        <w:t>65.9</w:t>
      </w:r>
      <w:r>
        <w:rPr>
          <w:rFonts w:hint="eastAsia" w:ascii="仿宋_GB2312" w:hAnsi="仿宋_GB2312" w:eastAsia="仿宋_GB2312" w:cs="仿宋_GB2312"/>
          <w:sz w:val="30"/>
          <w:szCs w:val="30"/>
        </w:rPr>
        <w:t>万元，其他收入0万元。本年支出</w:t>
      </w:r>
      <w:r>
        <w:rPr>
          <w:rFonts w:ascii="仿宋_GB2312" w:hAnsi="仿宋_GB2312" w:eastAsia="仿宋_GB2312" w:cs="仿宋_GB2312"/>
          <w:sz w:val="30"/>
          <w:szCs w:val="30"/>
        </w:rPr>
        <w:t>65.9</w:t>
      </w:r>
      <w:r>
        <w:rPr>
          <w:rFonts w:hint="eastAsia" w:ascii="仿宋_GB2312" w:hAnsi="仿宋_GB2312" w:eastAsia="仿宋_GB2312" w:cs="仿宋_GB2312"/>
          <w:sz w:val="30"/>
          <w:szCs w:val="30"/>
        </w:rPr>
        <w:t>万元，基本支出为</w:t>
      </w:r>
      <w:r>
        <w:rPr>
          <w:rFonts w:asciiTheme="minorEastAsia" w:hAnsiTheme="minorEastAsia"/>
          <w:sz w:val="32"/>
          <w:szCs w:val="32"/>
        </w:rPr>
        <w:t>62.1</w:t>
      </w:r>
      <w:r>
        <w:rPr>
          <w:rFonts w:hint="eastAsia" w:ascii="仿宋_GB2312" w:hAnsi="仿宋_GB2312" w:eastAsia="仿宋_GB2312" w:cs="仿宋_GB2312"/>
          <w:sz w:val="30"/>
          <w:szCs w:val="30"/>
        </w:rPr>
        <w:t>万元，其中人员支出为</w:t>
      </w:r>
      <w:r>
        <w:rPr>
          <w:rFonts w:asciiTheme="minorEastAsia" w:hAnsiTheme="minorEastAsia"/>
          <w:sz w:val="32"/>
          <w:szCs w:val="32"/>
        </w:rPr>
        <w:t>52.3</w:t>
      </w:r>
      <w:r>
        <w:rPr>
          <w:rFonts w:hint="eastAsia" w:ascii="仿宋_GB2312" w:hAnsi="仿宋_GB2312" w:eastAsia="仿宋_GB2312" w:cs="仿宋_GB2312"/>
          <w:sz w:val="30"/>
          <w:szCs w:val="30"/>
        </w:rPr>
        <w:t>万元，公用支出为</w:t>
      </w:r>
      <w:r>
        <w:rPr>
          <w:rFonts w:ascii="仿宋_GB2312" w:hAnsi="仿宋_GB2312" w:eastAsia="仿宋_GB2312" w:cs="仿宋_GB2312"/>
          <w:sz w:val="30"/>
          <w:szCs w:val="30"/>
        </w:rPr>
        <w:t>9.8</w:t>
      </w:r>
      <w:r>
        <w:rPr>
          <w:rFonts w:hint="eastAsia" w:ascii="仿宋_GB2312" w:hAnsi="仿宋_GB2312" w:eastAsia="仿宋_GB2312" w:cs="仿宋_GB2312"/>
          <w:sz w:val="30"/>
          <w:szCs w:val="30"/>
        </w:rPr>
        <w:t>万元。年末结转和结余</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万元。事业费无。</w:t>
      </w:r>
    </w:p>
    <w:p>
      <w:pPr>
        <w:ind w:firstLine="640" w:firstLineChars="200"/>
        <w:jc w:val="left"/>
        <w:rPr>
          <w:rFonts w:hint="eastAsia" w:ascii="黑体" w:hAnsi="黑体" w:eastAsia="黑体"/>
          <w:sz w:val="32"/>
          <w:szCs w:val="32"/>
        </w:rPr>
      </w:pPr>
      <w:r>
        <w:rPr>
          <w:rFonts w:hint="eastAsia" w:ascii="黑体" w:hAnsi="黑体" w:eastAsia="黑体"/>
          <w:sz w:val="32"/>
          <w:szCs w:val="32"/>
        </w:rPr>
        <w:t>三、整体支出绩效自评结论</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加快孤老优抚对象养老服务设施建设；加快孤老优抚对象养老服务业发展，推进孤老优抚对象健康快速发展。根据绩效目标评价标准，我局2020年整体支出绩效自评为优秀。</w:t>
      </w:r>
    </w:p>
    <w:p>
      <w:pPr>
        <w:ind w:firstLine="640" w:firstLineChars="200"/>
        <w:jc w:val="center"/>
        <w:rPr>
          <w:rFonts w:cs="黑体" w:asciiTheme="minorEastAsia" w:hAnsiTheme="minorEastAsia"/>
          <w:b/>
          <w:color w:val="000000"/>
          <w:kern w:val="0"/>
          <w:sz w:val="32"/>
          <w:szCs w:val="32"/>
        </w:rPr>
      </w:pPr>
    </w:p>
    <w:tbl>
      <w:tblPr>
        <w:tblStyle w:val="2"/>
        <w:tblW w:w="9894" w:type="dxa"/>
        <w:tblInd w:w="0" w:type="dxa"/>
        <w:tblLayout w:type="autofit"/>
        <w:tblCellMar>
          <w:top w:w="0" w:type="dxa"/>
          <w:left w:w="108" w:type="dxa"/>
          <w:bottom w:w="0" w:type="dxa"/>
          <w:right w:w="108" w:type="dxa"/>
        </w:tblCellMar>
      </w:tblPr>
      <w:tblGrid>
        <w:gridCol w:w="96"/>
        <w:gridCol w:w="880"/>
        <w:gridCol w:w="450"/>
        <w:gridCol w:w="30"/>
        <w:gridCol w:w="121"/>
        <w:gridCol w:w="338"/>
        <w:gridCol w:w="609"/>
        <w:gridCol w:w="148"/>
        <w:gridCol w:w="632"/>
        <w:gridCol w:w="322"/>
        <w:gridCol w:w="574"/>
        <w:gridCol w:w="797"/>
        <w:gridCol w:w="416"/>
        <w:gridCol w:w="1534"/>
        <w:gridCol w:w="528"/>
        <w:gridCol w:w="188"/>
        <w:gridCol w:w="431"/>
        <w:gridCol w:w="433"/>
        <w:gridCol w:w="287"/>
        <w:gridCol w:w="1036"/>
        <w:gridCol w:w="44"/>
      </w:tblGrid>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一、部门（单位）基本概况</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联系人</w:t>
            </w:r>
          </w:p>
        </w:tc>
        <w:tc>
          <w:tcPr>
            <w:tcW w:w="38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李璇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联络电话</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07302281873</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人员编制</w:t>
            </w:r>
          </w:p>
        </w:tc>
        <w:tc>
          <w:tcPr>
            <w:tcW w:w="38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4</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实有人数</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9</w:t>
            </w:r>
          </w:p>
        </w:tc>
      </w:tr>
      <w:tr>
        <w:tblPrEx>
          <w:tblCellMar>
            <w:top w:w="0" w:type="dxa"/>
            <w:left w:w="108" w:type="dxa"/>
            <w:bottom w:w="0" w:type="dxa"/>
            <w:right w:w="108" w:type="dxa"/>
          </w:tblCellMar>
        </w:tblPrEx>
        <w:trPr>
          <w:gridBefore w:val="1"/>
          <w:gridAfter w:val="1"/>
          <w:wBefore w:w="96" w:type="dxa"/>
          <w:wAfter w:w="44" w:type="dxa"/>
          <w:trHeight w:val="1140" w:hRule="atLeast"/>
        </w:trPr>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职能职责概述</w:t>
            </w:r>
          </w:p>
        </w:tc>
        <w:tc>
          <w:tcPr>
            <w:tcW w:w="827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保障孤老优抚对象的生活，全方位为孤老优抚对象服务。加快孤老优抚对象养老服务设施建设；加快孤老优抚对象养老服务业发展，推进孤老优抚对象健康快速发展。确保院内老人的生活保障</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年度主要工作内容</w:t>
            </w:r>
          </w:p>
        </w:tc>
        <w:tc>
          <w:tcPr>
            <w:tcW w:w="827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任务1：加强光荣院等民政基础建设，提升基层民政经办能力。</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827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任务2：...</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827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任务3：...</w:t>
            </w:r>
          </w:p>
        </w:tc>
      </w:tr>
      <w:tr>
        <w:tblPrEx>
          <w:tblCellMar>
            <w:top w:w="0" w:type="dxa"/>
            <w:left w:w="108" w:type="dxa"/>
            <w:bottom w:w="0" w:type="dxa"/>
            <w:right w:w="108" w:type="dxa"/>
          </w:tblCellMar>
        </w:tblPrEx>
        <w:trPr>
          <w:gridBefore w:val="1"/>
          <w:gridAfter w:val="1"/>
          <w:wBefore w:w="96" w:type="dxa"/>
          <w:wAfter w:w="44" w:type="dxa"/>
          <w:trHeight w:val="3645" w:hRule="atLeast"/>
        </w:trPr>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年度部门（单位）总体运行情况及取得的成绩</w:t>
            </w:r>
          </w:p>
        </w:tc>
        <w:tc>
          <w:tcPr>
            <w:tcW w:w="827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1.财政资金的科学有效管理，保障了区退役军人事务局各项目标的实现。</w:t>
            </w:r>
            <w:r>
              <w:rPr>
                <w:rFonts w:ascii="仿宋_GB2312" w:hAnsi="宋体" w:eastAsia="仿宋_GB2312" w:cs="仿宋_GB2312"/>
                <w:color w:val="000000"/>
                <w:kern w:val="0"/>
                <w:sz w:val="20"/>
                <w:szCs w:val="20"/>
                <w:lang w:bidi="ar"/>
              </w:rPr>
              <w:br w:type="textWrapping"/>
            </w:r>
            <w:r>
              <w:rPr>
                <w:rFonts w:ascii="仿宋_GB2312" w:hAnsi="宋体" w:eastAsia="仿宋_GB2312" w:cs="仿宋_GB2312"/>
                <w:color w:val="000000"/>
                <w:kern w:val="0"/>
                <w:sz w:val="20"/>
                <w:szCs w:val="20"/>
                <w:lang w:bidi="ar"/>
              </w:rPr>
              <w:t>2.严格执行政府采购制度。</w:t>
            </w:r>
            <w:r>
              <w:rPr>
                <w:rFonts w:ascii="仿宋_GB2312" w:hAnsi="宋体" w:eastAsia="仿宋_GB2312" w:cs="仿宋_GB2312"/>
                <w:color w:val="000000"/>
                <w:kern w:val="0"/>
                <w:sz w:val="20"/>
                <w:szCs w:val="20"/>
                <w:lang w:bidi="ar"/>
              </w:rPr>
              <w:br w:type="textWrapping"/>
            </w:r>
            <w:r>
              <w:rPr>
                <w:rFonts w:ascii="仿宋_GB2312" w:hAnsi="宋体" w:eastAsia="仿宋_GB2312" w:cs="仿宋_GB2312"/>
                <w:color w:val="000000"/>
                <w:kern w:val="0"/>
                <w:sz w:val="20"/>
                <w:szCs w:val="20"/>
                <w:lang w:bidi="ar"/>
              </w:rPr>
              <w:t>3.较好地完成部门预决算工作，严格按照进度执行预算。</w:t>
            </w:r>
            <w:r>
              <w:rPr>
                <w:rFonts w:ascii="仿宋_GB2312" w:hAnsi="宋体" w:eastAsia="仿宋_GB2312" w:cs="仿宋_GB2312"/>
                <w:color w:val="000000"/>
                <w:kern w:val="0"/>
                <w:sz w:val="20"/>
                <w:szCs w:val="20"/>
                <w:lang w:bidi="ar"/>
              </w:rPr>
              <w:br w:type="textWrapping"/>
            </w:r>
            <w:r>
              <w:rPr>
                <w:rFonts w:ascii="仿宋_GB2312" w:hAnsi="宋体" w:eastAsia="仿宋_GB2312" w:cs="仿宋_GB2312"/>
                <w:color w:val="000000"/>
                <w:kern w:val="0"/>
                <w:sz w:val="20"/>
                <w:szCs w:val="20"/>
                <w:lang w:bidi="ar"/>
              </w:rPr>
              <w:t>4.贯彻落实孤寡医疗、疗养、养老等机构的规划政策并指导实施</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二、部门（单位）收支情况</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年度收入情况（万元）</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机构名称</w:t>
            </w:r>
          </w:p>
        </w:tc>
        <w:tc>
          <w:tcPr>
            <w:tcW w:w="109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收入合计</w:t>
            </w:r>
          </w:p>
        </w:tc>
        <w:tc>
          <w:tcPr>
            <w:tcW w:w="732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其中：</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9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上年结转</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公共财政拨款</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政府基金拨款</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纳入专户管理的非税收入拨款</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其他收入</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局机关及二级机构汇总</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65.9</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65.9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3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1、光荣院</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65.9</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65.9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部门（单位）年度支出和结余情况（万元）</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机构名称</w:t>
            </w:r>
          </w:p>
        </w:tc>
        <w:tc>
          <w:tcPr>
            <w:tcW w:w="109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支出合计</w:t>
            </w:r>
          </w:p>
        </w:tc>
        <w:tc>
          <w:tcPr>
            <w:tcW w:w="60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其中：</w:t>
            </w:r>
          </w:p>
        </w:tc>
        <w:tc>
          <w:tcPr>
            <w:tcW w:w="1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结余</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9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1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基本支出</w:t>
            </w:r>
          </w:p>
        </w:tc>
        <w:tc>
          <w:tcPr>
            <w:tcW w:w="3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其中：</w:t>
            </w:r>
          </w:p>
        </w:tc>
        <w:tc>
          <w:tcPr>
            <w:tcW w:w="15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项目支出</w:t>
            </w:r>
          </w:p>
        </w:tc>
        <w:tc>
          <w:tcPr>
            <w:tcW w:w="1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9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1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人员支出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公用支出</w:t>
            </w:r>
          </w:p>
        </w:tc>
        <w:tc>
          <w:tcPr>
            <w:tcW w:w="15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局机关及二级机构汇总</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65.9</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62.1</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52.3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9.8</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3.8</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1、光荣院</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65.9</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62.1</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52.3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9.8</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3.8</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机构名称</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三公经费</w:t>
            </w:r>
          </w:p>
        </w:tc>
        <w:tc>
          <w:tcPr>
            <w:tcW w:w="732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其中：</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合计</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公务接待费</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公务用车运维费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公务用车购置费</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因公出国费</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会议费</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局机关及二级机构汇总</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2</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0</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1、光荣院</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2</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0</w:t>
            </w: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0</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机构名称</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固定资产</w:t>
            </w:r>
          </w:p>
        </w:tc>
        <w:tc>
          <w:tcPr>
            <w:tcW w:w="60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其中：</w:t>
            </w:r>
          </w:p>
        </w:tc>
        <w:tc>
          <w:tcPr>
            <w:tcW w:w="1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其他</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合计</w:t>
            </w:r>
          </w:p>
        </w:tc>
        <w:tc>
          <w:tcPr>
            <w:tcW w:w="28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在用固定资产</w:t>
            </w:r>
          </w:p>
        </w:tc>
        <w:tc>
          <w:tcPr>
            <w:tcW w:w="3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出租固定资产</w:t>
            </w:r>
          </w:p>
        </w:tc>
        <w:tc>
          <w:tcPr>
            <w:tcW w:w="1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局机关及二级机构汇总</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534.51</w:t>
            </w:r>
          </w:p>
        </w:tc>
        <w:tc>
          <w:tcPr>
            <w:tcW w:w="2889" w:type="dxa"/>
            <w:gridSpan w:val="6"/>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534.51</w:t>
            </w:r>
          </w:p>
        </w:tc>
        <w:tc>
          <w:tcPr>
            <w:tcW w:w="3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1、光荣院</w:t>
            </w: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534.51</w:t>
            </w:r>
          </w:p>
        </w:tc>
        <w:tc>
          <w:tcPr>
            <w:tcW w:w="2889" w:type="dxa"/>
            <w:gridSpan w:val="6"/>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534.51</w:t>
            </w:r>
          </w:p>
        </w:tc>
        <w:tc>
          <w:tcPr>
            <w:tcW w:w="3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8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3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000000"/>
                <w:sz w:val="20"/>
                <w:szCs w:val="20"/>
              </w:rPr>
            </w:pPr>
          </w:p>
        </w:tc>
        <w:tc>
          <w:tcPr>
            <w:tcW w:w="1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8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3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三、部门（单位）整体支出绩效自评情况</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整体支出绩效定性目标及实施计划完成情况</w:t>
            </w:r>
          </w:p>
        </w:tc>
        <w:tc>
          <w:tcPr>
            <w:tcW w:w="3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预期目标</w:t>
            </w:r>
          </w:p>
        </w:tc>
        <w:tc>
          <w:tcPr>
            <w:tcW w:w="44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实际完成</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3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目标1：加快完善服务保障体系建设</w:t>
            </w:r>
          </w:p>
        </w:tc>
        <w:tc>
          <w:tcPr>
            <w:tcW w:w="443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完善孤寡老人服务体系，完善相关政策制度</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3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目标2：社会服务能力逐步增强</w:t>
            </w:r>
          </w:p>
        </w:tc>
        <w:tc>
          <w:tcPr>
            <w:tcW w:w="443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3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目标3：</w:t>
            </w:r>
          </w:p>
        </w:tc>
        <w:tc>
          <w:tcPr>
            <w:tcW w:w="443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评价内容</w:t>
            </w:r>
          </w:p>
        </w:tc>
        <w:tc>
          <w:tcPr>
            <w:tcW w:w="2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绩效内容</w:t>
            </w:r>
          </w:p>
        </w:tc>
        <w:tc>
          <w:tcPr>
            <w:tcW w:w="716"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绩效</w:t>
            </w:r>
            <w:r>
              <w:rPr>
                <w:rFonts w:ascii="仿宋_GB2312" w:hAnsi="宋体" w:eastAsia="仿宋_GB2312" w:cs="仿宋_GB2312"/>
                <w:color w:val="000000"/>
                <w:kern w:val="0"/>
                <w:sz w:val="20"/>
                <w:szCs w:val="20"/>
                <w:lang w:bidi="ar"/>
              </w:rPr>
              <w:br w:type="textWrapping"/>
            </w:r>
            <w:r>
              <w:rPr>
                <w:rFonts w:ascii="仿宋_GB2312" w:hAnsi="宋体" w:eastAsia="仿宋_GB2312" w:cs="仿宋_GB2312"/>
                <w:color w:val="000000"/>
                <w:kern w:val="0"/>
                <w:sz w:val="20"/>
                <w:szCs w:val="20"/>
                <w:lang w:bidi="ar"/>
              </w:rPr>
              <w:t>目标值</w:t>
            </w:r>
          </w:p>
        </w:tc>
        <w:tc>
          <w:tcPr>
            <w:tcW w:w="21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完成情况</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21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产出目标</w:t>
            </w:r>
            <w:r>
              <w:rPr>
                <w:rFonts w:ascii="仿宋_GB2312" w:hAnsi="宋体" w:eastAsia="仿宋_GB2312" w:cs="仿宋_GB2312"/>
                <w:color w:val="000000"/>
                <w:kern w:val="0"/>
                <w:sz w:val="20"/>
                <w:szCs w:val="20"/>
                <w:lang w:bidi="ar"/>
              </w:rPr>
              <w:br w:type="textWrapping"/>
            </w:r>
            <w:r>
              <w:rPr>
                <w:rFonts w:ascii="仿宋_GB2312" w:hAnsi="宋体" w:eastAsia="仿宋_GB2312" w:cs="仿宋_GB2312"/>
                <w:color w:val="000000"/>
                <w:kern w:val="0"/>
                <w:sz w:val="20"/>
                <w:szCs w:val="20"/>
                <w:lang w:bidi="ar"/>
              </w:rPr>
              <w:t>（部门工作实绩，即绩效办制定的单位年度考核计分办法中考核的部门工作实绩内容）</w:t>
            </w:r>
          </w:p>
        </w:tc>
        <w:tc>
          <w:tcPr>
            <w:tcW w:w="15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质量指标</w:t>
            </w: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1.财政资金的科学有效管理，保障了区光荣院各项工作目标的实现。</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100%</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100%</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2.严格执行政府采购制度</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100%</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100%</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数量指标</w:t>
            </w: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基本支出经费</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53.96万元</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62.1万元</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项目经费</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30万元</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3.8万元</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时效指标</w:t>
            </w: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经济任务按进度</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100%</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成本指标</w:t>
            </w:r>
          </w:p>
        </w:tc>
        <w:tc>
          <w:tcPr>
            <w:tcW w:w="1213" w:type="dxa"/>
            <w:gridSpan w:val="2"/>
            <w:tcBorders>
              <w:top w:val="single" w:color="000000" w:sz="4" w:space="0"/>
              <w:left w:val="single" w:color="000000" w:sz="4" w:space="0"/>
              <w:bottom w:val="nil"/>
              <w:right w:val="nil"/>
            </w:tcBorders>
            <w:shd w:val="clear" w:color="auto" w:fill="auto"/>
            <w:vAlign w:val="center"/>
          </w:tcPr>
          <w:p>
            <w:pPr>
              <w:jc w:val="center"/>
              <w:rPr>
                <w:rFonts w:ascii="仿宋_GB2312" w:hAnsi="宋体" w:eastAsia="仿宋_GB2312" w:cs="仿宋_GB2312"/>
                <w:color w:val="000000"/>
                <w:sz w:val="20"/>
                <w:szCs w:val="20"/>
              </w:rPr>
            </w:pPr>
          </w:p>
        </w:tc>
        <w:tc>
          <w:tcPr>
            <w:tcW w:w="1534" w:type="dxa"/>
            <w:tcBorders>
              <w:top w:val="single" w:color="000000" w:sz="4" w:space="0"/>
              <w:left w:val="nil"/>
              <w:bottom w:val="nil"/>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3" w:type="dxa"/>
            <w:gridSpan w:val="2"/>
            <w:tcBorders>
              <w:top w:val="single" w:color="000000" w:sz="4" w:space="0"/>
              <w:left w:val="single" w:color="000000" w:sz="4" w:space="0"/>
              <w:bottom w:val="nil"/>
              <w:right w:val="nil"/>
            </w:tcBorders>
            <w:shd w:val="clear" w:color="auto" w:fill="auto"/>
            <w:vAlign w:val="center"/>
          </w:tcPr>
          <w:p>
            <w:pPr>
              <w:jc w:val="center"/>
              <w:rPr>
                <w:rFonts w:ascii="仿宋_GB2312" w:hAnsi="宋体" w:eastAsia="仿宋_GB2312" w:cs="仿宋_GB2312"/>
                <w:color w:val="000000"/>
                <w:sz w:val="20"/>
                <w:szCs w:val="20"/>
              </w:rPr>
            </w:pPr>
          </w:p>
        </w:tc>
        <w:tc>
          <w:tcPr>
            <w:tcW w:w="1534"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效益目标</w:t>
            </w:r>
            <w:r>
              <w:rPr>
                <w:rFonts w:ascii="仿宋_GB2312" w:hAnsi="宋体" w:eastAsia="仿宋_GB2312" w:cs="仿宋_GB2312"/>
                <w:color w:val="000000"/>
                <w:kern w:val="0"/>
                <w:sz w:val="20"/>
                <w:szCs w:val="20"/>
                <w:lang w:bidi="ar"/>
              </w:rPr>
              <w:br w:type="textWrapping"/>
            </w:r>
            <w:r>
              <w:rPr>
                <w:rFonts w:ascii="仿宋_GB2312" w:hAnsi="宋体" w:eastAsia="仿宋_GB2312" w:cs="仿宋_GB2312"/>
                <w:color w:val="000000"/>
                <w:kern w:val="0"/>
                <w:sz w:val="20"/>
                <w:szCs w:val="20"/>
                <w:lang w:bidi="ar"/>
              </w:rPr>
              <w:t>（预期实现的效益）</w:t>
            </w:r>
          </w:p>
        </w:tc>
        <w:tc>
          <w:tcPr>
            <w:tcW w:w="15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社会效益</w:t>
            </w:r>
          </w:p>
        </w:tc>
        <w:tc>
          <w:tcPr>
            <w:tcW w:w="2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较好地完成部门预决算工作，严格按照进度执行预算，各项指标完成较好，实现了良好的社会效益，达到了预期目标。</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100%</w:t>
            </w:r>
          </w:p>
        </w:tc>
        <w:tc>
          <w:tcPr>
            <w:tcW w:w="21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100%</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经济效益</w:t>
            </w:r>
          </w:p>
        </w:tc>
        <w:tc>
          <w:tcPr>
            <w:tcW w:w="2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生态效益</w:t>
            </w:r>
          </w:p>
        </w:tc>
        <w:tc>
          <w:tcPr>
            <w:tcW w:w="2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社会公众或服务对象满意度</w:t>
            </w:r>
          </w:p>
        </w:tc>
        <w:tc>
          <w:tcPr>
            <w:tcW w:w="2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监管相对人满意率</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0.95</w:t>
            </w:r>
          </w:p>
        </w:tc>
        <w:tc>
          <w:tcPr>
            <w:tcW w:w="21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公众满意度</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5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25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绩效自评综合得分</w:t>
            </w:r>
          </w:p>
        </w:tc>
        <w:tc>
          <w:tcPr>
            <w:tcW w:w="717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98</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25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评价等次</w:t>
            </w:r>
          </w:p>
        </w:tc>
        <w:tc>
          <w:tcPr>
            <w:tcW w:w="717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优秀</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四、评价人员</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姓  名</w:t>
            </w:r>
          </w:p>
        </w:tc>
        <w:tc>
          <w:tcPr>
            <w:tcW w:w="38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职务/职称</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单  位</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签  字</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吴光耀</w:t>
            </w:r>
          </w:p>
        </w:tc>
        <w:tc>
          <w:tcPr>
            <w:tcW w:w="38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院长</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光荣院</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李璇</w:t>
            </w:r>
          </w:p>
        </w:tc>
        <w:tc>
          <w:tcPr>
            <w:tcW w:w="38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副院长</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光荣院</w:t>
            </w: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38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1481" w:type="dxa"/>
            <w:gridSpan w:val="4"/>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3836" w:type="dxa"/>
            <w:gridSpan w:val="8"/>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25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2187" w:type="dxa"/>
            <w:gridSpan w:val="4"/>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restart"/>
            <w:tcBorders>
              <w:top w:val="single" w:color="000000" w:sz="4" w:space="0"/>
              <w:left w:val="single" w:color="000000" w:sz="4" w:space="0"/>
              <w:bottom w:val="nil"/>
              <w:right w:val="single" w:color="000000" w:sz="4" w:space="0"/>
            </w:tcBorders>
            <w:shd w:val="clear" w:color="auto" w:fill="auto"/>
            <w:vAlign w:val="bottom"/>
          </w:tcPr>
          <w:p>
            <w:pPr>
              <w:widowControl/>
              <w:jc w:val="left"/>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 xml:space="preserve">                                                              </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bottom"/>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bottom"/>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bottom"/>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bottom"/>
          </w:tcPr>
          <w:p>
            <w:pP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 xml:space="preserve">                                               评价组组长（签字）：</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 xml:space="preserve">                                                                   年    月    日</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 xml:space="preserve">                                                   </w:t>
            </w: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49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379" w:hRule="atLeast"/>
        </w:trPr>
        <w:tc>
          <w:tcPr>
            <w:tcW w:w="9754" w:type="dxa"/>
            <w:gridSpan w:val="19"/>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r>
      <w:tr>
        <w:tblPrEx>
          <w:tblCellMar>
            <w:top w:w="0" w:type="dxa"/>
            <w:left w:w="108" w:type="dxa"/>
            <w:bottom w:w="0" w:type="dxa"/>
            <w:right w:w="108" w:type="dxa"/>
          </w:tblCellMar>
        </w:tblPrEx>
        <w:trPr>
          <w:gridBefore w:val="1"/>
          <w:gridAfter w:val="1"/>
          <w:wBefore w:w="96" w:type="dxa"/>
          <w:wAfter w:w="44" w:type="dxa"/>
          <w:trHeight w:val="379" w:hRule="atLeast"/>
        </w:trPr>
        <w:tc>
          <w:tcPr>
            <w:tcW w:w="9754" w:type="dxa"/>
            <w:gridSpan w:val="19"/>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 xml:space="preserve">                                       部门（单位）意见：</w:t>
            </w:r>
          </w:p>
        </w:tc>
      </w:tr>
      <w:tr>
        <w:tblPrEx>
          <w:tblCellMar>
            <w:top w:w="0" w:type="dxa"/>
            <w:left w:w="108" w:type="dxa"/>
            <w:bottom w:w="0" w:type="dxa"/>
            <w:right w:w="108" w:type="dxa"/>
          </w:tblCellMar>
        </w:tblPrEx>
        <w:trPr>
          <w:gridBefore w:val="1"/>
          <w:gridAfter w:val="1"/>
          <w:wBefore w:w="96" w:type="dxa"/>
          <w:wAfter w:w="44" w:type="dxa"/>
          <w:trHeight w:val="379" w:hRule="atLeast"/>
        </w:trPr>
        <w:tc>
          <w:tcPr>
            <w:tcW w:w="9754" w:type="dxa"/>
            <w:gridSpan w:val="19"/>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 xml:space="preserve">                                                       年    月    日</w:t>
            </w:r>
          </w:p>
        </w:tc>
      </w:tr>
      <w:tr>
        <w:tblPrEx>
          <w:tblCellMar>
            <w:top w:w="0" w:type="dxa"/>
            <w:left w:w="108" w:type="dxa"/>
            <w:bottom w:w="0" w:type="dxa"/>
            <w:right w:w="108" w:type="dxa"/>
          </w:tblCellMar>
        </w:tblPrEx>
        <w:trPr>
          <w:gridBefore w:val="1"/>
          <w:gridAfter w:val="1"/>
          <w:wBefore w:w="96" w:type="dxa"/>
          <w:wAfter w:w="44" w:type="dxa"/>
          <w:trHeight w:val="420" w:hRule="atLeast"/>
        </w:trPr>
        <w:tc>
          <w:tcPr>
            <w:tcW w:w="9754" w:type="dxa"/>
            <w:gridSpan w:val="19"/>
            <w:tcBorders>
              <w:top w:val="nil"/>
              <w:left w:val="nil"/>
              <w:bottom w:val="nil"/>
              <w:right w:val="nil"/>
            </w:tcBorders>
            <w:shd w:val="clear" w:color="auto" w:fill="auto"/>
            <w:vAlign w:val="bottom"/>
          </w:tcPr>
          <w:p>
            <w:pPr>
              <w:widowControl/>
              <w:jc w:val="center"/>
              <w:textAlignment w:val="bottom"/>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填报人（签名）：</w:t>
            </w:r>
            <w:r>
              <w:rPr>
                <w:rStyle w:val="4"/>
                <w:rFonts w:eastAsia="仿宋_GB2312"/>
                <w:lang w:bidi="ar"/>
              </w:rPr>
              <w:t xml:space="preserve">                                                      </w:t>
            </w:r>
            <w:r>
              <w:rPr>
                <w:rStyle w:val="5"/>
                <w:rFonts w:hAnsi="宋体"/>
                <w:lang w:bidi="ar"/>
              </w:rPr>
              <w:t>联系电话：</w:t>
            </w:r>
          </w:p>
        </w:tc>
      </w:tr>
      <w:tr>
        <w:tblPrEx>
          <w:tblCellMar>
            <w:top w:w="0" w:type="dxa"/>
            <w:left w:w="108" w:type="dxa"/>
            <w:bottom w:w="0" w:type="dxa"/>
            <w:right w:w="108" w:type="dxa"/>
          </w:tblCellMar>
        </w:tblPrEx>
        <w:trPr>
          <w:trHeight w:val="525" w:hRule="atLeast"/>
          <w:jc w:val="center"/>
        </w:trPr>
        <w:tc>
          <w:tcPr>
            <w:tcW w:w="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gridSpan w:val="4"/>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gridSpan w:val="4"/>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gridSpan w:val="2"/>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gridSpan w:val="6"/>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gridSpan w:val="6"/>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4"/>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gridSpan w:val="6"/>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4"/>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gridSpan w:val="6"/>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gridSpan w:val="2"/>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ind w:firstLine="640" w:firstLineChars="200"/>
        <w:jc w:val="left"/>
        <w:rPr>
          <w:rFonts w:cs="黑体" w:asciiTheme="minorEastAsia" w:hAnsiTheme="minorEastAsia"/>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0YjZlZGI4ZGFhODk1ZDdlY2NkMGYwNzkyZjU1MTMifQ=="/>
  </w:docVars>
  <w:rsids>
    <w:rsidRoot w:val="00BA79BE"/>
    <w:rsid w:val="005701AF"/>
    <w:rsid w:val="00BA79BE"/>
    <w:rsid w:val="5C86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61"/>
    <w:basedOn w:val="3"/>
    <w:qFormat/>
    <w:uiPriority w:val="0"/>
    <w:rPr>
      <w:rFonts w:hint="default" w:ascii="Times New Roman" w:hAnsi="Times New Roman" w:cs="Times New Roman"/>
      <w:color w:val="000000"/>
      <w:sz w:val="20"/>
      <w:szCs w:val="20"/>
      <w:u w:val="none"/>
    </w:rPr>
  </w:style>
  <w:style w:type="character" w:customStyle="1" w:styleId="5">
    <w:name w:val="font51"/>
    <w:basedOn w:val="3"/>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2262</Words>
  <Characters>2485</Characters>
  <Lines>25</Lines>
  <Paragraphs>7</Paragraphs>
  <TotalTime>0</TotalTime>
  <ScaleCrop>false</ScaleCrop>
  <LinksUpToDate>false</LinksUpToDate>
  <CharactersWithSpaces>3018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2022-09-05T07:00:00Z</dcterms:created>
  <dc:creator>李 镜清</dc:creator>
  <cp:lastModifiedBy>清晨的太阳</cp:lastModifiedBy>
  <dcterms:modified xsi:type="dcterms:W3CDTF">2022-09-05T13:36:07Z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DD65D4B46A4F4A518D3A6443FD32ECFD</vt:lpwstr>
  </property>
</Properties>
</file>