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附件3-1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岳阳楼区20</w:t>
      </w:r>
      <w:r>
        <w:rPr>
          <w:rFonts w:hint="eastAsia" w:eastAsia="方正小标宋简体"/>
          <w:bCs/>
          <w:sz w:val="46"/>
          <w:szCs w:val="46"/>
          <w:u w:val="single"/>
          <w:lang w:val="en-US" w:eastAsia="zh-CN"/>
        </w:rPr>
        <w:t>20</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eastAsia="zh-CN"/>
        </w:rPr>
        <w:t>岳阳楼区岳阳楼街道办事处</w:t>
      </w:r>
      <w:r>
        <w:rPr>
          <w:rFonts w:hint="eastAsia" w:eastAsia="仿宋_GB2312"/>
          <w:sz w:val="32"/>
          <w:szCs w:val="32"/>
          <w:u w:val="single"/>
          <w:lang w:val="en-US" w:eastAsia="zh-CN"/>
        </w:rPr>
        <w:t xml:space="preserve"> </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 xml:space="preserve">       800018</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 xml:space="preserve">报告日期： </w:t>
      </w:r>
      <w:r>
        <w:rPr>
          <w:rFonts w:hint="eastAsia" w:eastAsia="仿宋_GB2312"/>
          <w:sz w:val="32"/>
          <w:lang w:val="en-US" w:eastAsia="zh-CN"/>
        </w:rPr>
        <w:t>2021</w:t>
      </w:r>
      <w:r>
        <w:rPr>
          <w:rFonts w:hint="eastAsia" w:eastAsia="仿宋_GB2312"/>
          <w:sz w:val="32"/>
        </w:rPr>
        <w:t xml:space="preserve">  年 </w:t>
      </w:r>
      <w:r>
        <w:rPr>
          <w:rFonts w:hint="eastAsia" w:eastAsia="仿宋_GB2312"/>
          <w:sz w:val="32"/>
          <w:lang w:val="en-US" w:eastAsia="zh-CN"/>
        </w:rPr>
        <w:t>6</w:t>
      </w:r>
      <w:r>
        <w:rPr>
          <w:rFonts w:hint="eastAsia" w:eastAsia="仿宋_GB2312"/>
          <w:sz w:val="32"/>
        </w:rPr>
        <w:t xml:space="preserve"> 月 </w:t>
      </w:r>
      <w:r>
        <w:rPr>
          <w:rFonts w:hint="eastAsia" w:eastAsia="仿宋_GB2312"/>
          <w:sz w:val="32"/>
          <w:lang w:val="en-US" w:eastAsia="zh-CN"/>
        </w:rPr>
        <w:t>28</w:t>
      </w:r>
      <w:r>
        <w:rPr>
          <w:rFonts w:hint="eastAsia" w:eastAsia="仿宋_GB2312"/>
          <w:sz w:val="32"/>
        </w:rPr>
        <w:t xml:space="preserve"> 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3"/>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147"/>
        <w:gridCol w:w="66"/>
        <w:gridCol w:w="46"/>
        <w:gridCol w:w="1290"/>
        <w:gridCol w:w="135"/>
        <w:gridCol w:w="1010"/>
        <w:gridCol w:w="272"/>
        <w:gridCol w:w="808"/>
        <w:gridCol w:w="128"/>
        <w:gridCol w:w="1351"/>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9800" w:type="dxa"/>
            <w:gridSpan w:val="1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10" w:hRule="atLeast"/>
          <w:jc w:val="center"/>
        </w:trPr>
        <w:tc>
          <w:tcPr>
            <w:tcW w:w="165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689"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Times New Roman" w:hAnsi="Times New Roman" w:eastAsia="仿宋_GB2312"/>
                <w:kern w:val="0"/>
                <w:sz w:val="24"/>
                <w:szCs w:val="24"/>
                <w:lang w:val="en-US" w:eastAsia="zh-CN"/>
              </w:rPr>
              <w:t>彭伟军</w:t>
            </w:r>
          </w:p>
        </w:tc>
        <w:tc>
          <w:tcPr>
            <w:tcW w:w="1351"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Times New Roman" w:hAnsi="Times New Roman" w:eastAsia="仿宋_GB2312"/>
                <w:kern w:val="0"/>
                <w:sz w:val="24"/>
                <w:szCs w:val="24"/>
                <w:lang w:val="en-US" w:eastAsia="zh-CN"/>
              </w:rPr>
              <w:t>07302910633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2" w:hRule="atLeast"/>
          <w:jc w:val="center"/>
        </w:trPr>
        <w:tc>
          <w:tcPr>
            <w:tcW w:w="165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689" w:type="dxa"/>
            <w:gridSpan w:val="7"/>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48</w:t>
            </w:r>
          </w:p>
        </w:tc>
        <w:tc>
          <w:tcPr>
            <w:tcW w:w="1351"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6" w:hRule="atLeast"/>
          <w:jc w:val="center"/>
        </w:trPr>
        <w:tc>
          <w:tcPr>
            <w:tcW w:w="165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6"/>
            <w:noWrap w:val="0"/>
            <w:vAlign w:val="center"/>
          </w:tcPr>
          <w:p>
            <w:pPr>
              <w:autoSpaceDN w:val="0"/>
              <w:spacing w:line="400" w:lineRule="exact"/>
              <w:textAlignment w:val="center"/>
              <w:rPr>
                <w:rFonts w:hint="eastAsia" w:ascii="仿宋" w:hAnsi="仿宋" w:eastAsia="仿宋" w:cs="仿宋_GB2312"/>
                <w:color w:val="000000"/>
                <w:sz w:val="24"/>
              </w:rPr>
            </w:pPr>
            <w:r>
              <w:rPr>
                <w:rFonts w:hint="eastAsia" w:ascii="仿宋" w:hAnsi="仿宋" w:eastAsia="仿宋" w:cs="仿宋_GB2312"/>
                <w:color w:val="000000"/>
                <w:sz w:val="24"/>
              </w:rPr>
              <w:t>1、在区委、区政府的领导下，贯彻执行党和国家的各项方针、政策、法律、法规；负责辖区内的地区性、群众性、公益性、社会性工作。2、负责辖区内的社会治安综合治理、环境卫生、社会救济、计划生育、劳动就业、安全生产等工作。3、发展街道经济，制定街道经济发展规划，检查、督促各经济组织开展工作。4、完成区委区政府交办的其他事项。</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010" w:hRule="atLeast"/>
          <w:jc w:val="center"/>
        </w:trPr>
        <w:tc>
          <w:tcPr>
            <w:tcW w:w="165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6"/>
            <w:noWrap w:val="0"/>
            <w:vAlign w:val="center"/>
          </w:tcPr>
          <w:p>
            <w:pPr>
              <w:autoSpaceDN w:val="0"/>
              <w:spacing w:line="400" w:lineRule="exact"/>
              <w:jc w:val="left"/>
              <w:textAlignment w:val="center"/>
              <w:rPr>
                <w:rFonts w:hint="eastAsia" w:ascii="仿宋" w:hAnsi="仿宋" w:eastAsia="仿宋" w:cs="仿宋_GB2312"/>
                <w:color w:val="000000"/>
                <w:sz w:val="24"/>
              </w:rPr>
            </w:pPr>
            <w:r>
              <w:rPr>
                <w:rFonts w:hint="eastAsia" w:ascii="仿宋" w:hAnsi="仿宋" w:eastAsia="仿宋" w:cs="宋体"/>
                <w:bCs/>
                <w:kern w:val="0"/>
                <w:sz w:val="24"/>
              </w:rPr>
              <w:t>一、常抓学习，提升整体素质</w:t>
            </w:r>
          </w:p>
          <w:p>
            <w:pPr>
              <w:jc w:val="left"/>
              <w:rPr>
                <w:rFonts w:hint="eastAsia" w:ascii="仿宋" w:hAnsi="仿宋" w:eastAsia="仿宋" w:cs="宋体"/>
                <w:bCs/>
                <w:kern w:val="0"/>
                <w:sz w:val="24"/>
              </w:rPr>
            </w:pPr>
            <w:r>
              <w:rPr>
                <w:rFonts w:hint="eastAsia" w:ascii="仿宋" w:hAnsi="仿宋" w:eastAsia="仿宋" w:cs="黑体"/>
                <w:bCs/>
                <w:sz w:val="24"/>
              </w:rPr>
              <w:t>二、</w:t>
            </w:r>
            <w:r>
              <w:rPr>
                <w:rFonts w:hint="eastAsia" w:ascii="仿宋" w:hAnsi="仿宋" w:eastAsia="仿宋" w:cs="宋体"/>
                <w:bCs/>
                <w:kern w:val="0"/>
                <w:sz w:val="24"/>
              </w:rPr>
              <w:t>抢抓机遇，提速街道发展</w:t>
            </w:r>
          </w:p>
          <w:p>
            <w:pPr>
              <w:pStyle w:val="2"/>
              <w:shd w:val="clear" w:color="auto" w:fill="FFFFFF"/>
              <w:spacing w:before="0" w:beforeAutospacing="0" w:after="0" w:afterAutospacing="0"/>
              <w:rPr>
                <w:rFonts w:hint="eastAsia" w:ascii="仿宋" w:hAnsi="仿宋" w:eastAsia="仿宋"/>
                <w:color w:val="000000"/>
              </w:rPr>
            </w:pPr>
            <w:r>
              <w:rPr>
                <w:rFonts w:hint="eastAsia" w:ascii="仿宋" w:hAnsi="仿宋" w:eastAsia="仿宋"/>
              </w:rPr>
              <w:t>三、</w:t>
            </w:r>
            <w:r>
              <w:rPr>
                <w:rFonts w:hint="eastAsia" w:ascii="仿宋" w:hAnsi="仿宋" w:eastAsia="仿宋"/>
                <w:color w:val="000000"/>
              </w:rPr>
              <w:t>勤抓普法，提高法治水平</w:t>
            </w:r>
          </w:p>
          <w:p>
            <w:pPr>
              <w:rPr>
                <w:rFonts w:hint="eastAsia" w:ascii="仿宋" w:hAnsi="仿宋" w:eastAsia="仿宋" w:cs="宋体"/>
                <w:bCs/>
                <w:color w:val="333333"/>
                <w:spacing w:val="10"/>
                <w:kern w:val="0"/>
                <w:sz w:val="24"/>
              </w:rPr>
            </w:pPr>
            <w:r>
              <w:rPr>
                <w:rFonts w:hint="eastAsia" w:ascii="仿宋" w:hAnsi="仿宋" w:eastAsia="仿宋"/>
                <w:bCs/>
                <w:color w:val="000000"/>
                <w:sz w:val="24"/>
              </w:rPr>
              <w:t>四、</w:t>
            </w:r>
            <w:r>
              <w:rPr>
                <w:rFonts w:hint="eastAsia" w:ascii="仿宋" w:hAnsi="仿宋" w:eastAsia="仿宋" w:cs="黑体"/>
                <w:bCs/>
                <w:sz w:val="24"/>
              </w:rPr>
              <w:t>紧抓党建，提质基层基础</w:t>
            </w:r>
          </w:p>
          <w:p>
            <w:pPr>
              <w:autoSpaceDN w:val="0"/>
              <w:spacing w:line="320" w:lineRule="exact"/>
              <w:jc w:val="left"/>
              <w:textAlignment w:val="center"/>
              <w:rPr>
                <w:rFonts w:hint="eastAsia" w:ascii="仿宋" w:hAnsi="仿宋" w:eastAsia="仿宋" w:cs="仿宋_GB2312"/>
                <w:color w:val="000000"/>
                <w:sz w:val="24"/>
              </w:rPr>
            </w:pPr>
            <w:r>
              <w:rPr>
                <w:rFonts w:hint="eastAsia" w:ascii="仿宋" w:hAnsi="仿宋" w:eastAsia="仿宋"/>
                <w:bCs/>
                <w:color w:val="323E32"/>
                <w:sz w:val="24"/>
              </w:rPr>
              <w:t>五、狠抓主责，提振队伍状态</w:t>
            </w:r>
          </w:p>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3" w:hRule="atLeast"/>
          <w:jc w:val="center"/>
        </w:trPr>
        <w:tc>
          <w:tcPr>
            <w:tcW w:w="165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 w:hAnsi="仿宋" w:eastAsia="仿宋" w:cs="仿宋"/>
                <w:color w:val="000000"/>
                <w:spacing w:val="-6"/>
                <w:sz w:val="24"/>
                <w:szCs w:val="24"/>
              </w:rPr>
              <w:t>年度部门（单位）总体运行情况及取得的成绩</w:t>
            </w:r>
          </w:p>
        </w:tc>
        <w:tc>
          <w:tcPr>
            <w:tcW w:w="8146" w:type="dxa"/>
            <w:gridSpan w:val="16"/>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80" w:firstLineChars="200"/>
              <w:jc w:val="both"/>
              <w:textAlignment w:val="auto"/>
              <w:rPr>
                <w:rFonts w:hint="eastAsia" w:ascii="仿宋" w:hAnsi="仿宋" w:eastAsia="仿宋" w:cs="仿宋"/>
                <w:b/>
                <w:bCs w:val="0"/>
                <w:i w:val="0"/>
                <w:caps w:val="0"/>
                <w:color w:val="000000"/>
                <w:spacing w:val="0"/>
                <w:sz w:val="24"/>
                <w:szCs w:val="24"/>
                <w:highlight w:val="none"/>
                <w:shd w:val="clear" w:color="auto" w:fill="FFFFFF"/>
                <w:lang w:val="en-US" w:eastAsia="zh-CN"/>
              </w:rPr>
            </w:pPr>
            <w:r>
              <w:rPr>
                <w:rFonts w:hint="eastAsia" w:ascii="仿宋" w:hAnsi="仿宋" w:eastAsia="仿宋" w:cs="仿宋"/>
                <w:b/>
                <w:bCs w:val="0"/>
                <w:i w:val="0"/>
                <w:caps w:val="0"/>
                <w:color w:val="000000"/>
                <w:spacing w:val="0"/>
                <w:sz w:val="24"/>
                <w:szCs w:val="24"/>
                <w:highlight w:val="none"/>
                <w:shd w:val="clear" w:color="auto" w:fill="FFFFFF"/>
                <w:lang w:val="en-US" w:eastAsia="zh-CN"/>
              </w:rPr>
              <w:t>（一）坚持教育与引导并举，把牢政治方向</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jc w:val="both"/>
              <w:textAlignment w:val="auto"/>
              <w:rPr>
                <w:rFonts w:hint="eastAsia" w:ascii="仿宋" w:hAnsi="仿宋" w:eastAsia="仿宋" w:cs="仿宋"/>
                <w:color w:val="000000"/>
                <w:sz w:val="24"/>
                <w:szCs w:val="24"/>
                <w:lang w:val="en-US" w:eastAsia="zh-CN"/>
              </w:rPr>
            </w:pPr>
            <w:r>
              <w:rPr>
                <w:rFonts w:hint="eastAsia" w:ascii="仿宋" w:hAnsi="仿宋" w:eastAsia="仿宋" w:cs="仿宋"/>
                <w:b/>
                <w:bCs/>
                <w:i w:val="0"/>
                <w:caps w:val="0"/>
                <w:color w:val="000000"/>
                <w:spacing w:val="0"/>
                <w:sz w:val="24"/>
                <w:szCs w:val="24"/>
                <w:shd w:val="clear" w:color="auto" w:fill="FFFFFF"/>
                <w:lang w:eastAsia="zh-CN"/>
              </w:rPr>
              <w:t>一是始终把教育学习作为加强政治建设的首要任务。</w:t>
            </w:r>
            <w:r>
              <w:rPr>
                <w:rFonts w:hint="eastAsia" w:ascii="仿宋" w:hAnsi="仿宋" w:eastAsia="仿宋" w:cs="仿宋"/>
                <w:sz w:val="24"/>
                <w:szCs w:val="24"/>
              </w:rPr>
              <w:t>班子成员</w:t>
            </w:r>
            <w:r>
              <w:rPr>
                <w:rFonts w:hint="eastAsia" w:ascii="仿宋" w:hAnsi="仿宋" w:eastAsia="仿宋" w:cs="仿宋"/>
                <w:sz w:val="24"/>
                <w:szCs w:val="24"/>
                <w:lang w:val="en-US" w:eastAsia="zh-CN"/>
              </w:rPr>
              <w:t>围绕</w:t>
            </w:r>
            <w:r>
              <w:rPr>
                <w:rFonts w:hint="eastAsia" w:ascii="仿宋" w:hAnsi="仿宋" w:eastAsia="仿宋" w:cs="仿宋"/>
                <w:sz w:val="24"/>
                <w:szCs w:val="24"/>
                <w:lang w:eastAsia="zh-CN"/>
              </w:rPr>
              <w:t>党的十九大、</w:t>
            </w:r>
            <w:r>
              <w:rPr>
                <w:rFonts w:hint="eastAsia" w:ascii="仿宋" w:hAnsi="仿宋" w:eastAsia="仿宋" w:cs="仿宋"/>
                <w:sz w:val="24"/>
                <w:szCs w:val="24"/>
                <w:lang w:val="en-US" w:eastAsia="zh-CN"/>
              </w:rPr>
              <w:t>党的十九届五中全会、习近平</w:t>
            </w:r>
            <w:r>
              <w:rPr>
                <w:rFonts w:hint="eastAsia" w:ascii="仿宋" w:hAnsi="仿宋" w:eastAsia="仿宋" w:cs="仿宋"/>
                <w:sz w:val="24"/>
                <w:szCs w:val="24"/>
                <w:lang w:eastAsia="zh-CN"/>
              </w:rPr>
              <w:t>总书记系列讲话精神等主题，开展</w:t>
            </w:r>
            <w:r>
              <w:rPr>
                <w:rFonts w:hint="eastAsia" w:ascii="仿宋" w:hAnsi="仿宋" w:eastAsia="仿宋" w:cs="仿宋"/>
                <w:sz w:val="24"/>
                <w:szCs w:val="24"/>
                <w:lang w:val="en-US" w:eastAsia="zh-CN"/>
              </w:rPr>
              <w:t>中心组</w:t>
            </w:r>
            <w:r>
              <w:rPr>
                <w:rFonts w:hint="eastAsia" w:ascii="仿宋" w:hAnsi="仿宋" w:eastAsia="仿宋" w:cs="仿宋"/>
                <w:sz w:val="24"/>
                <w:szCs w:val="24"/>
              </w:rPr>
              <w:t>学习</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集中研讨21场次，党员轮训432人次；</w:t>
            </w:r>
            <w:r>
              <w:rPr>
                <w:rFonts w:hint="eastAsia" w:ascii="仿宋" w:hAnsi="仿宋" w:eastAsia="仿宋" w:cs="仿宋"/>
                <w:b w:val="0"/>
                <w:bCs w:val="0"/>
                <w:sz w:val="24"/>
                <w:szCs w:val="24"/>
                <w:lang w:val="en-US" w:eastAsia="zh-CN"/>
              </w:rPr>
              <w:t>依托岳阳楼社区省级党建示范点、郭亮社区红色教育基地，53家单位、5600余名师生、干部职工接受红色教育；</w:t>
            </w:r>
            <w:r>
              <w:rPr>
                <w:rStyle w:val="5"/>
                <w:rFonts w:hint="eastAsia" w:ascii="仿宋" w:hAnsi="仿宋" w:eastAsia="仿宋" w:cs="仿宋"/>
                <w:b w:val="0"/>
                <w:bCs w:val="0"/>
                <w:i w:val="0"/>
                <w:caps w:val="0"/>
                <w:color w:val="000000"/>
                <w:spacing w:val="0"/>
                <w:sz w:val="24"/>
                <w:szCs w:val="24"/>
                <w:highlight w:val="none"/>
                <w:shd w:val="clear" w:color="auto" w:fill="FFFFFF"/>
                <w:lang w:val="en-US" w:eastAsia="zh-CN"/>
              </w:rPr>
              <w:t>发挥和谐宣讲团等3个社团优势，利用快板、三句半等形式开展政策宣讲进小区、进院落、进景区活动32场次；</w:t>
            </w:r>
            <w:r>
              <w:rPr>
                <w:rFonts w:hint="eastAsia" w:ascii="仿宋" w:hAnsi="仿宋" w:eastAsia="仿宋" w:cs="仿宋"/>
                <w:b w:val="0"/>
                <w:bCs w:val="0"/>
                <w:sz w:val="24"/>
                <w:szCs w:val="24"/>
                <w:lang w:val="en-US" w:eastAsia="zh-CN"/>
              </w:rPr>
              <w:t>运用红星云、学习强国等网络平台开展学习，通过</w:t>
            </w:r>
            <w:r>
              <w:rPr>
                <w:rFonts w:hint="eastAsia" w:ascii="仿宋" w:hAnsi="仿宋" w:eastAsia="仿宋" w:cs="仿宋"/>
                <w:sz w:val="24"/>
                <w:szCs w:val="24"/>
                <w:lang w:val="en-US" w:eastAsia="zh-CN"/>
              </w:rPr>
              <w:t>群情通网格群等平台交流互动，收集意见建议500余条；</w:t>
            </w:r>
            <w:r>
              <w:rPr>
                <w:rFonts w:hint="eastAsia" w:ascii="仿宋" w:hAnsi="仿宋" w:eastAsia="仿宋" w:cs="仿宋"/>
                <w:b/>
                <w:bCs/>
                <w:sz w:val="24"/>
                <w:szCs w:val="24"/>
                <w:lang w:val="en-US" w:eastAsia="zh-CN"/>
              </w:rPr>
              <w:t>二是始终把预防治理作为防范政治风险的有效抓手。</w:t>
            </w:r>
            <w:r>
              <w:rPr>
                <w:rFonts w:hint="eastAsia" w:ascii="仿宋" w:hAnsi="仿宋" w:eastAsia="仿宋" w:cs="仿宋"/>
                <w:sz w:val="24"/>
                <w:szCs w:val="24"/>
                <w:lang w:val="en-US" w:eastAsia="zh-CN"/>
              </w:rPr>
              <w:t>注重意识形态领域教育，微信、QQ工作群实行专人专管，即时处置不良舆论信息15条，营造干净清新的网络环境；落实党风廉政责任制，开展党风廉政教育8场次，定期廉政谈心谈话</w:t>
            </w:r>
            <w:r>
              <w:rPr>
                <w:rFonts w:hint="eastAsia" w:ascii="仿宋" w:hAnsi="仿宋" w:eastAsia="仿宋" w:cs="仿宋"/>
                <w:sz w:val="24"/>
                <w:szCs w:val="24"/>
              </w:rPr>
              <w:t>约计</w:t>
            </w:r>
            <w:r>
              <w:rPr>
                <w:rFonts w:hint="eastAsia" w:ascii="仿宋" w:hAnsi="仿宋" w:eastAsia="仿宋" w:cs="仿宋"/>
                <w:sz w:val="24"/>
                <w:szCs w:val="24"/>
                <w:lang w:val="en-US" w:eastAsia="zh-CN"/>
              </w:rPr>
              <w:t>60余</w:t>
            </w:r>
            <w:r>
              <w:rPr>
                <w:rFonts w:hint="eastAsia" w:ascii="仿宋" w:hAnsi="仿宋" w:eastAsia="仿宋" w:cs="仿宋"/>
                <w:sz w:val="24"/>
                <w:szCs w:val="24"/>
              </w:rPr>
              <w:t>人次</w:t>
            </w:r>
            <w:r>
              <w:rPr>
                <w:rFonts w:hint="eastAsia" w:ascii="仿宋" w:hAnsi="仿宋" w:eastAsia="仿宋" w:cs="仿宋"/>
                <w:sz w:val="24"/>
                <w:szCs w:val="24"/>
                <w:lang w:eastAsia="zh-CN"/>
              </w:rPr>
              <w:t>，大力</w:t>
            </w:r>
            <w:r>
              <w:rPr>
                <w:rFonts w:hint="eastAsia" w:ascii="仿宋" w:hAnsi="仿宋" w:eastAsia="仿宋" w:cs="仿宋"/>
                <w:color w:val="000000"/>
                <w:sz w:val="24"/>
                <w:szCs w:val="24"/>
                <w:highlight w:val="none"/>
                <w:lang w:val="en-US" w:eastAsia="zh-CN"/>
              </w:rPr>
              <w:t>推行“四</w:t>
            </w:r>
            <w:r>
              <w:rPr>
                <w:rFonts w:hint="eastAsia" w:ascii="仿宋" w:hAnsi="仿宋" w:eastAsia="仿宋" w:cs="仿宋"/>
                <w:color w:val="000000"/>
                <w:sz w:val="24"/>
                <w:szCs w:val="24"/>
                <w:lang w:val="en-US" w:eastAsia="zh-CN"/>
              </w:rPr>
              <w:t>议三提两公开”、“互联网+监督”，</w:t>
            </w:r>
            <w:r>
              <w:rPr>
                <w:rFonts w:hint="eastAsia" w:ascii="仿宋" w:hAnsi="仿宋" w:eastAsia="仿宋" w:cs="仿宋"/>
                <w:sz w:val="24"/>
                <w:szCs w:val="24"/>
                <w:lang w:eastAsia="zh-CN"/>
              </w:rPr>
              <w:t>筑牢防腐拒变的廉洁底线</w:t>
            </w:r>
            <w:r>
              <w:rPr>
                <w:rFonts w:hint="eastAsia" w:ascii="仿宋" w:hAnsi="仿宋" w:eastAsia="仿宋" w:cs="仿宋"/>
                <w:sz w:val="24"/>
                <w:szCs w:val="24"/>
                <w:lang w:val="en-US" w:eastAsia="zh-CN"/>
              </w:rPr>
              <w:t>；</w:t>
            </w:r>
            <w:r>
              <w:rPr>
                <w:rFonts w:hint="eastAsia" w:ascii="仿宋" w:hAnsi="仿宋" w:eastAsia="仿宋" w:cs="仿宋"/>
                <w:b/>
                <w:bCs/>
                <w:sz w:val="24"/>
                <w:szCs w:val="24"/>
                <w:lang w:val="en-US" w:eastAsia="zh-CN"/>
              </w:rPr>
              <w:t>三是始终把监督监管作为永葆政治本色的有力保障。</w:t>
            </w:r>
            <w:r>
              <w:rPr>
                <w:rFonts w:hint="eastAsia" w:ascii="仿宋" w:hAnsi="仿宋" w:eastAsia="仿宋" w:cs="仿宋"/>
                <w:sz w:val="24"/>
                <w:szCs w:val="24"/>
                <w:lang w:val="en-US" w:eastAsia="zh-CN"/>
              </w:rPr>
              <w:t>先后出台《重点特色工作领办实施方案》、《“比学赶超、创先争优，大干一百天、夺全面胜利”重点工作绩效考核办法》等各项工作制度15个，用制度管人管事；</w:t>
            </w:r>
            <w:r>
              <w:rPr>
                <w:rFonts w:hint="eastAsia" w:ascii="仿宋" w:hAnsi="仿宋" w:eastAsia="仿宋" w:cs="仿宋"/>
                <w:b w:val="0"/>
                <w:bCs w:val="0"/>
                <w:color w:val="000000"/>
                <w:sz w:val="24"/>
                <w:szCs w:val="24"/>
                <w:lang w:val="en-US" w:eastAsia="zh-CN"/>
              </w:rPr>
              <w:t>围绕干部</w:t>
            </w:r>
            <w:r>
              <w:rPr>
                <w:rFonts w:hint="eastAsia" w:ascii="仿宋" w:hAnsi="仿宋" w:eastAsia="仿宋" w:cs="仿宋"/>
                <w:color w:val="000000"/>
                <w:sz w:val="24"/>
                <w:szCs w:val="24"/>
                <w:lang w:val="en-US" w:eastAsia="zh-CN"/>
              </w:rPr>
              <w:t>纪律作风、中心工作开展督查，并将考核结果纳入干部《五比五看五评》及《五好团队创建》方案，全年共下发各类通报40期，</w:t>
            </w:r>
            <w:r>
              <w:rPr>
                <w:rFonts w:hint="eastAsia" w:ascii="仿宋" w:hAnsi="仿宋" w:eastAsia="仿宋" w:cs="仿宋"/>
                <w:sz w:val="24"/>
                <w:szCs w:val="24"/>
              </w:rPr>
              <w:t>通报批评</w:t>
            </w:r>
            <w:r>
              <w:rPr>
                <w:rFonts w:hint="eastAsia" w:ascii="仿宋" w:hAnsi="仿宋" w:eastAsia="仿宋" w:cs="仿宋"/>
                <w:sz w:val="24"/>
                <w:szCs w:val="24"/>
                <w:lang w:val="en-US" w:eastAsia="zh-CN"/>
              </w:rPr>
              <w:t>42</w:t>
            </w:r>
            <w:r>
              <w:rPr>
                <w:rFonts w:hint="eastAsia" w:ascii="仿宋" w:hAnsi="仿宋" w:eastAsia="仿宋" w:cs="仿宋"/>
                <w:sz w:val="24"/>
                <w:szCs w:val="24"/>
              </w:rPr>
              <w:t>人</w:t>
            </w:r>
            <w:r>
              <w:rPr>
                <w:rFonts w:hint="eastAsia" w:ascii="仿宋" w:hAnsi="仿宋" w:eastAsia="仿宋" w:cs="仿宋"/>
                <w:sz w:val="24"/>
                <w:szCs w:val="24"/>
                <w:lang w:eastAsia="zh-CN"/>
              </w:rPr>
              <w:t>次，</w:t>
            </w:r>
            <w:r>
              <w:rPr>
                <w:rFonts w:hint="eastAsia" w:ascii="仿宋" w:hAnsi="仿宋" w:eastAsia="仿宋" w:cs="仿宋"/>
                <w:sz w:val="24"/>
                <w:szCs w:val="24"/>
                <w:lang w:val="en-US" w:eastAsia="zh-CN"/>
              </w:rPr>
              <w:t>党内警告1人，营造风清气正的干事氛围。</w:t>
            </w:r>
          </w:p>
          <w:p>
            <w:pPr>
              <w:keepNext w:val="0"/>
              <w:keepLines w:val="0"/>
              <w:pageBreakBefore w:val="0"/>
              <w:widowControl w:val="0"/>
              <w:numPr>
                <w:ilvl w:val="0"/>
                <w:numId w:val="1"/>
              </w:numPr>
              <w:kinsoku/>
              <w:wordWrap/>
              <w:overflowPunct/>
              <w:topLinePunct w:val="0"/>
              <w:autoSpaceDE/>
              <w:autoSpaceDN/>
              <w:bidi w:val="0"/>
              <w:adjustRightInd/>
              <w:spacing w:line="540" w:lineRule="exact"/>
              <w:ind w:firstLine="480" w:firstLineChars="200"/>
              <w:jc w:val="both"/>
              <w:textAlignment w:val="auto"/>
              <w:rPr>
                <w:rFonts w:hint="eastAsia" w:ascii="仿宋" w:hAnsi="仿宋" w:eastAsia="仿宋" w:cs="仿宋"/>
                <w:b/>
                <w:bCs w:val="0"/>
                <w:i w:val="0"/>
                <w:caps w:val="0"/>
                <w:color w:val="000000"/>
                <w:spacing w:val="0"/>
                <w:sz w:val="24"/>
                <w:szCs w:val="24"/>
                <w:highlight w:val="none"/>
                <w:shd w:val="clear" w:color="auto" w:fill="FFFFFF"/>
                <w:lang w:val="en-US" w:eastAsia="zh-CN"/>
              </w:rPr>
            </w:pPr>
            <w:r>
              <w:rPr>
                <w:rFonts w:hint="eastAsia" w:ascii="仿宋" w:hAnsi="仿宋" w:eastAsia="仿宋" w:cs="仿宋"/>
                <w:b/>
                <w:bCs w:val="0"/>
                <w:i w:val="0"/>
                <w:caps w:val="0"/>
                <w:color w:val="000000"/>
                <w:spacing w:val="0"/>
                <w:sz w:val="24"/>
                <w:szCs w:val="24"/>
                <w:highlight w:val="none"/>
                <w:shd w:val="clear" w:color="auto" w:fill="FFFFFF"/>
                <w:lang w:val="en-US" w:eastAsia="zh-CN"/>
              </w:rPr>
              <w:t>坚持中心与重点统筹，强化政治引领</w:t>
            </w:r>
          </w:p>
          <w:p>
            <w:pPr>
              <w:keepNext w:val="0"/>
              <w:keepLines w:val="0"/>
              <w:pageBreakBefore w:val="0"/>
              <w:widowControl w:val="0"/>
              <w:numPr>
                <w:ilvl w:val="0"/>
                <w:numId w:val="0"/>
              </w:numPr>
              <w:kinsoku/>
              <w:wordWrap/>
              <w:overflowPunct/>
              <w:topLinePunct w:val="0"/>
              <w:autoSpaceDE/>
              <w:autoSpaceDN/>
              <w:bidi w:val="0"/>
              <w:adjustRightInd/>
              <w:spacing w:line="540" w:lineRule="exact"/>
              <w:ind w:firstLine="640"/>
              <w:jc w:val="both"/>
              <w:textAlignment w:val="auto"/>
              <w:rPr>
                <w:rFonts w:hint="eastAsia" w:ascii="仿宋" w:hAnsi="仿宋" w:eastAsia="仿宋" w:cs="仿宋"/>
                <w:color w:val="000000"/>
                <w:sz w:val="24"/>
                <w:szCs w:val="24"/>
                <w:lang w:val="en-US" w:eastAsia="zh-CN"/>
              </w:rPr>
            </w:pPr>
            <w:r>
              <w:rPr>
                <w:rFonts w:hint="eastAsia" w:ascii="仿宋" w:hAnsi="仿宋" w:eastAsia="仿宋" w:cs="仿宋"/>
                <w:b/>
                <w:bCs/>
                <w:color w:val="000000"/>
                <w:sz w:val="24"/>
                <w:szCs w:val="24"/>
                <w:lang w:val="en-US" w:eastAsia="zh-CN"/>
              </w:rPr>
              <w:t>一是强化领导。</w:t>
            </w:r>
            <w:r>
              <w:rPr>
                <w:rFonts w:hint="eastAsia" w:ascii="仿宋" w:hAnsi="仿宋" w:eastAsia="仿宋" w:cs="仿宋"/>
                <w:i w:val="0"/>
                <w:caps w:val="0"/>
                <w:color w:val="000000"/>
                <w:spacing w:val="0"/>
                <w:sz w:val="24"/>
                <w:szCs w:val="24"/>
                <w:shd w:val="clear" w:color="auto" w:fill="FFFFFF"/>
                <w:lang w:eastAsia="zh-CN"/>
              </w:rPr>
              <w:t>工委班子切实担负“一岗双责”及社区第一书记职责，</w:t>
            </w:r>
            <w:r>
              <w:rPr>
                <w:rFonts w:hint="eastAsia" w:ascii="仿宋" w:hAnsi="仿宋" w:eastAsia="仿宋" w:cs="仿宋"/>
                <w:color w:val="000000"/>
                <w:sz w:val="24"/>
                <w:szCs w:val="24"/>
                <w:lang w:val="en-US" w:eastAsia="zh-CN"/>
              </w:rPr>
              <w:t>针对中心工作，由联点班子牵头负责，疫情防控期间对3名确诊病例落实了最严密的管控措施，顺利通过全国文明城市创建复检及省级文明标兵单位创建验收，得到考评组的高度评价，有效发挥了“指挥棒”作用；</w:t>
            </w:r>
            <w:r>
              <w:rPr>
                <w:rFonts w:hint="eastAsia" w:ascii="仿宋" w:hAnsi="仿宋" w:eastAsia="仿宋" w:cs="仿宋"/>
                <w:b/>
                <w:bCs/>
                <w:color w:val="000000"/>
                <w:sz w:val="24"/>
                <w:szCs w:val="24"/>
                <w:lang w:val="en-US" w:eastAsia="zh-CN"/>
              </w:rPr>
              <w:t>二是压实责任。</w:t>
            </w:r>
            <w:r>
              <w:rPr>
                <w:rFonts w:hint="eastAsia" w:ascii="仿宋" w:hAnsi="仿宋" w:eastAsia="仿宋" w:cs="仿宋"/>
                <w:color w:val="000000"/>
                <w:sz w:val="24"/>
                <w:szCs w:val="24"/>
                <w:lang w:val="en-US" w:eastAsia="zh-CN"/>
              </w:rPr>
              <w:t>年初制定了38件重点项目、特色工作及民生实事工程，班子成员、股室长及社区书记认领任务清单，采取挂图作战和倒排机制，实行一月一调度、一季一讲评，任务完成率95%，有效管好了“责任田”；</w:t>
            </w:r>
            <w:r>
              <w:rPr>
                <w:rFonts w:hint="eastAsia" w:ascii="仿宋" w:hAnsi="仿宋" w:eastAsia="仿宋" w:cs="仿宋"/>
                <w:b/>
                <w:bCs/>
                <w:color w:val="000000"/>
                <w:sz w:val="24"/>
                <w:szCs w:val="24"/>
                <w:lang w:val="en-US" w:eastAsia="zh-CN"/>
              </w:rPr>
              <w:t>三是统筹推进。</w:t>
            </w:r>
            <w:r>
              <w:rPr>
                <w:rFonts w:hint="eastAsia" w:ascii="仿宋" w:hAnsi="仿宋" w:eastAsia="仿宋" w:cs="仿宋"/>
                <w:color w:val="000000"/>
                <w:kern w:val="0"/>
                <w:sz w:val="24"/>
                <w:szCs w:val="24"/>
                <w:lang w:val="en-US" w:eastAsia="zh-CN"/>
              </w:rPr>
              <w:t>按照“重点工作统筹抓、中心工作重点抓、日常工作反复抓”的思路，统筹推进各项工作齐头并进。</w:t>
            </w:r>
            <w:r>
              <w:rPr>
                <w:rFonts w:hint="eastAsia" w:ascii="仿宋" w:hAnsi="仿宋" w:eastAsia="仿宋" w:cs="仿宋"/>
                <w:color w:val="000000"/>
                <w:sz w:val="24"/>
                <w:szCs w:val="24"/>
                <w:lang w:val="en-US" w:eastAsia="zh-CN"/>
              </w:rPr>
              <w:t>全区开展的“比学赶超、创先争优，大干一百天、夺全面胜利”活动涉及了12项重点工作，面对综合治税税源流失、医保征缴扩面难等空前压力，街道通过户外宣传、上门宣讲等多种方式推动工作。截止12月28日，街道税款入库累计214万，有力弹奏了“交响曲”。</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firstLine="480" w:firstLineChars="20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坚持忠诚与担当同行，铸造政治先锋</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80" w:firstLineChars="200"/>
              <w:jc w:val="both"/>
              <w:textAlignment w:val="auto"/>
              <w:rPr>
                <w:rFonts w:hint="eastAsia" w:ascii="仿宋" w:hAnsi="仿宋" w:eastAsia="仿宋" w:cs="仿宋"/>
                <w:kern w:val="0"/>
                <w:sz w:val="24"/>
                <w:szCs w:val="24"/>
                <w:lang w:val="en-US" w:eastAsia="zh-CN"/>
              </w:rPr>
            </w:pPr>
            <w:r>
              <w:rPr>
                <w:rFonts w:hint="eastAsia" w:ascii="仿宋" w:hAnsi="仿宋" w:eastAsia="仿宋" w:cs="仿宋"/>
                <w:b/>
                <w:bCs/>
                <w:sz w:val="24"/>
                <w:szCs w:val="24"/>
                <w:lang w:val="en-US" w:eastAsia="zh-CN"/>
              </w:rPr>
              <w:t>一</w:t>
            </w:r>
            <w:r>
              <w:rPr>
                <w:rFonts w:hint="eastAsia" w:ascii="仿宋" w:hAnsi="仿宋" w:eastAsia="仿宋" w:cs="仿宋"/>
                <w:b/>
                <w:bCs/>
                <w:sz w:val="24"/>
                <w:szCs w:val="24"/>
                <w:lang w:eastAsia="zh-CN"/>
              </w:rPr>
              <w:t>是以最高的站位</w:t>
            </w:r>
            <w:r>
              <w:rPr>
                <w:rFonts w:hint="eastAsia" w:ascii="仿宋" w:hAnsi="仿宋" w:eastAsia="仿宋" w:cs="仿宋"/>
                <w:b/>
                <w:bCs/>
                <w:sz w:val="24"/>
                <w:szCs w:val="24"/>
                <w:lang w:val="en-US" w:eastAsia="zh-CN"/>
              </w:rPr>
              <w:t>抓实疫情防控</w:t>
            </w:r>
            <w:r>
              <w:rPr>
                <w:rFonts w:hint="eastAsia" w:ascii="仿宋" w:hAnsi="仿宋" w:eastAsia="仿宋" w:cs="仿宋"/>
                <w:b/>
                <w:bCs/>
                <w:sz w:val="24"/>
                <w:szCs w:val="24"/>
                <w:lang w:eastAsia="zh-CN"/>
              </w:rPr>
              <w:t>。</w:t>
            </w:r>
            <w:r>
              <w:rPr>
                <w:rFonts w:hint="eastAsia" w:ascii="仿宋" w:hAnsi="仿宋" w:eastAsia="仿宋" w:cs="仿宋"/>
                <w:b w:val="0"/>
                <w:bCs w:val="0"/>
                <w:sz w:val="24"/>
                <w:szCs w:val="24"/>
                <w:lang w:val="en-US" w:eastAsia="zh-CN"/>
              </w:rPr>
              <w:t>街道工委成立疫情临时党支部2个、党员巡查突击队2支，357名党员干部、150名志愿者全天候24小时管控，对五类重点人群及43个小区进出人员落实了最严密的摸排和最彻底的阻断，岳阳楼社区获全国疫情防控三八红旗单位；</w:t>
            </w:r>
            <w:r>
              <w:rPr>
                <w:rFonts w:hint="eastAsia" w:ascii="仿宋" w:hAnsi="仿宋" w:eastAsia="仿宋" w:cs="仿宋"/>
                <w:b/>
                <w:bCs/>
                <w:sz w:val="24"/>
                <w:szCs w:val="24"/>
                <w:lang w:val="en-US" w:eastAsia="zh-CN"/>
              </w:rPr>
              <w:t>二是以最硬的作风推进项目建设。</w:t>
            </w:r>
            <w:r>
              <w:rPr>
                <w:rFonts w:hint="eastAsia" w:ascii="仿宋" w:hAnsi="仿宋" w:eastAsia="仿宋" w:cs="仿宋"/>
                <w:b w:val="0"/>
                <w:bCs w:val="0"/>
                <w:sz w:val="24"/>
                <w:szCs w:val="24"/>
                <w:lang w:val="en-US" w:eastAsia="zh-CN"/>
              </w:rPr>
              <w:t>在5月30日区委棚改项目清零“百日攻坚”行动中，受市国资公司委托，街道顶住</w:t>
            </w:r>
            <w:r>
              <w:rPr>
                <w:rFonts w:hint="eastAsia" w:ascii="仿宋" w:hAnsi="仿宋" w:eastAsia="仿宋" w:cs="仿宋"/>
                <w:b w:val="0"/>
                <w:bCs w:val="0"/>
                <w:sz w:val="24"/>
                <w:szCs w:val="24"/>
              </w:rPr>
              <w:t>债务</w:t>
            </w:r>
            <w:r>
              <w:rPr>
                <w:rFonts w:hint="eastAsia" w:ascii="仿宋" w:hAnsi="仿宋" w:eastAsia="仿宋" w:cs="仿宋"/>
                <w:b w:val="0"/>
                <w:bCs w:val="0"/>
                <w:sz w:val="24"/>
                <w:szCs w:val="24"/>
                <w:lang w:val="en-US" w:eastAsia="zh-CN"/>
              </w:rPr>
              <w:t>关系复杂</w:t>
            </w:r>
            <w:r>
              <w:rPr>
                <w:rFonts w:hint="eastAsia" w:ascii="仿宋" w:hAnsi="仿宋" w:eastAsia="仿宋" w:cs="仿宋"/>
                <w:b w:val="0"/>
                <w:bCs w:val="0"/>
                <w:sz w:val="24"/>
                <w:szCs w:val="24"/>
              </w:rPr>
              <w:t>、</w:t>
            </w:r>
            <w:r>
              <w:rPr>
                <w:rFonts w:hint="eastAsia" w:ascii="仿宋" w:hAnsi="仿宋" w:eastAsia="仿宋" w:cs="仿宋"/>
                <w:b w:val="0"/>
                <w:bCs w:val="0"/>
                <w:sz w:val="24"/>
                <w:szCs w:val="24"/>
                <w:lang w:val="en-US" w:eastAsia="zh-CN"/>
              </w:rPr>
              <w:t>产权</w:t>
            </w:r>
            <w:r>
              <w:rPr>
                <w:rFonts w:hint="eastAsia" w:ascii="仿宋" w:hAnsi="仿宋" w:eastAsia="仿宋" w:cs="仿宋"/>
                <w:b w:val="0"/>
                <w:bCs w:val="0"/>
                <w:sz w:val="24"/>
                <w:szCs w:val="24"/>
              </w:rPr>
              <w:t>买卖</w:t>
            </w:r>
            <w:r>
              <w:rPr>
                <w:rFonts w:hint="eastAsia" w:ascii="仿宋" w:hAnsi="仿宋" w:eastAsia="仿宋" w:cs="仿宋"/>
                <w:b w:val="0"/>
                <w:bCs w:val="0"/>
                <w:sz w:val="24"/>
                <w:szCs w:val="24"/>
                <w:lang w:val="en-US" w:eastAsia="zh-CN"/>
              </w:rPr>
              <w:t>矛盾交织巨大压力，通过“司法助拆、以拆助腾”完成了</w:t>
            </w:r>
            <w:r>
              <w:rPr>
                <w:rFonts w:hint="eastAsia" w:ascii="仿宋" w:hAnsi="仿宋" w:eastAsia="仿宋" w:cs="仿宋"/>
                <w:b w:val="0"/>
                <w:bCs w:val="0"/>
                <w:sz w:val="24"/>
                <w:szCs w:val="24"/>
              </w:rPr>
              <w:t>熙熙市场、</w:t>
            </w:r>
            <w:r>
              <w:rPr>
                <w:rFonts w:hint="eastAsia" w:ascii="仿宋" w:hAnsi="仿宋" w:eastAsia="仿宋" w:cs="仿宋"/>
                <w:b w:val="0"/>
                <w:bCs w:val="0"/>
                <w:sz w:val="24"/>
                <w:szCs w:val="24"/>
                <w:lang w:val="en-US" w:eastAsia="zh-CN"/>
              </w:rPr>
              <w:t>丽珠陶瓷市场72家经营户的腾房拆除工作;积极服务金茂集团一、二期项目、三峡集团雨污分流、丽珠路及建设北路开发，</w:t>
            </w:r>
            <w:r>
              <w:rPr>
                <w:rFonts w:hint="eastAsia" w:ascii="仿宋" w:hAnsi="仿宋" w:eastAsia="仿宋" w:cs="仿宋"/>
                <w:b w:val="0"/>
                <w:bCs/>
                <w:sz w:val="24"/>
                <w:szCs w:val="24"/>
                <w:lang w:val="en-US" w:eastAsia="zh-CN"/>
              </w:rPr>
              <w:t>妥善处理了</w:t>
            </w:r>
            <w:r>
              <w:rPr>
                <w:rFonts w:hint="eastAsia" w:ascii="仿宋" w:hAnsi="仿宋" w:eastAsia="仿宋" w:cs="仿宋"/>
                <w:sz w:val="24"/>
                <w:szCs w:val="24"/>
              </w:rPr>
              <w:t>金茂岳茂苑项目拖欠中建三局农民工工资</w:t>
            </w:r>
            <w:r>
              <w:rPr>
                <w:rFonts w:hint="eastAsia" w:ascii="仿宋" w:hAnsi="仿宋" w:eastAsia="仿宋" w:cs="仿宋"/>
                <w:b w:val="0"/>
                <w:bCs/>
                <w:sz w:val="24"/>
                <w:szCs w:val="24"/>
                <w:lang w:val="en-US" w:eastAsia="zh-CN"/>
              </w:rPr>
              <w:t>等重点信访群访事件；</w:t>
            </w:r>
            <w:r>
              <w:rPr>
                <w:rFonts w:hint="eastAsia" w:ascii="仿宋" w:hAnsi="仿宋" w:eastAsia="仿宋" w:cs="仿宋"/>
                <w:b w:val="0"/>
                <w:bCs w:val="0"/>
                <w:sz w:val="24"/>
                <w:szCs w:val="24"/>
                <w:lang w:val="en-US" w:eastAsia="zh-CN"/>
              </w:rPr>
              <w:t>九华山一期、二期、汴河园路两侧及七里山周边棚改四大项目顺利接受了省委巡视组、市棚改办等多家单位的检查审计；白水磨子山棚改征拆项目是今年8月区委交办，要求在</w:t>
            </w:r>
            <w:r>
              <w:rPr>
                <w:rFonts w:hint="eastAsia" w:ascii="仿宋" w:hAnsi="仿宋" w:eastAsia="仿宋" w:cs="仿宋"/>
                <w:sz w:val="24"/>
                <w:szCs w:val="24"/>
                <w:lang w:val="en-US" w:eastAsia="zh-CN"/>
              </w:rPr>
              <w:t>9月30日前完成遗留78户的征拆目标，街道提前10天完成清零腾房拆除工作，为推动西环线进程作出积极贡献。</w:t>
            </w:r>
            <w:r>
              <w:rPr>
                <w:rFonts w:hint="eastAsia" w:ascii="仿宋" w:hAnsi="仿宋" w:eastAsia="仿宋" w:cs="仿宋"/>
                <w:b/>
                <w:bCs/>
                <w:sz w:val="24"/>
                <w:szCs w:val="24"/>
                <w:lang w:val="en-US" w:eastAsia="zh-CN"/>
              </w:rPr>
              <w:t>三是</w:t>
            </w:r>
            <w:r>
              <w:rPr>
                <w:rFonts w:hint="eastAsia" w:ascii="仿宋" w:hAnsi="仿宋" w:eastAsia="仿宋" w:cs="仿宋"/>
                <w:b/>
                <w:bCs/>
                <w:i w:val="0"/>
                <w:caps w:val="0"/>
                <w:color w:val="000000"/>
                <w:spacing w:val="0"/>
                <w:sz w:val="24"/>
                <w:szCs w:val="24"/>
                <w:shd w:val="clear" w:color="auto" w:fill="FFFFFF"/>
                <w:lang w:val="en-US" w:eastAsia="zh-CN"/>
              </w:rPr>
              <w:t>以最坚决的态度抓好平安稳定。</w:t>
            </w:r>
            <w:r>
              <w:rPr>
                <w:rFonts w:hint="eastAsia" w:ascii="仿宋" w:hAnsi="仿宋" w:eastAsia="仿宋" w:cs="仿宋"/>
                <w:sz w:val="24"/>
                <w:szCs w:val="24"/>
                <w:lang w:val="en-US" w:eastAsia="zh-CN"/>
              </w:rPr>
              <w:t>全年接</w:t>
            </w:r>
            <w:r>
              <w:rPr>
                <w:rFonts w:hint="eastAsia" w:ascii="仿宋" w:hAnsi="仿宋" w:eastAsia="仿宋" w:cs="仿宋"/>
                <w:b w:val="0"/>
                <w:bCs/>
                <w:sz w:val="24"/>
                <w:szCs w:val="24"/>
                <w:lang w:val="en-US" w:eastAsia="zh-CN"/>
              </w:rPr>
              <w:t>待来访群众30人次，通过信访系统完成市区两级转办、交办案件</w:t>
            </w:r>
            <w:r>
              <w:rPr>
                <w:rFonts w:hint="eastAsia" w:ascii="仿宋" w:hAnsi="仿宋" w:eastAsia="仿宋" w:cs="仿宋"/>
                <w:b w:val="0"/>
                <w:bCs/>
                <w:color w:val="auto"/>
                <w:sz w:val="24"/>
                <w:szCs w:val="24"/>
                <w:lang w:val="en-US" w:eastAsia="zh-CN"/>
              </w:rPr>
              <w:t>11个</w:t>
            </w:r>
            <w:r>
              <w:rPr>
                <w:rFonts w:hint="eastAsia" w:ascii="仿宋" w:hAnsi="仿宋" w:eastAsia="仿宋" w:cs="仿宋"/>
                <w:bCs/>
                <w:sz w:val="24"/>
                <w:szCs w:val="24"/>
                <w:lang w:eastAsia="zh-CN"/>
              </w:rPr>
              <w:t>；</w:t>
            </w:r>
            <w:r>
              <w:rPr>
                <w:rFonts w:hint="eastAsia" w:ascii="仿宋" w:hAnsi="仿宋" w:eastAsia="仿宋" w:cs="仿宋"/>
                <w:color w:val="000000"/>
                <w:sz w:val="24"/>
                <w:szCs w:val="24"/>
                <w:highlight w:val="none"/>
                <w:lang w:val="en-US" w:eastAsia="zh-CN"/>
              </w:rPr>
              <w:t>联管帮教26名</w:t>
            </w:r>
            <w:r>
              <w:rPr>
                <w:rFonts w:hint="eastAsia" w:ascii="仿宋" w:hAnsi="仿宋" w:eastAsia="仿宋" w:cs="仿宋"/>
                <w:sz w:val="24"/>
                <w:szCs w:val="24"/>
              </w:rPr>
              <w:t>社戒社康</w:t>
            </w:r>
            <w:r>
              <w:rPr>
                <w:rFonts w:hint="eastAsia" w:ascii="仿宋" w:hAnsi="仿宋" w:eastAsia="仿宋" w:cs="仿宋"/>
                <w:sz w:val="24"/>
                <w:szCs w:val="24"/>
                <w:lang w:val="en-US" w:eastAsia="zh-CN"/>
              </w:rPr>
              <w:t>人员，处理刑事治安案件65起、处置38人，治安发案率逐年下降；</w:t>
            </w:r>
            <w:r>
              <w:rPr>
                <w:rFonts w:hint="eastAsia" w:ascii="仿宋" w:hAnsi="仿宋" w:eastAsia="仿宋" w:cs="仿宋"/>
                <w:b w:val="0"/>
                <w:bCs w:val="0"/>
                <w:sz w:val="24"/>
                <w:szCs w:val="24"/>
                <w:lang w:val="en-US" w:eastAsia="zh-CN"/>
              </w:rPr>
              <w:t>发挥应急小分队作用，班子带队坚持每日夜巡，</w:t>
            </w:r>
            <w:r>
              <w:rPr>
                <w:rFonts w:hint="eastAsia" w:ascii="仿宋" w:hAnsi="仿宋" w:eastAsia="仿宋" w:cs="仿宋"/>
                <w:color w:val="000000"/>
                <w:sz w:val="24"/>
                <w:szCs w:val="24"/>
                <w:highlight w:val="none"/>
                <w:lang w:val="en-US" w:eastAsia="zh-CN"/>
              </w:rPr>
              <w:t>妥善转移庙前街、九华山暴雨受灾群众152名，</w:t>
            </w:r>
            <w:r>
              <w:rPr>
                <w:rFonts w:hint="eastAsia" w:ascii="仿宋" w:hAnsi="仿宋" w:eastAsia="仿宋" w:cs="仿宋"/>
                <w:b w:val="0"/>
                <w:bCs w:val="0"/>
                <w:sz w:val="24"/>
                <w:szCs w:val="24"/>
                <w:lang w:val="en-US" w:eastAsia="zh-CN"/>
              </w:rPr>
              <w:t>实现了</w:t>
            </w:r>
            <w:r>
              <w:rPr>
                <w:rFonts w:hint="eastAsia" w:ascii="仿宋" w:hAnsi="仿宋" w:eastAsia="仿宋" w:cs="仿宋"/>
                <w:sz w:val="24"/>
                <w:szCs w:val="24"/>
                <w:lang w:val="en-US" w:eastAsia="zh-CN"/>
              </w:rPr>
              <w:t>全国“两会”及60余次各类大型视察活动等重要特护期零上访、无非访；联合整治商铺门店、拆迁区域、重点项目及校园周边安全隐患38起，筑牢平安稳定的防护墙。</w:t>
            </w:r>
            <w:r>
              <w:rPr>
                <w:rFonts w:hint="eastAsia" w:ascii="仿宋" w:hAnsi="仿宋" w:eastAsia="仿宋" w:cs="仿宋"/>
                <w:b w:val="0"/>
                <w:bCs w:val="0"/>
                <w:sz w:val="24"/>
                <w:szCs w:val="24"/>
                <w:lang w:val="en-US" w:eastAsia="zh-CN"/>
              </w:rPr>
              <w:t>在“大干一百天、夺全面胜利”全区公众安全感测评中获全区第一、全市第十四名。</w:t>
            </w:r>
            <w:r>
              <w:rPr>
                <w:rFonts w:hint="eastAsia" w:ascii="仿宋" w:hAnsi="仿宋" w:eastAsia="仿宋" w:cs="仿宋"/>
                <w:b/>
                <w:bCs/>
                <w:sz w:val="24"/>
                <w:szCs w:val="24"/>
                <w:lang w:val="en-US" w:eastAsia="zh-CN"/>
              </w:rPr>
              <w:t>四是以最有力的举措落实巡视交办。</w:t>
            </w:r>
            <w:r>
              <w:rPr>
                <w:rFonts w:hint="eastAsia" w:ascii="仿宋" w:hAnsi="仿宋" w:eastAsia="仿宋" w:cs="仿宋"/>
                <w:b w:val="0"/>
                <w:bCs/>
                <w:sz w:val="24"/>
                <w:szCs w:val="24"/>
                <w:lang w:val="en-US" w:eastAsia="zh-CN"/>
              </w:rPr>
              <w:t>今年，省委巡视组交办我街道4个信访案件，主要涉及汴河园路项目公产腾房、城投集团</w:t>
            </w:r>
            <w:r>
              <w:rPr>
                <w:rFonts w:hint="eastAsia" w:ascii="仿宋" w:hAnsi="仿宋" w:eastAsia="仿宋" w:cs="仿宋"/>
                <w:kern w:val="0"/>
                <w:sz w:val="24"/>
                <w:szCs w:val="24"/>
                <w:lang w:val="en-US" w:eastAsia="zh-CN"/>
              </w:rPr>
              <w:t>保利西街“烂尾楼”、市中级法院托管的枫桥苑迟未交房验收、市住建局与3517居民房产过户涉法涉诉等突出问题，街道迅速成立领导包案工作组，按照“三到位一处理”原则及时化解巡视组交办的信访问题。4个信访案件在规定时间内全部签订了息访息诉协议，在巡视组回访中信访人对处理结果十分满意。</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 xml:space="preserve">   （四）坚持德才与能力兼备，优化政治生态</w:t>
            </w:r>
          </w:p>
          <w:p>
            <w:pPr>
              <w:keepNext w:val="0"/>
              <w:keepLines w:val="0"/>
              <w:pageBreakBefore w:val="0"/>
              <w:widowControl w:val="0"/>
              <w:numPr>
                <w:ilvl w:val="0"/>
                <w:numId w:val="0"/>
              </w:numPr>
              <w:kinsoku/>
              <w:wordWrap/>
              <w:overflowPunct/>
              <w:topLinePunct w:val="0"/>
              <w:autoSpaceDN/>
              <w:bidi w:val="0"/>
              <w:adjustRightInd/>
              <w:snapToGrid/>
              <w:spacing w:line="560" w:lineRule="exact"/>
              <w:ind w:firstLine="64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bCs/>
                <w:sz w:val="24"/>
                <w:szCs w:val="24"/>
                <w:lang w:val="en-US" w:eastAsia="zh-CN"/>
              </w:rPr>
              <w:t xml:space="preserve"> 一是顺利完成机构改革。</w:t>
            </w:r>
            <w:r>
              <w:rPr>
                <w:rFonts w:hint="eastAsia" w:ascii="仿宋" w:hAnsi="仿宋" w:eastAsia="仿宋" w:cs="仿宋"/>
                <w:sz w:val="24"/>
                <w:szCs w:val="24"/>
                <w:lang w:val="en-US" w:eastAsia="zh-CN"/>
              </w:rPr>
              <w:t>依据《岳阳楼区职能配置、内设机构及人员编制三定方案》，按照“人岗相适”原则，合理配置内设机构及二级机构，选优配强11名中层干部；二</w:t>
            </w:r>
            <w:r>
              <w:rPr>
                <w:rFonts w:hint="eastAsia" w:ascii="仿宋" w:hAnsi="仿宋" w:eastAsia="仿宋" w:cs="仿宋"/>
                <w:b/>
                <w:bCs/>
                <w:sz w:val="24"/>
                <w:szCs w:val="24"/>
                <w:lang w:val="en-US" w:eastAsia="zh-CN"/>
              </w:rPr>
              <w:t>是激励激发干部职工。</w:t>
            </w:r>
            <w:r>
              <w:rPr>
                <w:rFonts w:hint="eastAsia" w:ascii="仿宋" w:hAnsi="仿宋" w:eastAsia="仿宋" w:cs="仿宋"/>
                <w:sz w:val="24"/>
                <w:szCs w:val="24"/>
                <w:lang w:val="en-US" w:eastAsia="zh-CN"/>
              </w:rPr>
              <w:t>按照《干部任用条例》，将靠得住、有本事、能干事、干成事、作风过硬的干部推荐到重要岗位，街道副科级以上14名干部中有5名享受了职级晋升，2名从基层事业岗位提拨进入班子；</w:t>
            </w:r>
            <w:r>
              <w:rPr>
                <w:rFonts w:hint="eastAsia" w:ascii="仿宋" w:hAnsi="仿宋" w:eastAsia="仿宋" w:cs="仿宋"/>
                <w:b/>
                <w:bCs/>
                <w:sz w:val="24"/>
                <w:szCs w:val="24"/>
                <w:lang w:val="en-US" w:eastAsia="zh-CN"/>
              </w:rPr>
              <w:t xml:space="preserve"> 三是选优配强社区班子。</w:t>
            </w:r>
            <w:r>
              <w:rPr>
                <w:rFonts w:hint="eastAsia" w:ascii="仿宋" w:hAnsi="仿宋" w:eastAsia="仿宋" w:cs="仿宋"/>
                <w:b w:val="0"/>
                <w:bCs w:val="0"/>
                <w:sz w:val="24"/>
                <w:szCs w:val="24"/>
                <w:lang w:val="en-US" w:eastAsia="zh-CN"/>
              </w:rPr>
              <w:t>街道率先在全区开展社区“两委”</w:t>
            </w:r>
            <w:r>
              <w:rPr>
                <w:rFonts w:hint="eastAsia" w:ascii="仿宋" w:hAnsi="仿宋" w:eastAsia="仿宋" w:cs="仿宋"/>
                <w:sz w:val="24"/>
                <w:szCs w:val="24"/>
                <w:lang w:val="en-US" w:eastAsia="zh-CN"/>
              </w:rPr>
              <w:t>换届选举工作，严格把好责任关、人员关、程序关、资料关，下辖6个社区党组织全部实现书记主任“一肩挑”，其中80后书记2人，18名社区党组织成员平均年龄由上一届的40岁下降至38岁，大专以上学历占比88.9%，产生政治信念好、履职尽责好、廉洁自律好、群众口碑好的社区班子。</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 xml:space="preserve">   （五）坚持民生与民心优先，夯实政治根基</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200"/>
              <w:jc w:val="both"/>
              <w:textAlignment w:val="auto"/>
              <w:rPr>
                <w:rFonts w:hint="eastAsia" w:ascii="仿宋" w:hAnsi="仿宋" w:eastAsia="仿宋" w:cs="仿宋"/>
                <w:sz w:val="24"/>
                <w:szCs w:val="24"/>
              </w:rPr>
            </w:pPr>
            <w:r>
              <w:rPr>
                <w:rFonts w:hint="eastAsia" w:ascii="仿宋" w:hAnsi="仿宋" w:eastAsia="仿宋" w:cs="仿宋"/>
                <w:b/>
                <w:bCs/>
                <w:color w:val="000000"/>
                <w:sz w:val="24"/>
                <w:szCs w:val="24"/>
                <w:lang w:val="en-US" w:eastAsia="zh-CN"/>
              </w:rPr>
              <w:t>一是完善服务。</w:t>
            </w:r>
            <w:r>
              <w:rPr>
                <w:rFonts w:hint="eastAsia" w:ascii="仿宋" w:hAnsi="仿宋" w:eastAsia="仿宋" w:cs="仿宋"/>
                <w:sz w:val="24"/>
                <w:szCs w:val="24"/>
                <w:lang w:eastAsia="zh-CN"/>
              </w:rPr>
              <w:t>积极推进“智慧党建”，</w:t>
            </w:r>
            <w:r>
              <w:rPr>
                <w:rFonts w:hint="eastAsia" w:ascii="仿宋" w:hAnsi="仿宋" w:eastAsia="仿宋" w:cs="仿宋"/>
                <w:color w:val="000000"/>
                <w:sz w:val="24"/>
                <w:szCs w:val="24"/>
                <w:lang w:val="en-US" w:eastAsia="zh-CN"/>
              </w:rPr>
              <w:t>提质改造</w:t>
            </w:r>
            <w:r>
              <w:rPr>
                <w:rFonts w:hint="eastAsia" w:ascii="仿宋" w:hAnsi="仿宋" w:eastAsia="仿宋" w:cs="仿宋"/>
                <w:sz w:val="24"/>
                <w:szCs w:val="24"/>
                <w:lang w:val="en-US" w:eastAsia="zh-CN"/>
              </w:rPr>
              <w:t>7个社区</w:t>
            </w:r>
            <w:r>
              <w:rPr>
                <w:rFonts w:hint="eastAsia" w:ascii="仿宋" w:hAnsi="仿宋" w:eastAsia="仿宋" w:cs="仿宋"/>
                <w:sz w:val="24"/>
                <w:szCs w:val="24"/>
              </w:rPr>
              <w:t>基层公共服务（一门式）</w:t>
            </w:r>
            <w:r>
              <w:rPr>
                <w:rFonts w:hint="eastAsia" w:ascii="仿宋" w:hAnsi="仿宋" w:eastAsia="仿宋" w:cs="仿宋"/>
                <w:sz w:val="24"/>
                <w:szCs w:val="24"/>
                <w:lang w:val="en-US" w:eastAsia="zh-CN"/>
              </w:rPr>
              <w:t>受理及“一件事一次办”便民服务窗口，</w:t>
            </w:r>
            <w:r>
              <w:rPr>
                <w:rFonts w:hint="eastAsia" w:ascii="仿宋" w:hAnsi="仿宋" w:eastAsia="仿宋" w:cs="仿宋"/>
                <w:sz w:val="24"/>
                <w:szCs w:val="24"/>
              </w:rPr>
              <w:t>办理居民服务事件1868件、办结民生实事226件；</w:t>
            </w:r>
            <w:r>
              <w:rPr>
                <w:rFonts w:hint="eastAsia" w:ascii="仿宋" w:hAnsi="仿宋" w:eastAsia="仿宋" w:cs="仿宋"/>
                <w:sz w:val="24"/>
                <w:szCs w:val="24"/>
                <w:lang w:eastAsia="zh-CN"/>
              </w:rPr>
              <w:t>围绕“小区新风尚</w:t>
            </w:r>
            <w:r>
              <w:rPr>
                <w:rFonts w:hint="eastAsia" w:ascii="仿宋" w:hAnsi="仿宋" w:eastAsia="仿宋" w:cs="仿宋"/>
                <w:sz w:val="24"/>
                <w:szCs w:val="24"/>
                <w:lang w:val="en-US" w:eastAsia="zh-CN"/>
              </w:rPr>
              <w:t>·和谐邻里情”主题，将</w:t>
            </w:r>
            <w:r>
              <w:rPr>
                <w:rFonts w:hint="eastAsia" w:ascii="仿宋" w:hAnsi="仿宋" w:eastAsia="仿宋" w:cs="仿宋"/>
                <w:sz w:val="24"/>
                <w:szCs w:val="24"/>
              </w:rPr>
              <w:t>新世苑小区</w:t>
            </w:r>
            <w:r>
              <w:rPr>
                <w:rFonts w:hint="eastAsia" w:ascii="仿宋" w:hAnsi="仿宋" w:eastAsia="仿宋" w:cs="仿宋"/>
                <w:sz w:val="24"/>
                <w:szCs w:val="24"/>
                <w:lang w:eastAsia="zh-CN"/>
              </w:rPr>
              <w:t>打造为</w:t>
            </w:r>
            <w:r>
              <w:rPr>
                <w:rFonts w:hint="eastAsia" w:ascii="仿宋" w:hAnsi="仿宋" w:eastAsia="仿宋" w:cs="仿宋"/>
                <w:sz w:val="24"/>
                <w:szCs w:val="24"/>
                <w:lang w:val="en-US" w:eastAsia="zh-CN"/>
              </w:rPr>
              <w:t>小区党建示范点，做实“党建+小区自治”工程；</w:t>
            </w:r>
            <w:r>
              <w:rPr>
                <w:rFonts w:hint="eastAsia" w:ascii="仿宋" w:hAnsi="仿宋" w:eastAsia="仿宋" w:cs="仿宋"/>
                <w:b/>
                <w:bCs/>
                <w:color w:val="000000"/>
                <w:sz w:val="24"/>
                <w:szCs w:val="24"/>
                <w:lang w:val="en-US" w:eastAsia="zh-CN"/>
              </w:rPr>
              <w:t>二是优化环境。</w:t>
            </w:r>
            <w:r>
              <w:rPr>
                <w:rFonts w:hint="eastAsia" w:ascii="仿宋" w:hAnsi="仿宋" w:eastAsia="仿宋" w:cs="仿宋"/>
                <w:sz w:val="24"/>
                <w:szCs w:val="24"/>
              </w:rPr>
              <w:t>牢记习近平总书记“守护好一江碧水”嘱托，</w:t>
            </w:r>
            <w:r>
              <w:rPr>
                <w:rFonts w:hint="eastAsia" w:ascii="仿宋" w:hAnsi="仿宋" w:eastAsia="仿宋" w:cs="仿宋"/>
                <w:sz w:val="24"/>
                <w:szCs w:val="24"/>
                <w:lang w:val="en-US" w:eastAsia="zh-CN"/>
              </w:rPr>
              <w:t>沿洞庭湖、东风湖船艇大队等4个排污口全部整治到位；</w:t>
            </w:r>
            <w:r>
              <w:rPr>
                <w:rFonts w:hint="eastAsia" w:ascii="仿宋" w:hAnsi="仿宋" w:eastAsia="仿宋" w:cs="仿宋"/>
                <w:sz w:val="24"/>
                <w:szCs w:val="24"/>
              </w:rPr>
              <w:t>对辖区3家市场及100多家餐饮门店禁食禁售野生鱼虾行为进行宣传打击</w:t>
            </w:r>
            <w:r>
              <w:rPr>
                <w:rFonts w:hint="eastAsia" w:ascii="仿宋" w:hAnsi="仿宋" w:eastAsia="仿宋" w:cs="仿宋"/>
                <w:sz w:val="24"/>
                <w:szCs w:val="24"/>
                <w:lang w:eastAsia="zh-CN"/>
              </w:rPr>
              <w:t>；投入</w:t>
            </w:r>
            <w:r>
              <w:rPr>
                <w:rFonts w:hint="eastAsia" w:ascii="仿宋" w:hAnsi="仿宋" w:eastAsia="仿宋" w:cs="仿宋"/>
                <w:sz w:val="24"/>
                <w:szCs w:val="24"/>
                <w:lang w:val="en-US" w:eastAsia="zh-CN"/>
              </w:rPr>
              <w:t>5万元，抓好汴河园路整改，投入10余万元，在辖区设立垃圾分类投放点6个，配备投放桶130个；洞庭北路临街门面落瓦安全隐患得到有效整治；启动2020年3517迎奥小区、九龙堤小区两个老旧小区改造工程，完成2021年新申报的庙前街片区、菜园坡片区、新世苑小区、磷化小区、天润小区5个老旧小区2276户、102栋的入户调查摸底，拆除违章建筑35处、1600㎡，发动区直、街道、社区、居民自治小组80余人开展政策宣讲，营造“人人参与、个个受益”的浓厚氛围；</w:t>
            </w:r>
            <w:r>
              <w:rPr>
                <w:rFonts w:hint="eastAsia" w:ascii="仿宋" w:hAnsi="仿宋" w:eastAsia="仿宋" w:cs="仿宋"/>
                <w:b/>
                <w:bCs/>
                <w:sz w:val="24"/>
                <w:szCs w:val="24"/>
                <w:lang w:val="en-US" w:eastAsia="zh-CN"/>
              </w:rPr>
              <w:t>三</w:t>
            </w:r>
            <w:r>
              <w:rPr>
                <w:rFonts w:hint="eastAsia" w:ascii="仿宋" w:hAnsi="仿宋" w:eastAsia="仿宋" w:cs="仿宋"/>
                <w:b/>
                <w:bCs/>
                <w:color w:val="000000"/>
                <w:sz w:val="24"/>
                <w:szCs w:val="24"/>
                <w:lang w:val="en-US" w:eastAsia="zh-CN"/>
              </w:rPr>
              <w:t>是情系群众。</w:t>
            </w:r>
            <w:r>
              <w:rPr>
                <w:rFonts w:hint="eastAsia" w:ascii="仿宋" w:hAnsi="仿宋" w:eastAsia="仿宋" w:cs="仿宋"/>
                <w:b w:val="0"/>
                <w:bCs w:val="0"/>
                <w:sz w:val="24"/>
                <w:szCs w:val="24"/>
                <w:lang w:eastAsia="zh-CN"/>
              </w:rPr>
              <w:t>大力开展</w:t>
            </w:r>
            <w:r>
              <w:rPr>
                <w:rFonts w:hint="eastAsia" w:ascii="仿宋" w:hAnsi="仿宋" w:eastAsia="仿宋" w:cs="仿宋"/>
                <w:b w:val="0"/>
                <w:bCs w:val="0"/>
                <w:sz w:val="24"/>
                <w:szCs w:val="24"/>
                <w:lang w:val="en-US" w:eastAsia="zh-CN"/>
              </w:rPr>
              <w:t>“</w:t>
            </w:r>
            <w:r>
              <w:rPr>
                <w:rFonts w:hint="eastAsia" w:ascii="仿宋" w:hAnsi="仿宋" w:eastAsia="仿宋" w:cs="仿宋"/>
                <w:b w:val="0"/>
                <w:bCs w:val="0"/>
                <w:sz w:val="24"/>
                <w:szCs w:val="24"/>
                <w:lang w:eastAsia="zh-CN"/>
              </w:rPr>
              <w:t>红色凝心、连心、暖心”行动，投入资金</w:t>
            </w:r>
            <w:r>
              <w:rPr>
                <w:rFonts w:hint="eastAsia" w:ascii="仿宋" w:hAnsi="仿宋" w:eastAsia="仿宋" w:cs="仿宋"/>
                <w:b w:val="0"/>
                <w:bCs w:val="0"/>
                <w:sz w:val="24"/>
                <w:szCs w:val="24"/>
                <w:lang w:val="en-US" w:eastAsia="zh-CN"/>
              </w:rPr>
              <w:t>10</w:t>
            </w:r>
            <w:r>
              <w:rPr>
                <w:rFonts w:hint="eastAsia" w:ascii="仿宋" w:hAnsi="仿宋" w:eastAsia="仿宋" w:cs="仿宋"/>
                <w:b w:val="0"/>
                <w:bCs w:val="0"/>
                <w:sz w:val="24"/>
                <w:szCs w:val="24"/>
                <w:lang w:eastAsia="zh-CN"/>
              </w:rPr>
              <w:t>0余万元，街道自筹</w:t>
            </w:r>
            <w:r>
              <w:rPr>
                <w:rFonts w:hint="eastAsia" w:ascii="仿宋" w:hAnsi="仿宋" w:eastAsia="仿宋" w:cs="仿宋"/>
                <w:b w:val="0"/>
                <w:bCs w:val="0"/>
                <w:sz w:val="24"/>
                <w:szCs w:val="24"/>
                <w:lang w:val="en-US" w:eastAsia="zh-CN"/>
              </w:rPr>
              <w:t>50余万元，帮扶</w:t>
            </w:r>
            <w:r>
              <w:rPr>
                <w:rFonts w:hint="eastAsia" w:ascii="仿宋" w:hAnsi="仿宋" w:eastAsia="仿宋" w:cs="仿宋"/>
                <w:b w:val="0"/>
                <w:bCs w:val="0"/>
                <w:sz w:val="24"/>
                <w:szCs w:val="24"/>
                <w:lang w:eastAsia="zh-CN"/>
              </w:rPr>
              <w:t>救助困难</w:t>
            </w:r>
            <w:r>
              <w:rPr>
                <w:rFonts w:hint="eastAsia" w:ascii="仿宋" w:hAnsi="仿宋" w:eastAsia="仿宋" w:cs="仿宋"/>
                <w:b w:val="0"/>
                <w:bCs w:val="0"/>
                <w:sz w:val="24"/>
                <w:szCs w:val="24"/>
                <w:lang w:val="en-US" w:eastAsia="zh-CN"/>
              </w:rPr>
              <w:t>群体212人次；</w:t>
            </w:r>
            <w:r>
              <w:rPr>
                <w:rFonts w:hint="eastAsia" w:ascii="仿宋" w:hAnsi="仿宋" w:eastAsia="仿宋" w:cs="仿宋"/>
                <w:color w:val="000000"/>
                <w:sz w:val="24"/>
                <w:szCs w:val="24"/>
                <w:lang w:val="en-US" w:eastAsia="zh-CN"/>
              </w:rPr>
              <w:t>对因本人及直系亲属身患疾病、意外事故造成家庭困难的街道和社区干部，通过大病救助、困难慰问等方式，投入资金3万余元、帮扶13名困难干部，激发干部集体荣誉感；</w:t>
            </w:r>
            <w:r>
              <w:rPr>
                <w:rFonts w:hint="eastAsia" w:ascii="仿宋" w:hAnsi="仿宋" w:eastAsia="仿宋" w:cs="仿宋"/>
                <w:b w:val="0"/>
                <w:bCs w:val="0"/>
                <w:sz w:val="24"/>
                <w:szCs w:val="24"/>
                <w:lang w:val="en-US" w:eastAsia="zh-CN"/>
              </w:rPr>
              <w:t>通过春风行动帮助8200名下岗失业人员及“零就业”家庭实现就业；</w:t>
            </w:r>
            <w:r>
              <w:rPr>
                <w:rFonts w:hint="eastAsia" w:ascii="仿宋" w:hAnsi="仿宋" w:eastAsia="仿宋" w:cs="仿宋"/>
                <w:sz w:val="24"/>
                <w:szCs w:val="24"/>
                <w:lang w:val="en-US" w:eastAsia="zh-CN"/>
              </w:rPr>
              <w:t>完成25个扶贫专柜申报、639个社会扶贫网注册及8万元扶贫产品购买任务；</w:t>
            </w:r>
            <w:r>
              <w:rPr>
                <w:rFonts w:hint="eastAsia" w:ascii="仿宋" w:hAnsi="仿宋" w:eastAsia="仿宋" w:cs="仿宋"/>
                <w:b w:val="0"/>
                <w:bCs w:val="0"/>
                <w:sz w:val="24"/>
                <w:szCs w:val="24"/>
                <w:lang w:val="en-US" w:eastAsia="zh-CN"/>
              </w:rPr>
              <w:t>“岳阳楼下话家风”活动挖掘好家风人物36个，结合春节等传统节日开展文化活动58余次，在岳阳楼核心景区开展文明交通等志愿服务活动156余次，</w:t>
            </w:r>
            <w:r>
              <w:rPr>
                <w:rFonts w:hint="eastAsia" w:ascii="仿宋" w:hAnsi="仿宋" w:eastAsia="仿宋" w:cs="仿宋"/>
                <w:sz w:val="24"/>
                <w:szCs w:val="24"/>
                <w:lang w:eastAsia="zh-CN"/>
              </w:rPr>
              <w:t>群众的幸福感与归属感与日俱增</w:t>
            </w:r>
            <w:r>
              <w:rPr>
                <w:rFonts w:hint="eastAsia" w:ascii="仿宋" w:hAnsi="仿宋" w:eastAsia="仿宋" w:cs="仿宋"/>
                <w:sz w:val="24"/>
                <w:szCs w:val="24"/>
              </w:rPr>
              <w:t>。</w:t>
            </w:r>
          </w:p>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53" w:hRule="atLeast"/>
          <w:jc w:val="center"/>
        </w:trPr>
        <w:tc>
          <w:tcPr>
            <w:tcW w:w="9800" w:type="dxa"/>
            <w:gridSpan w:val="1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0"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425" w:type="dxa"/>
            <w:gridSpan w:val="2"/>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6675"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700" w:type="dxa"/>
            <w:gridSpan w:val="4"/>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25"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10"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208"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57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68" w:hRule="atLeast"/>
          <w:jc w:val="center"/>
        </w:trPr>
        <w:tc>
          <w:tcPr>
            <w:tcW w:w="17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auto"/>
                <w:sz w:val="24"/>
                <w:lang w:eastAsia="zh-CN"/>
              </w:rPr>
            </w:pPr>
            <w:r>
              <w:rPr>
                <w:rFonts w:hint="eastAsia" w:ascii="仿宋_GB2312" w:hAnsi="仿宋_GB2312" w:eastAsia="仿宋_GB2312" w:cs="仿宋_GB2312"/>
                <w:color w:val="auto"/>
                <w:sz w:val="24"/>
                <w:lang w:eastAsia="zh-CN"/>
              </w:rPr>
              <w:t>岳阳楼办事处</w:t>
            </w:r>
          </w:p>
        </w:tc>
        <w:tc>
          <w:tcPr>
            <w:tcW w:w="1425" w:type="dxa"/>
            <w:gridSpan w:val="2"/>
            <w:tcBorders>
              <w:right w:val="single" w:color="auto" w:sz="4" w:space="0"/>
            </w:tcBorders>
            <w:noWrap w:val="0"/>
            <w:vAlign w:val="bottom"/>
          </w:tcPr>
          <w:p>
            <w:pPr>
              <w:keepNext w:val="0"/>
              <w:keepLines w:val="0"/>
              <w:widowControl/>
              <w:suppressLineNumbers w:val="0"/>
              <w:jc w:val="right"/>
              <w:textAlignment w:val="bottom"/>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1110.64</w:t>
            </w:r>
          </w:p>
        </w:tc>
        <w:tc>
          <w:tcPr>
            <w:tcW w:w="1010" w:type="dxa"/>
            <w:tcBorders>
              <w:left w:val="single" w:color="auto" w:sz="4" w:space="0"/>
            </w:tcBorders>
            <w:noWrap w:val="0"/>
            <w:vAlign w:val="center"/>
          </w:tcPr>
          <w:p>
            <w:pPr>
              <w:autoSpaceDN w:val="0"/>
              <w:spacing w:line="320" w:lineRule="exact"/>
              <w:jc w:val="left"/>
              <w:textAlignment w:val="center"/>
              <w:rPr>
                <w:rFonts w:hint="default" w:ascii="仿宋_GB2312" w:hAnsi="仿宋_GB2312" w:eastAsia="仿宋_GB2312" w:cs="仿宋_GB2312"/>
                <w:color w:val="auto"/>
                <w:sz w:val="24"/>
                <w:lang w:val="en-US" w:eastAsia="zh-CN"/>
              </w:rPr>
            </w:pPr>
          </w:p>
        </w:tc>
        <w:tc>
          <w:tcPr>
            <w:tcW w:w="1208" w:type="dxa"/>
            <w:gridSpan w:val="3"/>
            <w:noWrap w:val="0"/>
            <w:vAlign w:val="bottom"/>
          </w:tcPr>
          <w:p>
            <w:pPr>
              <w:keepNext w:val="0"/>
              <w:keepLines w:val="0"/>
              <w:widowControl/>
              <w:suppressLineNumbers w:val="0"/>
              <w:jc w:val="right"/>
              <w:textAlignment w:val="bottom"/>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1110.64</w:t>
            </w:r>
          </w:p>
        </w:tc>
        <w:tc>
          <w:tcPr>
            <w:tcW w:w="1577" w:type="dxa"/>
            <w:gridSpan w:val="2"/>
            <w:noWrap w:val="0"/>
            <w:vAlign w:val="center"/>
          </w:tcPr>
          <w:p>
            <w:pPr>
              <w:autoSpaceDN w:val="0"/>
              <w:spacing w:line="320" w:lineRule="exact"/>
              <w:jc w:val="left"/>
              <w:textAlignment w:val="center"/>
              <w:rPr>
                <w:rFonts w:hint="eastAsia" w:ascii="仿宋_GB2312" w:hAnsi="仿宋_GB2312" w:eastAsia="仿宋_GB2312" w:cs="仿宋_GB2312"/>
                <w:b/>
                <w:bCs/>
                <w:color w:val="FF0000"/>
                <w:sz w:val="24"/>
              </w:rPr>
            </w:pPr>
          </w:p>
        </w:tc>
        <w:tc>
          <w:tcPr>
            <w:tcW w:w="1800"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FF0000"/>
                <w:sz w:val="24"/>
                <w:lang w:val="en-US" w:eastAsia="zh-CN"/>
              </w:rPr>
            </w:pPr>
          </w:p>
        </w:tc>
        <w:tc>
          <w:tcPr>
            <w:tcW w:w="1080"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700" w:type="dxa"/>
            <w:gridSpan w:val="4"/>
            <w:vMerge w:val="restart"/>
            <w:noWrap w:val="0"/>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425" w:type="dxa"/>
            <w:gridSpan w:val="2"/>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330" w:type="dxa"/>
            <w:gridSpan w:val="9"/>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7" w:hRule="atLeast"/>
          <w:jc w:val="center"/>
        </w:trPr>
        <w:tc>
          <w:tcPr>
            <w:tcW w:w="1700" w:type="dxa"/>
            <w:gridSpan w:val="4"/>
            <w:vMerge w:val="continue"/>
            <w:noWrap w:val="0"/>
            <w:vAlign w:val="center"/>
          </w:tcPr>
          <w:p>
            <w:pPr>
              <w:spacing w:line="320" w:lineRule="exact"/>
              <w:jc w:val="center"/>
              <w:rPr>
                <w:rFonts w:hint="eastAsia" w:ascii="仿宋_GB2312" w:hAnsi="仿宋_GB2312" w:eastAsia="仿宋_GB2312" w:cs="仿宋_GB2312"/>
                <w:sz w:val="24"/>
              </w:rPr>
            </w:pPr>
          </w:p>
        </w:tc>
        <w:tc>
          <w:tcPr>
            <w:tcW w:w="1425"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10"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7"/>
            <w:tcBorders>
              <w:top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700" w:type="dxa"/>
            <w:gridSpan w:val="4"/>
            <w:vMerge w:val="continue"/>
            <w:noWrap w:val="0"/>
            <w:vAlign w:val="center"/>
          </w:tcPr>
          <w:p>
            <w:pPr>
              <w:spacing w:line="320" w:lineRule="exact"/>
              <w:jc w:val="center"/>
              <w:rPr>
                <w:rFonts w:hint="eastAsia" w:ascii="仿宋_GB2312" w:hAnsi="仿宋_GB2312" w:eastAsia="仿宋_GB2312" w:cs="仿宋_GB2312"/>
                <w:sz w:val="24"/>
              </w:rPr>
            </w:pPr>
          </w:p>
        </w:tc>
        <w:tc>
          <w:tcPr>
            <w:tcW w:w="1425"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10" w:type="dxa"/>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208"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032"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700" w:type="dxa"/>
            <w:gridSpan w:val="4"/>
            <w:noWrap w:val="0"/>
            <w:vAlign w:val="center"/>
          </w:tcPr>
          <w:p>
            <w:pPr>
              <w:spacing w:line="320" w:lineRule="exact"/>
              <w:jc w:val="left"/>
              <w:rPr>
                <w:rFonts w:hint="eastAsia" w:ascii="仿宋_GB2312" w:hAnsi="仿宋_GB2312" w:eastAsia="仿宋_GB2312" w:cs="仿宋_GB2312"/>
                <w:sz w:val="24"/>
                <w:lang w:eastAsia="zh-CN"/>
              </w:rPr>
            </w:pPr>
            <w:r>
              <w:rPr>
                <w:rFonts w:hint="eastAsia" w:ascii="仿宋_GB2312" w:hAnsi="仿宋_GB2312" w:eastAsia="仿宋_GB2312" w:cs="仿宋_GB2312"/>
                <w:sz w:val="24"/>
                <w:lang w:eastAsia="zh-CN"/>
              </w:rPr>
              <w:t>岳阳楼办事处</w:t>
            </w:r>
          </w:p>
        </w:tc>
        <w:tc>
          <w:tcPr>
            <w:tcW w:w="1425" w:type="dxa"/>
            <w:gridSpan w:val="2"/>
            <w:tcBorders>
              <w:right w:val="single" w:color="auto" w:sz="4" w:space="0"/>
            </w:tcBorders>
            <w:noWrap w:val="0"/>
            <w:vAlign w:val="bottom"/>
          </w:tcPr>
          <w:p>
            <w:pPr>
              <w:keepNext w:val="0"/>
              <w:keepLines w:val="0"/>
              <w:widowControl/>
              <w:suppressLineNumbers w:val="0"/>
              <w:jc w:val="right"/>
              <w:textAlignment w:val="bottom"/>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1110.64</w:t>
            </w:r>
          </w:p>
        </w:tc>
        <w:tc>
          <w:tcPr>
            <w:tcW w:w="1010" w:type="dxa"/>
            <w:tcBorders>
              <w:left w:val="single" w:color="auto" w:sz="4" w:space="0"/>
            </w:tcBorders>
            <w:noWrap w:val="0"/>
            <w:vAlign w:val="bottom"/>
          </w:tcPr>
          <w:p>
            <w:pPr>
              <w:keepNext w:val="0"/>
              <w:keepLines w:val="0"/>
              <w:widowControl/>
              <w:suppressLineNumbers w:val="0"/>
              <w:jc w:val="right"/>
              <w:textAlignment w:val="bottom"/>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1110.64</w:t>
            </w:r>
          </w:p>
        </w:tc>
        <w:tc>
          <w:tcPr>
            <w:tcW w:w="1208" w:type="dxa"/>
            <w:gridSpan w:val="3"/>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815.06</w:t>
            </w:r>
          </w:p>
        </w:tc>
        <w:tc>
          <w:tcPr>
            <w:tcW w:w="2032" w:type="dxa"/>
            <w:gridSpan w:val="4"/>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295.58</w:t>
            </w:r>
          </w:p>
        </w:tc>
        <w:tc>
          <w:tcPr>
            <w:tcW w:w="1080" w:type="dxa"/>
            <w:noWrap w:val="0"/>
            <w:vAlign w:val="center"/>
          </w:tcPr>
          <w:p>
            <w:pPr>
              <w:autoSpaceDN w:val="0"/>
              <w:spacing w:line="320" w:lineRule="exact"/>
              <w:jc w:val="center"/>
              <w:textAlignment w:val="center"/>
              <w:rPr>
                <w:rFonts w:hint="default" w:ascii="仿宋_GB2312" w:hAnsi="仿宋_GB2312" w:eastAsia="仿宋_GB2312" w:cs="仿宋_GB2312"/>
                <w:color w:val="FF0000"/>
                <w:sz w:val="24"/>
                <w:lang w:val="en-US" w:eastAsia="zh-CN"/>
              </w:rPr>
            </w:pPr>
          </w:p>
        </w:tc>
        <w:tc>
          <w:tcPr>
            <w:tcW w:w="720" w:type="dxa"/>
            <w:gridSpan w:val="3"/>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700" w:type="dxa"/>
            <w:gridSpan w:val="4"/>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425" w:type="dxa"/>
            <w:gridSpan w:val="2"/>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675"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4"/>
            <w:vMerge w:val="continue"/>
            <w:noWrap w:val="0"/>
            <w:vAlign w:val="center"/>
          </w:tcPr>
          <w:p>
            <w:pPr>
              <w:spacing w:line="320" w:lineRule="exact"/>
              <w:jc w:val="center"/>
              <w:rPr>
                <w:rFonts w:hint="eastAsia" w:ascii="仿宋_GB2312" w:hAnsi="仿宋_GB2312" w:eastAsia="仿宋_GB2312" w:cs="仿宋_GB2312"/>
                <w:sz w:val="24"/>
              </w:rPr>
            </w:pPr>
          </w:p>
        </w:tc>
        <w:tc>
          <w:tcPr>
            <w:tcW w:w="1425"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10"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208"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032"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8" w:hRule="atLeast"/>
          <w:jc w:val="center"/>
        </w:trPr>
        <w:tc>
          <w:tcPr>
            <w:tcW w:w="1700" w:type="dxa"/>
            <w:gridSpan w:val="4"/>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lang w:eastAsia="zh-CN"/>
              </w:rPr>
              <w:t>岳阳楼办事处</w:t>
            </w:r>
          </w:p>
        </w:tc>
        <w:tc>
          <w:tcPr>
            <w:tcW w:w="1425" w:type="dxa"/>
            <w:gridSpan w:val="2"/>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10.13</w:t>
            </w:r>
          </w:p>
        </w:tc>
        <w:tc>
          <w:tcPr>
            <w:tcW w:w="1010" w:type="dxa"/>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10.13</w:t>
            </w:r>
          </w:p>
        </w:tc>
        <w:tc>
          <w:tcPr>
            <w:tcW w:w="1208"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032"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3" w:hRule="atLeast"/>
          <w:jc w:val="center"/>
        </w:trPr>
        <w:tc>
          <w:tcPr>
            <w:tcW w:w="1700" w:type="dxa"/>
            <w:gridSpan w:val="4"/>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425" w:type="dxa"/>
            <w:gridSpan w:val="2"/>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5734" w:type="dxa"/>
            <w:gridSpan w:val="11"/>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700" w:type="dxa"/>
            <w:gridSpan w:val="4"/>
            <w:vMerge w:val="continue"/>
            <w:noWrap w:val="0"/>
            <w:vAlign w:val="center"/>
          </w:tcPr>
          <w:p>
            <w:pPr>
              <w:spacing w:line="320" w:lineRule="exact"/>
              <w:jc w:val="center"/>
              <w:rPr>
                <w:rFonts w:hint="eastAsia" w:ascii="仿宋_GB2312" w:hAnsi="仿宋_GB2312" w:eastAsia="仿宋_GB2312" w:cs="仿宋_GB2312"/>
                <w:sz w:val="24"/>
              </w:rPr>
            </w:pPr>
          </w:p>
        </w:tc>
        <w:tc>
          <w:tcPr>
            <w:tcW w:w="1425"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218" w:type="dxa"/>
            <w:gridSpan w:val="4"/>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516" w:type="dxa"/>
            <w:gridSpan w:val="7"/>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0" w:hRule="atLeast"/>
          <w:jc w:val="center"/>
        </w:trPr>
        <w:tc>
          <w:tcPr>
            <w:tcW w:w="1700" w:type="dxa"/>
            <w:gridSpan w:val="4"/>
            <w:noWrap w:val="0"/>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lang w:eastAsia="zh-CN"/>
              </w:rPr>
              <w:t>岳阳楼办事处</w:t>
            </w:r>
          </w:p>
        </w:tc>
        <w:tc>
          <w:tcPr>
            <w:tcW w:w="1425" w:type="dxa"/>
            <w:gridSpan w:val="2"/>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 w:hAnsi="仿宋" w:eastAsia="仿宋" w:cs="仿宋"/>
                <w:color w:val="000000"/>
                <w:sz w:val="24"/>
                <w:szCs w:val="24"/>
                <w:lang w:val="en-US" w:eastAsia="zh-CN"/>
              </w:rPr>
              <w:t>191.76</w:t>
            </w:r>
          </w:p>
        </w:tc>
        <w:tc>
          <w:tcPr>
            <w:tcW w:w="2218" w:type="dxa"/>
            <w:gridSpan w:val="4"/>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 w:hAnsi="仿宋" w:eastAsia="仿宋" w:cs="仿宋"/>
                <w:color w:val="000000"/>
                <w:sz w:val="24"/>
                <w:szCs w:val="24"/>
                <w:lang w:val="en-US" w:eastAsia="zh-CN"/>
              </w:rPr>
              <w:t>191.76</w:t>
            </w:r>
          </w:p>
        </w:tc>
        <w:tc>
          <w:tcPr>
            <w:tcW w:w="3516"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9"/>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1" w:hRule="atLeast"/>
          <w:jc w:val="center"/>
        </w:trPr>
        <w:tc>
          <w:tcPr>
            <w:tcW w:w="1441" w:type="dxa"/>
            <w:vMerge w:val="restart"/>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整体支出绩效定性目标及实施计划完成情况</w:t>
            </w:r>
          </w:p>
        </w:tc>
        <w:tc>
          <w:tcPr>
            <w:tcW w:w="3774" w:type="dxa"/>
            <w:gridSpan w:val="8"/>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预期目标</w:t>
            </w:r>
          </w:p>
        </w:tc>
        <w:tc>
          <w:tcPr>
            <w:tcW w:w="4585" w:type="dxa"/>
            <w:gridSpan w:val="10"/>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3774" w:type="dxa"/>
            <w:gridSpan w:val="8"/>
            <w:noWrap w:val="0"/>
            <w:vAlign w:val="center"/>
          </w:tcPr>
          <w:p>
            <w:pPr>
              <w:autoSpaceDN w:val="0"/>
              <w:spacing w:line="400" w:lineRule="exac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目标1：财政供养人员控制率100%，“三公”经费控制到位，重点项目资金安排到位。</w:t>
            </w:r>
          </w:p>
          <w:p>
            <w:pPr>
              <w:autoSpaceDN w:val="0"/>
              <w:spacing w:line="400" w:lineRule="exac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目标2：控制预算调整率，资金支付进度正常，资金结余控制到位，“三公”经费支出控制到位，资金管理和使用合规，信息公开完善，执行政府采</w:t>
            </w:r>
          </w:p>
          <w:p>
            <w:pPr>
              <w:autoSpaceDN w:val="0"/>
              <w:spacing w:line="400" w:lineRule="exac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购及公务卡使用规范。</w:t>
            </w:r>
          </w:p>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目标3：资产管理制度健全，安全管理，利用率100%。</w:t>
            </w:r>
          </w:p>
        </w:tc>
        <w:tc>
          <w:tcPr>
            <w:tcW w:w="4585" w:type="dxa"/>
            <w:gridSpan w:val="10"/>
            <w:noWrap w:val="0"/>
            <w:vAlign w:val="center"/>
          </w:tcPr>
          <w:p>
            <w:pPr>
              <w:autoSpaceDN w:val="0"/>
              <w:spacing w:line="400" w:lineRule="exac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目标1：财政供养人员控制率100%，“三公”经费控制到位，重点项目资金安排到位。</w:t>
            </w:r>
          </w:p>
          <w:p>
            <w:pPr>
              <w:autoSpaceDN w:val="0"/>
              <w:spacing w:line="400" w:lineRule="exac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目标2：控制预算调整率，资金支付进度正常，资金结余控制到位，“三公”经费支出控制到位，资金管理和使用合规，信息公开完善，执行政府采购及公务卡使用规范。</w:t>
            </w: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目标3：资产管理制度健全，安全管理，利用率100%。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整体支出</w:t>
            </w: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绩效定量目标及实施计划完成情况</w:t>
            </w:r>
          </w:p>
        </w:tc>
        <w:tc>
          <w:tcPr>
            <w:tcW w:w="2966" w:type="dxa"/>
            <w:gridSpan w:val="7"/>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评价内容</w:t>
            </w:r>
          </w:p>
        </w:tc>
        <w:tc>
          <w:tcPr>
            <w:tcW w:w="2709" w:type="dxa"/>
            <w:gridSpan w:val="5"/>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绩效目标</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restart"/>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产出目标</w:t>
            </w: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（部门工作实绩，包含上级部门和区委区政府布置的重点工作、实事任务等，根据部门实际进行调整细化）</w:t>
            </w:r>
          </w:p>
        </w:tc>
        <w:tc>
          <w:tcPr>
            <w:tcW w:w="1417" w:type="dxa"/>
            <w:gridSpan w:val="3"/>
            <w:vMerge w:val="restart"/>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质量指标</w:t>
            </w: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绩效考评覆盖机关、站所及社区</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continue"/>
            <w:noWrap w:val="0"/>
            <w:vAlign w:val="center"/>
          </w:tcPr>
          <w:p>
            <w:pPr>
              <w:autoSpaceDN w:val="0"/>
              <w:spacing w:line="320" w:lineRule="exact"/>
              <w:rPr>
                <w:rFonts w:hint="eastAsia" w:ascii="仿宋" w:hAnsi="仿宋" w:eastAsia="仿宋" w:cs="仿宋"/>
                <w:sz w:val="24"/>
                <w:szCs w:val="24"/>
              </w:rPr>
            </w:pPr>
          </w:p>
        </w:tc>
        <w:tc>
          <w:tcPr>
            <w:tcW w:w="1417" w:type="dxa"/>
            <w:gridSpan w:val="3"/>
            <w:vMerge w:val="continue"/>
            <w:noWrap w:val="0"/>
            <w:vAlign w:val="center"/>
          </w:tcPr>
          <w:p>
            <w:pPr>
              <w:spacing w:line="320" w:lineRule="exact"/>
              <w:rPr>
                <w:rFonts w:hint="eastAsia" w:ascii="仿宋" w:hAnsi="仿宋" w:eastAsia="仿宋" w:cs="仿宋"/>
                <w:sz w:val="24"/>
                <w:szCs w:val="24"/>
              </w:rPr>
            </w:pP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指标2：</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continue"/>
            <w:noWrap w:val="0"/>
            <w:vAlign w:val="center"/>
          </w:tcPr>
          <w:p>
            <w:pPr>
              <w:autoSpaceDN w:val="0"/>
              <w:spacing w:line="320" w:lineRule="exact"/>
              <w:rPr>
                <w:rFonts w:hint="eastAsia" w:ascii="仿宋" w:hAnsi="仿宋" w:eastAsia="仿宋" w:cs="仿宋"/>
                <w:sz w:val="24"/>
                <w:szCs w:val="24"/>
              </w:rPr>
            </w:pPr>
          </w:p>
        </w:tc>
        <w:tc>
          <w:tcPr>
            <w:tcW w:w="1417" w:type="dxa"/>
            <w:gridSpan w:val="3"/>
            <w:vMerge w:val="continue"/>
            <w:noWrap w:val="0"/>
            <w:vAlign w:val="center"/>
          </w:tcPr>
          <w:p>
            <w:pPr>
              <w:spacing w:line="320" w:lineRule="exact"/>
              <w:rPr>
                <w:rFonts w:hint="eastAsia" w:ascii="仿宋" w:hAnsi="仿宋" w:eastAsia="仿宋" w:cs="仿宋"/>
                <w:sz w:val="24"/>
                <w:szCs w:val="24"/>
              </w:rPr>
            </w:pP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continue"/>
            <w:noWrap w:val="0"/>
            <w:vAlign w:val="center"/>
          </w:tcPr>
          <w:p>
            <w:pPr>
              <w:autoSpaceDN w:val="0"/>
              <w:spacing w:line="320" w:lineRule="exact"/>
              <w:rPr>
                <w:rFonts w:hint="eastAsia" w:ascii="仿宋" w:hAnsi="仿宋" w:eastAsia="仿宋" w:cs="仿宋"/>
                <w:sz w:val="24"/>
                <w:szCs w:val="24"/>
              </w:rPr>
            </w:pPr>
          </w:p>
        </w:tc>
        <w:tc>
          <w:tcPr>
            <w:tcW w:w="1417" w:type="dxa"/>
            <w:gridSpan w:val="3"/>
            <w:vMerge w:val="restart"/>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数量指标</w:t>
            </w: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群众走访不低于100次，400户</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continue"/>
            <w:noWrap w:val="0"/>
            <w:vAlign w:val="center"/>
          </w:tcPr>
          <w:p>
            <w:pPr>
              <w:autoSpaceDN w:val="0"/>
              <w:spacing w:line="320" w:lineRule="exact"/>
              <w:rPr>
                <w:rFonts w:hint="eastAsia" w:ascii="仿宋" w:hAnsi="仿宋" w:eastAsia="仿宋" w:cs="仿宋"/>
                <w:sz w:val="24"/>
                <w:szCs w:val="24"/>
              </w:rPr>
            </w:pPr>
          </w:p>
        </w:tc>
        <w:tc>
          <w:tcPr>
            <w:tcW w:w="1417" w:type="dxa"/>
            <w:gridSpan w:val="3"/>
            <w:vMerge w:val="continue"/>
            <w:noWrap w:val="0"/>
            <w:vAlign w:val="center"/>
          </w:tcPr>
          <w:p>
            <w:pPr>
              <w:autoSpaceDN w:val="0"/>
              <w:spacing w:line="320" w:lineRule="exact"/>
              <w:jc w:val="center"/>
              <w:textAlignment w:val="center"/>
              <w:rPr>
                <w:rFonts w:hint="eastAsia" w:ascii="仿宋" w:hAnsi="仿宋" w:eastAsia="仿宋" w:cs="仿宋"/>
                <w:sz w:val="24"/>
                <w:szCs w:val="24"/>
              </w:rPr>
            </w:pP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指标2：</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continue"/>
            <w:noWrap w:val="0"/>
            <w:vAlign w:val="center"/>
          </w:tcPr>
          <w:p>
            <w:pPr>
              <w:autoSpaceDN w:val="0"/>
              <w:spacing w:line="320" w:lineRule="exact"/>
              <w:rPr>
                <w:rFonts w:hint="eastAsia" w:ascii="仿宋" w:hAnsi="仿宋" w:eastAsia="仿宋" w:cs="仿宋"/>
                <w:sz w:val="24"/>
                <w:szCs w:val="24"/>
              </w:rPr>
            </w:pPr>
          </w:p>
        </w:tc>
        <w:tc>
          <w:tcPr>
            <w:tcW w:w="1417" w:type="dxa"/>
            <w:gridSpan w:val="3"/>
            <w:vMerge w:val="continue"/>
            <w:noWrap w:val="0"/>
            <w:vAlign w:val="center"/>
          </w:tcPr>
          <w:p>
            <w:pPr>
              <w:autoSpaceDN w:val="0"/>
              <w:spacing w:line="320" w:lineRule="exact"/>
              <w:jc w:val="center"/>
              <w:textAlignment w:val="center"/>
              <w:rPr>
                <w:rFonts w:hint="eastAsia" w:ascii="仿宋" w:hAnsi="仿宋" w:eastAsia="仿宋" w:cs="仿宋"/>
                <w:sz w:val="24"/>
                <w:szCs w:val="24"/>
              </w:rPr>
            </w:pP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continue"/>
            <w:noWrap w:val="0"/>
            <w:vAlign w:val="center"/>
          </w:tcPr>
          <w:p>
            <w:pPr>
              <w:autoSpaceDN w:val="0"/>
              <w:spacing w:line="320" w:lineRule="exact"/>
              <w:rPr>
                <w:rFonts w:hint="eastAsia" w:ascii="仿宋" w:hAnsi="仿宋" w:eastAsia="仿宋" w:cs="仿宋"/>
                <w:sz w:val="24"/>
                <w:szCs w:val="24"/>
              </w:rPr>
            </w:pPr>
          </w:p>
        </w:tc>
        <w:tc>
          <w:tcPr>
            <w:tcW w:w="1417" w:type="dxa"/>
            <w:gridSpan w:val="3"/>
            <w:vMerge w:val="restart"/>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时效指标</w:t>
            </w: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上半年、下半年绩效评价测评</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continue"/>
            <w:noWrap w:val="0"/>
            <w:vAlign w:val="center"/>
          </w:tcPr>
          <w:p>
            <w:pPr>
              <w:autoSpaceDN w:val="0"/>
              <w:spacing w:line="320" w:lineRule="exact"/>
              <w:rPr>
                <w:rFonts w:hint="eastAsia" w:ascii="仿宋" w:hAnsi="仿宋" w:eastAsia="仿宋" w:cs="仿宋"/>
                <w:sz w:val="24"/>
                <w:szCs w:val="24"/>
              </w:rPr>
            </w:pPr>
          </w:p>
        </w:tc>
        <w:tc>
          <w:tcPr>
            <w:tcW w:w="1417" w:type="dxa"/>
            <w:gridSpan w:val="3"/>
            <w:vMerge w:val="continue"/>
            <w:noWrap w:val="0"/>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指标2：</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continue"/>
            <w:noWrap w:val="0"/>
            <w:vAlign w:val="center"/>
          </w:tcPr>
          <w:p>
            <w:pPr>
              <w:autoSpaceDN w:val="0"/>
              <w:spacing w:line="320" w:lineRule="exact"/>
              <w:rPr>
                <w:rFonts w:hint="eastAsia" w:ascii="仿宋" w:hAnsi="仿宋" w:eastAsia="仿宋" w:cs="仿宋"/>
                <w:sz w:val="24"/>
                <w:szCs w:val="24"/>
              </w:rPr>
            </w:pPr>
          </w:p>
        </w:tc>
        <w:tc>
          <w:tcPr>
            <w:tcW w:w="1417" w:type="dxa"/>
            <w:gridSpan w:val="3"/>
            <w:vMerge w:val="continue"/>
            <w:noWrap w:val="0"/>
            <w:vAlign w:val="center"/>
          </w:tcPr>
          <w:p>
            <w:pPr>
              <w:autoSpaceDN w:val="0"/>
              <w:spacing w:line="320" w:lineRule="exact"/>
              <w:jc w:val="center"/>
              <w:textAlignment w:val="center"/>
              <w:rPr>
                <w:rFonts w:hint="eastAsia" w:ascii="仿宋" w:hAnsi="仿宋" w:eastAsia="仿宋" w:cs="仿宋"/>
                <w:sz w:val="24"/>
                <w:szCs w:val="24"/>
              </w:rPr>
            </w:pP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continue"/>
            <w:noWrap w:val="0"/>
            <w:vAlign w:val="center"/>
          </w:tcPr>
          <w:p>
            <w:pPr>
              <w:autoSpaceDN w:val="0"/>
              <w:spacing w:line="320" w:lineRule="exact"/>
              <w:rPr>
                <w:rFonts w:hint="eastAsia" w:ascii="仿宋" w:hAnsi="仿宋" w:eastAsia="仿宋" w:cs="仿宋"/>
                <w:sz w:val="24"/>
                <w:szCs w:val="24"/>
              </w:rPr>
            </w:pPr>
          </w:p>
        </w:tc>
        <w:tc>
          <w:tcPr>
            <w:tcW w:w="1417" w:type="dxa"/>
            <w:gridSpan w:val="3"/>
            <w:vMerge w:val="restart"/>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成本指标</w:t>
            </w: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表彰奖励先进单位及个人</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continue"/>
            <w:noWrap w:val="0"/>
            <w:vAlign w:val="center"/>
          </w:tcPr>
          <w:p>
            <w:pPr>
              <w:autoSpaceDN w:val="0"/>
              <w:spacing w:line="320" w:lineRule="exact"/>
              <w:rPr>
                <w:rFonts w:hint="eastAsia" w:ascii="仿宋" w:hAnsi="仿宋" w:eastAsia="仿宋" w:cs="仿宋"/>
                <w:sz w:val="24"/>
                <w:szCs w:val="24"/>
              </w:rPr>
            </w:pPr>
          </w:p>
        </w:tc>
        <w:tc>
          <w:tcPr>
            <w:tcW w:w="1417" w:type="dxa"/>
            <w:gridSpan w:val="3"/>
            <w:vMerge w:val="continue"/>
            <w:noWrap w:val="0"/>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指标2：</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continue"/>
            <w:noWrap w:val="0"/>
            <w:vAlign w:val="center"/>
          </w:tcPr>
          <w:p>
            <w:pPr>
              <w:autoSpaceDN w:val="0"/>
              <w:spacing w:line="320" w:lineRule="exact"/>
              <w:rPr>
                <w:rFonts w:hint="eastAsia" w:ascii="仿宋" w:hAnsi="仿宋" w:eastAsia="仿宋" w:cs="仿宋"/>
                <w:sz w:val="24"/>
                <w:szCs w:val="24"/>
              </w:rPr>
            </w:pPr>
          </w:p>
        </w:tc>
        <w:tc>
          <w:tcPr>
            <w:tcW w:w="1417" w:type="dxa"/>
            <w:gridSpan w:val="3"/>
            <w:vMerge w:val="continue"/>
            <w:noWrap w:val="0"/>
            <w:vAlign w:val="center"/>
          </w:tcPr>
          <w:p>
            <w:pPr>
              <w:autoSpaceDN w:val="0"/>
              <w:spacing w:line="320" w:lineRule="exact"/>
              <w:jc w:val="center"/>
              <w:textAlignment w:val="center"/>
              <w:rPr>
                <w:rFonts w:hint="eastAsia" w:ascii="仿宋" w:hAnsi="仿宋" w:eastAsia="仿宋" w:cs="仿宋"/>
                <w:sz w:val="24"/>
                <w:szCs w:val="24"/>
              </w:rPr>
            </w:pP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restart"/>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效益目标</w:t>
            </w: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（预期实现的效益）</w:t>
            </w:r>
          </w:p>
        </w:tc>
        <w:tc>
          <w:tcPr>
            <w:tcW w:w="1417" w:type="dxa"/>
            <w:gridSpan w:val="3"/>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社会效益</w:t>
            </w: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社会治安稳定，不发生重大安全事故</w:t>
            </w:r>
          </w:p>
          <w:p>
            <w:pPr>
              <w:autoSpaceDN w:val="0"/>
              <w:spacing w:line="320" w:lineRule="exact"/>
              <w:jc w:val="left"/>
              <w:textAlignment w:val="center"/>
              <w:rPr>
                <w:rFonts w:hint="eastAsia" w:ascii="仿宋" w:hAnsi="仿宋" w:eastAsia="仿宋" w:cs="仿宋"/>
                <w:color w:val="000000"/>
                <w:sz w:val="24"/>
                <w:szCs w:val="24"/>
              </w:rPr>
            </w:pP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continue"/>
            <w:noWrap w:val="0"/>
            <w:vAlign w:val="center"/>
          </w:tcPr>
          <w:p>
            <w:pPr>
              <w:autoSpaceDN w:val="0"/>
              <w:spacing w:line="320" w:lineRule="exact"/>
              <w:rPr>
                <w:rFonts w:hint="eastAsia" w:ascii="仿宋" w:hAnsi="仿宋" w:eastAsia="仿宋" w:cs="仿宋"/>
                <w:sz w:val="24"/>
                <w:szCs w:val="24"/>
              </w:rPr>
            </w:pPr>
          </w:p>
        </w:tc>
        <w:tc>
          <w:tcPr>
            <w:tcW w:w="1417" w:type="dxa"/>
            <w:gridSpan w:val="3"/>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经济效益</w:t>
            </w: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政府奖励不低于2万元</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continue"/>
            <w:noWrap w:val="0"/>
            <w:vAlign w:val="center"/>
          </w:tcPr>
          <w:p>
            <w:pPr>
              <w:autoSpaceDN w:val="0"/>
              <w:spacing w:line="320" w:lineRule="exact"/>
              <w:rPr>
                <w:rFonts w:hint="eastAsia" w:ascii="仿宋" w:hAnsi="仿宋" w:eastAsia="仿宋" w:cs="仿宋"/>
                <w:sz w:val="24"/>
                <w:szCs w:val="24"/>
              </w:rPr>
            </w:pPr>
          </w:p>
        </w:tc>
        <w:tc>
          <w:tcPr>
            <w:tcW w:w="1417" w:type="dxa"/>
            <w:gridSpan w:val="3"/>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生态效益</w:t>
            </w: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人居环境明显改善，卫生整治效果突出</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 w:hAnsi="仿宋" w:eastAsia="仿宋" w:cs="仿宋"/>
                <w:sz w:val="24"/>
                <w:szCs w:val="24"/>
              </w:rPr>
            </w:pPr>
          </w:p>
        </w:tc>
        <w:tc>
          <w:tcPr>
            <w:tcW w:w="1549" w:type="dxa"/>
            <w:gridSpan w:val="4"/>
            <w:vMerge w:val="continue"/>
            <w:noWrap w:val="0"/>
            <w:vAlign w:val="center"/>
          </w:tcPr>
          <w:p>
            <w:pPr>
              <w:autoSpaceDN w:val="0"/>
              <w:spacing w:line="320" w:lineRule="exact"/>
              <w:rPr>
                <w:rFonts w:hint="eastAsia" w:ascii="仿宋" w:hAnsi="仿宋" w:eastAsia="仿宋" w:cs="仿宋"/>
                <w:sz w:val="24"/>
                <w:szCs w:val="24"/>
              </w:rPr>
            </w:pPr>
          </w:p>
        </w:tc>
        <w:tc>
          <w:tcPr>
            <w:tcW w:w="1417" w:type="dxa"/>
            <w:gridSpan w:val="3"/>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社会公众或服务对象满意度</w:t>
            </w:r>
          </w:p>
        </w:tc>
        <w:tc>
          <w:tcPr>
            <w:tcW w:w="2709" w:type="dxa"/>
            <w:gridSpan w:val="5"/>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综治民调提质，公众安全感满意度提高</w:t>
            </w:r>
          </w:p>
        </w:tc>
        <w:tc>
          <w:tcPr>
            <w:tcW w:w="2684" w:type="dxa"/>
            <w:gridSpan w:val="6"/>
            <w:noWrap w:val="0"/>
            <w:vAlign w:val="center"/>
          </w:tcPr>
          <w:p>
            <w:pPr>
              <w:autoSpaceDN w:val="0"/>
              <w:spacing w:line="320" w:lineRule="exact"/>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绩效自评综合得分</w:t>
            </w:r>
          </w:p>
        </w:tc>
        <w:tc>
          <w:tcPr>
            <w:tcW w:w="6810" w:type="dxa"/>
            <w:gridSpan w:val="14"/>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94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评价等次</w:t>
            </w:r>
          </w:p>
        </w:tc>
        <w:tc>
          <w:tcPr>
            <w:tcW w:w="6810" w:type="dxa"/>
            <w:gridSpan w:val="14"/>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9"/>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588"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姓  名</w:t>
            </w:r>
          </w:p>
        </w:tc>
        <w:tc>
          <w:tcPr>
            <w:tcW w:w="3627" w:type="dxa"/>
            <w:gridSpan w:val="7"/>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职务/职称</w:t>
            </w:r>
          </w:p>
        </w:tc>
        <w:tc>
          <w:tcPr>
            <w:tcW w:w="1479"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单  位</w:t>
            </w:r>
          </w:p>
        </w:tc>
        <w:tc>
          <w:tcPr>
            <w:tcW w:w="3106" w:type="dxa"/>
            <w:gridSpan w:val="8"/>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588"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李创华</w:t>
            </w:r>
          </w:p>
        </w:tc>
        <w:tc>
          <w:tcPr>
            <w:tcW w:w="3627" w:type="dxa"/>
            <w:gridSpan w:val="7"/>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办事处主任</w:t>
            </w:r>
          </w:p>
        </w:tc>
        <w:tc>
          <w:tcPr>
            <w:tcW w:w="1479"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楼办</w:t>
            </w:r>
          </w:p>
        </w:tc>
        <w:tc>
          <w:tcPr>
            <w:tcW w:w="3106" w:type="dxa"/>
            <w:gridSpan w:val="8"/>
            <w:noWrap w:val="0"/>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588"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彭魏</w:t>
            </w:r>
          </w:p>
        </w:tc>
        <w:tc>
          <w:tcPr>
            <w:tcW w:w="3627" w:type="dxa"/>
            <w:gridSpan w:val="7"/>
            <w:noWrap w:val="0"/>
            <w:vAlign w:val="center"/>
          </w:tcPr>
          <w:p>
            <w:pPr>
              <w:autoSpaceDN w:val="0"/>
              <w:spacing w:line="320" w:lineRule="exact"/>
              <w:jc w:val="center"/>
              <w:textAlignment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办事处副</w:t>
            </w:r>
            <w:r>
              <w:rPr>
                <w:rFonts w:hint="eastAsia" w:ascii="仿宋" w:hAnsi="仿宋" w:eastAsia="仿宋" w:cs="仿宋"/>
                <w:color w:val="000000"/>
                <w:sz w:val="24"/>
                <w:szCs w:val="24"/>
                <w:lang w:eastAsia="zh-CN"/>
              </w:rPr>
              <w:t>书记</w:t>
            </w:r>
          </w:p>
        </w:tc>
        <w:tc>
          <w:tcPr>
            <w:tcW w:w="1479"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楼办</w:t>
            </w:r>
          </w:p>
        </w:tc>
        <w:tc>
          <w:tcPr>
            <w:tcW w:w="3106" w:type="dxa"/>
            <w:gridSpan w:val="8"/>
            <w:noWrap w:val="0"/>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588"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彭伟军</w:t>
            </w:r>
          </w:p>
        </w:tc>
        <w:tc>
          <w:tcPr>
            <w:tcW w:w="3627" w:type="dxa"/>
            <w:gridSpan w:val="7"/>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财政所所长</w:t>
            </w:r>
          </w:p>
        </w:tc>
        <w:tc>
          <w:tcPr>
            <w:tcW w:w="1479"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楼</w:t>
            </w:r>
            <w:r>
              <w:rPr>
                <w:rFonts w:hint="eastAsia" w:ascii="仿宋" w:hAnsi="仿宋" w:eastAsia="仿宋" w:cs="仿宋"/>
                <w:color w:val="000000"/>
                <w:sz w:val="24"/>
                <w:szCs w:val="24"/>
              </w:rPr>
              <w:t>办</w:t>
            </w:r>
          </w:p>
        </w:tc>
        <w:tc>
          <w:tcPr>
            <w:tcW w:w="3106" w:type="dxa"/>
            <w:gridSpan w:val="8"/>
            <w:noWrap w:val="0"/>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588"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湛宙</w:t>
            </w:r>
          </w:p>
        </w:tc>
        <w:tc>
          <w:tcPr>
            <w:tcW w:w="3627" w:type="dxa"/>
            <w:gridSpan w:val="7"/>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财政所副所长</w:t>
            </w:r>
          </w:p>
        </w:tc>
        <w:tc>
          <w:tcPr>
            <w:tcW w:w="1479"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楼办</w:t>
            </w:r>
          </w:p>
        </w:tc>
        <w:tc>
          <w:tcPr>
            <w:tcW w:w="3106" w:type="dxa"/>
            <w:gridSpan w:val="8"/>
            <w:noWrap w:val="0"/>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892" w:hRule="atLeast"/>
          <w:jc w:val="center"/>
        </w:trPr>
        <w:tc>
          <w:tcPr>
            <w:tcW w:w="9800" w:type="dxa"/>
            <w:gridSpan w:val="19"/>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评价组组长（签字）：</w:t>
            </w: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767" w:hRule="atLeast"/>
          <w:jc w:val="center"/>
        </w:trPr>
        <w:tc>
          <w:tcPr>
            <w:tcW w:w="9800" w:type="dxa"/>
            <w:gridSpan w:val="19"/>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部门（单位）意见：</w:t>
            </w: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部门（单位）负责人（签章）：</w:t>
            </w:r>
          </w:p>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807" w:hRule="atLeast"/>
          <w:jc w:val="center"/>
        </w:trPr>
        <w:tc>
          <w:tcPr>
            <w:tcW w:w="9800" w:type="dxa"/>
            <w:gridSpan w:val="19"/>
            <w:noWrap w:val="0"/>
            <w:vAlign w:val="center"/>
          </w:tcPr>
          <w:p>
            <w:pPr>
              <w:spacing w:line="320" w:lineRule="exact"/>
              <w:rPr>
                <w:rFonts w:hint="eastAsia" w:ascii="仿宋" w:hAnsi="仿宋" w:eastAsia="仿宋" w:cs="仿宋"/>
                <w:sz w:val="24"/>
                <w:szCs w:val="24"/>
              </w:rPr>
            </w:pPr>
            <w:r>
              <w:rPr>
                <w:rFonts w:hint="eastAsia" w:ascii="仿宋" w:hAnsi="仿宋" w:eastAsia="仿宋" w:cs="仿宋"/>
                <w:sz w:val="24"/>
                <w:szCs w:val="24"/>
              </w:rPr>
              <w:t>财政部门归口业务科室意见：</w:t>
            </w:r>
          </w:p>
          <w:p>
            <w:pPr>
              <w:spacing w:line="320" w:lineRule="exact"/>
              <w:rPr>
                <w:rFonts w:hint="eastAsia" w:ascii="仿宋" w:hAnsi="仿宋" w:eastAsia="仿宋" w:cs="仿宋"/>
                <w:sz w:val="24"/>
                <w:szCs w:val="24"/>
              </w:rPr>
            </w:pPr>
          </w:p>
          <w:p>
            <w:pPr>
              <w:spacing w:line="320" w:lineRule="exact"/>
              <w:rPr>
                <w:rFonts w:hint="eastAsia" w:ascii="仿宋" w:hAnsi="仿宋" w:eastAsia="仿宋" w:cs="仿宋"/>
                <w:sz w:val="24"/>
                <w:szCs w:val="24"/>
              </w:rPr>
            </w:pPr>
          </w:p>
          <w:p>
            <w:pPr>
              <w:spacing w:line="320" w:lineRule="exact"/>
              <w:rPr>
                <w:rFonts w:hint="eastAsia" w:ascii="仿宋" w:hAnsi="仿宋" w:eastAsia="仿宋" w:cs="仿宋"/>
                <w:sz w:val="24"/>
                <w:szCs w:val="24"/>
              </w:rPr>
            </w:pPr>
          </w:p>
          <w:p>
            <w:pPr>
              <w:spacing w:line="320" w:lineRule="exact"/>
              <w:rPr>
                <w:rFonts w:hint="eastAsia" w:ascii="仿宋" w:hAnsi="仿宋" w:eastAsia="仿宋" w:cs="仿宋"/>
                <w:sz w:val="24"/>
                <w:szCs w:val="24"/>
              </w:rPr>
            </w:pPr>
          </w:p>
          <w:p>
            <w:pPr>
              <w:spacing w:line="320" w:lineRule="exact"/>
              <w:rPr>
                <w:rFonts w:hint="eastAsia" w:ascii="仿宋" w:hAnsi="仿宋" w:eastAsia="仿宋" w:cs="仿宋"/>
                <w:sz w:val="24"/>
                <w:szCs w:val="24"/>
              </w:rPr>
            </w:pPr>
            <w:r>
              <w:rPr>
                <w:rFonts w:hint="eastAsia" w:ascii="仿宋" w:hAnsi="仿宋" w:eastAsia="仿宋" w:cs="仿宋"/>
                <w:sz w:val="24"/>
                <w:szCs w:val="24"/>
              </w:rPr>
              <w:t xml:space="preserve">                                  财政部门归口业务科室负责人（签章）：</w:t>
            </w:r>
          </w:p>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sz w:val="24"/>
                <w:szCs w:val="24"/>
              </w:rPr>
              <w:t xml:space="preserve">                                                                 年    月   日</w:t>
            </w:r>
          </w:p>
        </w:tc>
      </w:tr>
    </w:tbl>
    <w:p>
      <w:pPr>
        <w:rPr>
          <w:rFonts w:hint="eastAsia" w:ascii="仿宋" w:hAnsi="仿宋" w:eastAsia="仿宋" w:cs="仿宋"/>
          <w:bCs/>
          <w:sz w:val="24"/>
          <w:szCs w:val="24"/>
        </w:rPr>
      </w:pPr>
      <w:r>
        <w:rPr>
          <w:rFonts w:hint="eastAsia" w:ascii="仿宋" w:hAnsi="仿宋" w:eastAsia="仿宋" w:cs="仿宋"/>
          <w:bCs/>
          <w:sz w:val="24"/>
          <w:szCs w:val="24"/>
        </w:rPr>
        <w:t>填报人（签名）：                          联系电话：</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noWrap w:val="0"/>
            <w:vAlign w:val="top"/>
          </w:tcPr>
          <w:p>
            <w:pPr>
              <w:jc w:val="center"/>
              <w:rPr>
                <w:rFonts w:hint="eastAsia" w:ascii="仿宋" w:hAnsi="仿宋" w:eastAsia="仿宋" w:cs="仿宋"/>
                <w:bCs/>
                <w:sz w:val="24"/>
                <w:szCs w:val="24"/>
              </w:rPr>
            </w:pPr>
          </w:p>
          <w:p>
            <w:pPr>
              <w:spacing w:line="440" w:lineRule="exact"/>
              <w:ind w:firstLine="480" w:firstLineChars="200"/>
              <w:rPr>
                <w:rFonts w:hint="eastAsia" w:ascii="仿宋" w:hAnsi="仿宋" w:eastAsia="仿宋" w:cs="仿宋"/>
                <w:sz w:val="24"/>
                <w:szCs w:val="24"/>
              </w:rPr>
            </w:pPr>
          </w:p>
          <w:p>
            <w:pPr>
              <w:jc w:val="center"/>
              <w:rPr>
                <w:rFonts w:hint="eastAsia" w:ascii="仿宋" w:hAnsi="仿宋" w:eastAsia="仿宋" w:cs="仿宋"/>
                <w:bCs/>
                <w:sz w:val="24"/>
                <w:szCs w:val="24"/>
              </w:rPr>
            </w:pPr>
            <w:r>
              <w:rPr>
                <w:rFonts w:hint="eastAsia" w:ascii="仿宋" w:hAnsi="仿宋" w:eastAsia="仿宋" w:cs="仿宋"/>
                <w:bCs/>
                <w:sz w:val="24"/>
                <w:szCs w:val="24"/>
              </w:rPr>
              <w:t>五、评价报告综述（文字部分）</w:t>
            </w:r>
          </w:p>
          <w:p>
            <w:pPr>
              <w:spacing w:line="440" w:lineRule="exact"/>
              <w:ind w:firstLine="480" w:firstLineChars="200"/>
              <w:rPr>
                <w:rFonts w:hint="eastAsia" w:ascii="仿宋" w:hAnsi="仿宋" w:eastAsia="仿宋" w:cs="仿宋"/>
                <w:sz w:val="24"/>
                <w:szCs w:val="24"/>
              </w:rPr>
            </w:pPr>
          </w:p>
          <w:p>
            <w:pPr>
              <w:snapToGrid w:val="0"/>
              <w:spacing w:line="600" w:lineRule="exact"/>
              <w:rPr>
                <w:rFonts w:hint="eastAsia" w:ascii="仿宋" w:hAnsi="仿宋" w:eastAsia="仿宋" w:cs="仿宋"/>
                <w:sz w:val="24"/>
                <w:szCs w:val="24"/>
              </w:rPr>
            </w:pP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岳阳楼街道地处城区西北、洞庭湖边、岳阳楼下，总面积5.76平方公里，总人口4.8万人</w:t>
            </w:r>
            <w:r>
              <w:rPr>
                <w:rFonts w:hint="eastAsia" w:ascii="仿宋" w:hAnsi="仿宋" w:eastAsia="仿宋" w:cs="仿宋"/>
                <w:sz w:val="24"/>
                <w:szCs w:val="24"/>
                <w:lang w:val="en-US" w:eastAsia="zh-CN"/>
              </w:rPr>
              <w:t>,所辖7个社区，23个党支部，957名党员</w:t>
            </w:r>
            <w:r>
              <w:rPr>
                <w:rFonts w:hint="eastAsia" w:ascii="仿宋" w:hAnsi="仿宋" w:eastAsia="仿宋" w:cs="仿宋"/>
                <w:sz w:val="24"/>
                <w:szCs w:val="24"/>
              </w:rPr>
              <w:t>。辖区人文资源丰富，有千古名楼岳阳楼，百年名校市一中、市二中、岳阳楼小学，有著名街区汴河街、翰林街、庙前街、仿宋街，还有宋代文庙、三国鲁肃墓等人文景观，是一个</w:t>
            </w:r>
            <w:r>
              <w:rPr>
                <w:rFonts w:hint="eastAsia" w:ascii="仿宋" w:hAnsi="仿宋" w:eastAsia="仿宋" w:cs="仿宋"/>
                <w:sz w:val="24"/>
                <w:szCs w:val="24"/>
                <w:lang w:eastAsia="zh-CN"/>
              </w:rPr>
              <w:t>集名楼、名校、名街于一体的景区街道</w:t>
            </w:r>
            <w:r>
              <w:rPr>
                <w:rFonts w:hint="eastAsia" w:ascii="仿宋" w:hAnsi="仿宋" w:eastAsia="仿宋" w:cs="仿宋"/>
                <w:sz w:val="24"/>
                <w:szCs w:val="24"/>
              </w:rPr>
              <w:t>。</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lang w:eastAsia="zh-CN"/>
              </w:rPr>
              <w:t>一、</w:t>
            </w:r>
            <w:r>
              <w:rPr>
                <w:rFonts w:hint="eastAsia" w:ascii="仿宋" w:hAnsi="仿宋" w:eastAsia="仿宋" w:cs="仿宋"/>
                <w:sz w:val="24"/>
                <w:szCs w:val="24"/>
              </w:rPr>
              <w:t>办事处2020年度整体支出规模、使用方向和主要内容、涉及范围等</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2020年总收入1110.6万元。基本支出</w:t>
            </w:r>
            <w:r>
              <w:rPr>
                <w:rFonts w:hint="eastAsia" w:ascii="仿宋" w:hAnsi="仿宋" w:eastAsia="仿宋" w:cs="仿宋"/>
                <w:sz w:val="24"/>
                <w:szCs w:val="24"/>
                <w:lang w:val="en-US" w:eastAsia="zh-CN"/>
              </w:rPr>
              <w:t>1110.64</w:t>
            </w:r>
            <w:r>
              <w:rPr>
                <w:rFonts w:hint="eastAsia" w:ascii="仿宋" w:hAnsi="仿宋" w:eastAsia="仿宋" w:cs="仿宋"/>
                <w:sz w:val="24"/>
                <w:szCs w:val="24"/>
              </w:rPr>
              <w:t>万元，其中人员支出</w:t>
            </w:r>
            <w:r>
              <w:rPr>
                <w:rFonts w:hint="eastAsia" w:ascii="仿宋" w:hAnsi="仿宋" w:eastAsia="仿宋" w:cs="仿宋"/>
                <w:sz w:val="24"/>
                <w:szCs w:val="24"/>
                <w:lang w:val="en-US" w:eastAsia="zh-CN"/>
              </w:rPr>
              <w:t>815.06</w:t>
            </w:r>
            <w:r>
              <w:rPr>
                <w:rFonts w:hint="eastAsia" w:ascii="仿宋" w:hAnsi="仿宋" w:eastAsia="仿宋" w:cs="仿宋"/>
                <w:sz w:val="24"/>
                <w:szCs w:val="24"/>
              </w:rPr>
              <w:t>万元，公用支出</w:t>
            </w:r>
            <w:r>
              <w:rPr>
                <w:rFonts w:hint="eastAsia" w:ascii="仿宋" w:hAnsi="仿宋" w:eastAsia="仿宋" w:cs="仿宋"/>
                <w:sz w:val="24"/>
                <w:szCs w:val="24"/>
                <w:lang w:val="en-US" w:eastAsia="zh-CN"/>
              </w:rPr>
              <w:t>295.58</w:t>
            </w:r>
            <w:bookmarkStart w:id="0" w:name="_GoBack"/>
            <w:bookmarkEnd w:id="0"/>
            <w:r>
              <w:rPr>
                <w:rFonts w:hint="eastAsia" w:ascii="仿宋" w:hAnsi="仿宋" w:eastAsia="仿宋" w:cs="仿宋"/>
                <w:sz w:val="24"/>
                <w:szCs w:val="24"/>
              </w:rPr>
              <w:t>万元，结余</w:t>
            </w:r>
            <w:r>
              <w:rPr>
                <w:rFonts w:hint="eastAsia" w:ascii="仿宋" w:hAnsi="仿宋" w:eastAsia="仿宋" w:cs="仿宋"/>
                <w:sz w:val="24"/>
                <w:szCs w:val="24"/>
                <w:lang w:val="en-US" w:eastAsia="zh-CN"/>
              </w:rPr>
              <w:t>0</w:t>
            </w:r>
            <w:r>
              <w:rPr>
                <w:rFonts w:hint="eastAsia" w:ascii="仿宋" w:hAnsi="仿宋" w:eastAsia="仿宋" w:cs="仿宋"/>
                <w:sz w:val="24"/>
                <w:szCs w:val="24"/>
              </w:rPr>
              <w:t>万元。基本支出是指为保障单位机构正常运转、完成日常工作任务而发生的各项支出，包括用于基本工资、津贴补贴等人员经费以及办公费、印刷费、水电费、办公设备购置等日常公用经费（包括固定资产折旧费）开支。</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二、</w:t>
            </w:r>
            <w:r>
              <w:rPr>
                <w:rFonts w:hint="eastAsia" w:ascii="仿宋" w:hAnsi="仿宋" w:eastAsia="仿宋" w:cs="仿宋"/>
                <w:sz w:val="24"/>
                <w:szCs w:val="24"/>
                <w:lang w:eastAsia="zh-CN"/>
              </w:rPr>
              <w:t>岳阳楼</w:t>
            </w:r>
            <w:r>
              <w:rPr>
                <w:rFonts w:hint="eastAsia" w:ascii="仿宋" w:hAnsi="仿宋" w:eastAsia="仿宋" w:cs="仿宋"/>
                <w:sz w:val="24"/>
                <w:szCs w:val="24"/>
              </w:rPr>
              <w:t>办事处整体支出管理及使用情况</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在区财政局的指导下，结合我办事处的实际，成立了部门整体支出绩效评价工作领导小组，从收入、支出、资产管理、预算调整、三公经费控制等方面进行了考评，评定94分，属于优秀等次，整体支出遵照预算执行，符合相关法律法规的规定。</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（一）、基本支出</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 xml:space="preserve">      2020年</w:t>
            </w:r>
            <w:r>
              <w:rPr>
                <w:rFonts w:hint="eastAsia" w:ascii="仿宋" w:hAnsi="仿宋" w:eastAsia="仿宋" w:cs="仿宋"/>
                <w:sz w:val="24"/>
                <w:szCs w:val="24"/>
                <w:lang w:eastAsia="zh-CN"/>
              </w:rPr>
              <w:t>岳阳楼</w:t>
            </w:r>
            <w:r>
              <w:rPr>
                <w:rFonts w:hint="eastAsia" w:ascii="仿宋" w:hAnsi="仿宋" w:eastAsia="仿宋" w:cs="仿宋"/>
                <w:sz w:val="24"/>
                <w:szCs w:val="24"/>
              </w:rPr>
              <w:t>街道办事处全年总支出1110.6万元，其中人员支出</w:t>
            </w:r>
            <w:r>
              <w:rPr>
                <w:rFonts w:hint="eastAsia" w:ascii="仿宋" w:hAnsi="仿宋" w:eastAsia="仿宋" w:cs="仿宋"/>
                <w:sz w:val="24"/>
                <w:szCs w:val="24"/>
                <w:lang w:val="en-US" w:eastAsia="zh-CN"/>
              </w:rPr>
              <w:t>815.1</w:t>
            </w:r>
            <w:r>
              <w:rPr>
                <w:rFonts w:hint="eastAsia" w:ascii="仿宋" w:hAnsi="仿宋" w:eastAsia="仿宋" w:cs="仿宋"/>
                <w:sz w:val="24"/>
                <w:szCs w:val="24"/>
              </w:rPr>
              <w:t>万元，商品和服务支出</w:t>
            </w:r>
            <w:r>
              <w:rPr>
                <w:rFonts w:hint="eastAsia" w:ascii="仿宋" w:hAnsi="仿宋" w:eastAsia="仿宋" w:cs="仿宋"/>
                <w:sz w:val="24"/>
                <w:szCs w:val="24"/>
                <w:lang w:val="en-US" w:eastAsia="zh-CN"/>
              </w:rPr>
              <w:t>295.5</w:t>
            </w:r>
            <w:r>
              <w:rPr>
                <w:rFonts w:hint="eastAsia" w:ascii="仿宋" w:hAnsi="仿宋" w:eastAsia="仿宋" w:cs="仿宋"/>
                <w:sz w:val="24"/>
                <w:szCs w:val="24"/>
              </w:rPr>
              <w:t>万元，固定资产折旧费</w:t>
            </w:r>
            <w:r>
              <w:rPr>
                <w:rFonts w:hint="eastAsia" w:ascii="仿宋" w:hAnsi="仿宋" w:eastAsia="仿宋" w:cs="仿宋"/>
                <w:sz w:val="24"/>
                <w:szCs w:val="24"/>
                <w:lang w:val="en-US" w:eastAsia="zh-CN"/>
              </w:rPr>
              <w:t>24.56</w:t>
            </w:r>
            <w:r>
              <w:rPr>
                <w:rFonts w:hint="eastAsia" w:ascii="仿宋" w:hAnsi="仿宋" w:eastAsia="仿宋" w:cs="仿宋"/>
                <w:sz w:val="24"/>
                <w:szCs w:val="24"/>
              </w:rPr>
              <w:t>万元。</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1.资金安排落实、总投入等情况分析</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lang w:eastAsia="zh-CN"/>
              </w:rPr>
              <w:t>楼办</w:t>
            </w:r>
            <w:r>
              <w:rPr>
                <w:rFonts w:hint="eastAsia" w:ascii="仿宋" w:hAnsi="仿宋" w:eastAsia="仿宋" w:cs="仿宋"/>
                <w:sz w:val="24"/>
                <w:szCs w:val="24"/>
              </w:rPr>
              <w:t>2020年度全年总收入1110.6万元，其中财政拨款收入1110.6万元，。全年总支出1110.6万元，其中人员支出</w:t>
            </w:r>
            <w:r>
              <w:rPr>
                <w:rFonts w:hint="eastAsia" w:ascii="仿宋" w:hAnsi="仿宋" w:eastAsia="仿宋" w:cs="仿宋"/>
                <w:sz w:val="24"/>
                <w:szCs w:val="24"/>
                <w:lang w:val="en-US" w:eastAsia="zh-CN"/>
              </w:rPr>
              <w:t>815.1</w:t>
            </w:r>
            <w:r>
              <w:rPr>
                <w:rFonts w:hint="eastAsia" w:ascii="仿宋" w:hAnsi="仿宋" w:eastAsia="仿宋" w:cs="仿宋"/>
                <w:sz w:val="24"/>
                <w:szCs w:val="24"/>
              </w:rPr>
              <w:t>万元，商品服务支出</w:t>
            </w:r>
            <w:r>
              <w:rPr>
                <w:rFonts w:hint="eastAsia" w:ascii="仿宋" w:hAnsi="仿宋" w:eastAsia="仿宋" w:cs="仿宋"/>
                <w:sz w:val="24"/>
                <w:szCs w:val="24"/>
                <w:lang w:val="en-US" w:eastAsia="zh-CN"/>
              </w:rPr>
              <w:t>295.5</w:t>
            </w:r>
            <w:r>
              <w:rPr>
                <w:rFonts w:hint="eastAsia" w:ascii="仿宋" w:hAnsi="仿宋" w:eastAsia="仿宋" w:cs="仿宋"/>
                <w:sz w:val="24"/>
                <w:szCs w:val="24"/>
              </w:rPr>
              <w:t>万元（其中公务接待费</w:t>
            </w:r>
            <w:r>
              <w:rPr>
                <w:rFonts w:hint="eastAsia" w:ascii="仿宋" w:hAnsi="仿宋" w:eastAsia="仿宋" w:cs="仿宋"/>
                <w:sz w:val="24"/>
                <w:szCs w:val="24"/>
                <w:lang w:val="en-US" w:eastAsia="zh-CN"/>
              </w:rPr>
              <w:t>10.1</w:t>
            </w:r>
            <w:r>
              <w:rPr>
                <w:rFonts w:hint="eastAsia" w:ascii="仿宋" w:hAnsi="仿宋" w:eastAsia="仿宋" w:cs="仿宋"/>
                <w:sz w:val="24"/>
                <w:szCs w:val="24"/>
              </w:rPr>
              <w:t>万元）。</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2．“三公”经费支出与管理</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lang w:eastAsia="zh-CN"/>
              </w:rPr>
              <w:t>楼办</w:t>
            </w:r>
            <w:r>
              <w:rPr>
                <w:rFonts w:hint="eastAsia" w:ascii="仿宋" w:hAnsi="仿宋" w:eastAsia="仿宋" w:cs="仿宋"/>
                <w:sz w:val="24"/>
                <w:szCs w:val="24"/>
              </w:rPr>
              <w:t>2020年全年三公经费支出共计</w:t>
            </w:r>
            <w:r>
              <w:rPr>
                <w:rFonts w:hint="eastAsia" w:ascii="仿宋" w:hAnsi="仿宋" w:eastAsia="仿宋" w:cs="仿宋"/>
                <w:sz w:val="24"/>
                <w:szCs w:val="24"/>
                <w:lang w:val="en-US" w:eastAsia="zh-CN"/>
              </w:rPr>
              <w:t>10.1</w:t>
            </w:r>
            <w:r>
              <w:rPr>
                <w:rFonts w:hint="eastAsia" w:ascii="仿宋" w:hAnsi="仿宋" w:eastAsia="仿宋" w:cs="仿宋"/>
                <w:sz w:val="24"/>
                <w:szCs w:val="24"/>
              </w:rPr>
              <w:t>万元，其中公务接待费</w:t>
            </w:r>
            <w:r>
              <w:rPr>
                <w:rFonts w:hint="eastAsia" w:ascii="仿宋" w:hAnsi="仿宋" w:eastAsia="仿宋" w:cs="仿宋"/>
                <w:sz w:val="24"/>
                <w:szCs w:val="24"/>
                <w:lang w:val="en-US" w:eastAsia="zh-CN"/>
              </w:rPr>
              <w:t>10.1</w:t>
            </w:r>
            <w:r>
              <w:rPr>
                <w:rFonts w:hint="eastAsia" w:ascii="仿宋" w:hAnsi="仿宋" w:eastAsia="仿宋" w:cs="仿宋"/>
                <w:sz w:val="24"/>
                <w:szCs w:val="24"/>
              </w:rPr>
              <w:t>万元，2020年街道“三公”经费预算数</w:t>
            </w:r>
            <w:r>
              <w:rPr>
                <w:rFonts w:hint="eastAsia" w:ascii="仿宋" w:hAnsi="仿宋" w:eastAsia="仿宋" w:cs="仿宋"/>
                <w:sz w:val="24"/>
                <w:szCs w:val="24"/>
                <w:lang w:val="en-US" w:eastAsia="zh-CN"/>
              </w:rPr>
              <w:t>32</w:t>
            </w:r>
            <w:r>
              <w:rPr>
                <w:rFonts w:hint="eastAsia" w:ascii="仿宋" w:hAnsi="仿宋" w:eastAsia="仿宋" w:cs="仿宋"/>
                <w:sz w:val="24"/>
                <w:szCs w:val="24"/>
              </w:rPr>
              <w:t>万元，实际支出为预算数的</w:t>
            </w:r>
            <w:r>
              <w:rPr>
                <w:rFonts w:hint="eastAsia" w:ascii="仿宋" w:hAnsi="仿宋" w:eastAsia="仿宋" w:cs="仿宋"/>
                <w:sz w:val="24"/>
                <w:szCs w:val="24"/>
                <w:lang w:val="en-US" w:eastAsia="zh-CN"/>
              </w:rPr>
              <w:t>31.56</w:t>
            </w:r>
            <w:r>
              <w:rPr>
                <w:rFonts w:hint="eastAsia" w:ascii="仿宋" w:hAnsi="仿宋" w:eastAsia="仿宋" w:cs="仿宋"/>
                <w:sz w:val="24"/>
                <w:szCs w:val="24"/>
              </w:rPr>
              <w:t>%。公务接待费相比2019年有所减少（2019年公务接待费为</w:t>
            </w:r>
            <w:r>
              <w:rPr>
                <w:rFonts w:hint="eastAsia" w:ascii="仿宋" w:hAnsi="仿宋" w:eastAsia="仿宋" w:cs="仿宋"/>
                <w:sz w:val="24"/>
                <w:szCs w:val="24"/>
                <w:lang w:val="en-US" w:eastAsia="zh-CN"/>
              </w:rPr>
              <w:t>21.43</w:t>
            </w:r>
            <w:r>
              <w:rPr>
                <w:rFonts w:hint="eastAsia" w:ascii="仿宋" w:hAnsi="仿宋" w:eastAsia="仿宋" w:cs="仿宋"/>
                <w:sz w:val="24"/>
                <w:szCs w:val="24"/>
              </w:rPr>
              <w:t>万元）。</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三、</w:t>
            </w:r>
            <w:r>
              <w:rPr>
                <w:rFonts w:hint="eastAsia" w:ascii="仿宋" w:hAnsi="仿宋" w:eastAsia="仿宋" w:cs="仿宋"/>
                <w:sz w:val="24"/>
                <w:szCs w:val="24"/>
                <w:lang w:eastAsia="zh-CN"/>
              </w:rPr>
              <w:t>岳阳楼</w:t>
            </w:r>
            <w:r>
              <w:rPr>
                <w:rFonts w:hint="eastAsia" w:ascii="仿宋" w:hAnsi="仿宋" w:eastAsia="仿宋" w:cs="仿宋"/>
                <w:sz w:val="24"/>
                <w:szCs w:val="24"/>
              </w:rPr>
              <w:t>办事处专项组织实施情况</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 xml:space="preserve">   2020年度</w:t>
            </w:r>
            <w:r>
              <w:rPr>
                <w:rFonts w:hint="eastAsia" w:ascii="仿宋" w:hAnsi="仿宋" w:eastAsia="仿宋" w:cs="仿宋"/>
                <w:sz w:val="24"/>
                <w:szCs w:val="24"/>
                <w:lang w:eastAsia="zh-CN"/>
              </w:rPr>
              <w:t>岳阳楼</w:t>
            </w:r>
            <w:r>
              <w:rPr>
                <w:rFonts w:hint="eastAsia" w:ascii="仿宋" w:hAnsi="仿宋" w:eastAsia="仿宋" w:cs="仿宋"/>
                <w:sz w:val="24"/>
                <w:szCs w:val="24"/>
              </w:rPr>
              <w:t>办事处无项目支出</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四、部门整体支出绩效情况</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 xml:space="preserve">   2020年度我办贯彻落实党中央、省、市、区经济工作会议精神，按照区委“一年转型打基础，三年转换见成效，五年转化上台阶”的总体思路，牢抓安全生产、信访维稳等底线工作，常抓城市管理、为民服务等日常管理工作，狠抓项目征拆等中心重点工作，圆满完成了年度考核目标，同时加强对预算收支管理，建立健全了内部管理制度，部门整体支出绩效明显。</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 xml:space="preserve">    五、存在的问题</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虽然财政资金使用规范，效果明显，经济能够保持稳步增长，社会和谐进步，但也还存在可用财力偏小，不能满足日益增长的财政支出及社会发展需要，资金支出的绩效评价还有待加强等问题，需要我们在今后的工作中不断改进和完善，进一步加强绩效管理，提高财政资金的使用效益。</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 xml:space="preserve">   六、改进措施和有关建议</w:t>
            </w:r>
          </w:p>
          <w:p>
            <w:pPr>
              <w:keepNext w:val="0"/>
              <w:keepLines w:val="0"/>
              <w:pageBreakBefore w:val="0"/>
              <w:widowControl w:val="0"/>
              <w:kinsoku/>
              <w:wordWrap/>
              <w:overflowPunct/>
              <w:topLinePunct w:val="0"/>
              <w:autoSpaceDE/>
              <w:autoSpaceDN/>
              <w:bidi w:val="0"/>
              <w:adjustRightInd/>
              <w:snapToGrid/>
              <w:spacing w:line="520" w:lineRule="exact"/>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 xml:space="preserve">   在以后的工作中将进一步加强和细化对预算收支的管理工作，加强内部管理制度，更加规范各项资金的使用程序，做好各项资金的监督管理工作，把各项资金用好用实。加强对财务工作人员的业务学习和培训，与时俱进，不断提高业务素质和工作能力。</w:t>
            </w:r>
          </w:p>
          <w:p>
            <w:pPr>
              <w:spacing w:line="560" w:lineRule="exact"/>
              <w:ind w:firstLine="480" w:firstLineChars="200"/>
              <w:rPr>
                <w:rFonts w:hint="eastAsia" w:ascii="仿宋" w:hAnsi="仿宋" w:eastAsia="仿宋" w:cs="仿宋"/>
                <w:bCs/>
                <w:sz w:val="24"/>
                <w:szCs w:val="24"/>
              </w:rPr>
            </w:pPr>
          </w:p>
        </w:tc>
      </w:tr>
    </w:tbl>
    <w:p>
      <w:pPr>
        <w:spacing w:line="348" w:lineRule="auto"/>
        <w:rPr>
          <w:rFonts w:hint="eastAsia" w:eastAsia="黑体" w:cs="黑体"/>
          <w:bCs/>
          <w:sz w:val="32"/>
          <w:szCs w:val="32"/>
        </w:rPr>
      </w:pPr>
    </w:p>
    <w:p>
      <w:pPr>
        <w:spacing w:line="348" w:lineRule="auto"/>
        <w:rPr>
          <w:rFonts w:hint="eastAsia" w:eastAsia="黑体" w:cs="黑体"/>
          <w:bCs/>
          <w:sz w:val="32"/>
          <w:szCs w:val="32"/>
        </w:rPr>
      </w:pPr>
    </w:p>
    <w:p>
      <w:pPr>
        <w:spacing w:line="348" w:lineRule="auto"/>
        <w:rPr>
          <w:rFonts w:hint="eastAsia" w:eastAsia="黑体" w:cs="黑体"/>
          <w:bCs/>
          <w:sz w:val="32"/>
          <w:szCs w:val="32"/>
        </w:rPr>
      </w:pPr>
      <w:r>
        <w:rPr>
          <w:rFonts w:hint="eastAsia" w:eastAsia="黑体" w:cs="黑体"/>
          <w:bCs/>
          <w:sz w:val="32"/>
          <w:szCs w:val="32"/>
        </w:rPr>
        <w:t>附件3-2</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3"/>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人员编制59人，在职50人，退休9人。在职人员控制率100%</w:t>
            </w: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本年度““三公”经费10.57万元”比2019年有所减少</w:t>
            </w: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重点支出安排率90%</w:t>
            </w: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本年预算无调整</w:t>
            </w: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2月底专项资金下达率60%，6月底专项资金下达率95%，根据评分标准扣1分</w:t>
            </w: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有结余，结余超过上年结转</w:t>
            </w: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本年度预算公务接待费为24万，2020年实际支出10.57万元</w:t>
            </w:r>
          </w:p>
        </w:tc>
      </w:tr>
      <w:tr>
        <w:tblPrEx>
          <w:tblCellMar>
            <w:top w:w="0" w:type="dxa"/>
            <w:left w:w="108" w:type="dxa"/>
            <w:bottom w:w="0" w:type="dxa"/>
            <w:right w:w="108" w:type="dxa"/>
          </w:tblCellMar>
        </w:tblPrEx>
        <w:trPr>
          <w:trHeight w:val="1230" w:hRule="atLeast"/>
          <w:jc w:val="center"/>
        </w:trPr>
        <w:tc>
          <w:tcPr>
            <w:tcW w:w="9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制定财政账户管理制度，票据管理制度，印鉴管理制度，现金管理制度，规范财务制度的通知，核算中心资金管理制度。上述制度合法合规，完整并已遵照执行。</w:t>
            </w:r>
          </w:p>
        </w:tc>
      </w:tr>
      <w:tr>
        <w:tblPrEx>
          <w:tblCellMar>
            <w:top w:w="0" w:type="dxa"/>
            <w:left w:w="108" w:type="dxa"/>
            <w:bottom w:w="0" w:type="dxa"/>
            <w:right w:w="108" w:type="dxa"/>
          </w:tblCellMar>
        </w:tblPrEx>
        <w:trPr>
          <w:trHeight w:val="1802" w:hRule="atLeast"/>
          <w:jc w:val="center"/>
        </w:trPr>
        <w:tc>
          <w:tcPr>
            <w:tcW w:w="9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支出符合相关法律法规，拨付程序规范，手续齐全，符合部门预算批复用途，资金使用规范，无违规行为。</w:t>
            </w:r>
          </w:p>
        </w:tc>
      </w:tr>
      <w:tr>
        <w:tblPrEx>
          <w:tblCellMar>
            <w:top w:w="0" w:type="dxa"/>
            <w:left w:w="108" w:type="dxa"/>
            <w:bottom w:w="0" w:type="dxa"/>
            <w:right w:w="108" w:type="dxa"/>
          </w:tblCellMar>
        </w:tblPrEx>
        <w:trPr>
          <w:trHeight w:val="450" w:hRule="atLeast"/>
          <w:jc w:val="center"/>
        </w:trPr>
        <w:tc>
          <w:tcPr>
            <w:tcW w:w="976"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按照规范时限、内容公开预决算信息，内容真实完整，准确。</w:t>
            </w:r>
          </w:p>
        </w:tc>
      </w:tr>
      <w:tr>
        <w:tblPrEx>
          <w:tblCellMar>
            <w:top w:w="0" w:type="dxa"/>
            <w:left w:w="108" w:type="dxa"/>
            <w:bottom w:w="0" w:type="dxa"/>
            <w:right w:w="108" w:type="dxa"/>
          </w:tblCellMar>
        </w:tblPrEx>
        <w:trPr>
          <w:trHeight w:val="570" w:hRule="atLeast"/>
          <w:jc w:val="center"/>
        </w:trPr>
        <w:tc>
          <w:tcPr>
            <w:tcW w:w="976"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政府采购执行率100%</w:t>
            </w:r>
          </w:p>
        </w:tc>
      </w:tr>
      <w:tr>
        <w:tblPrEx>
          <w:tblCellMar>
            <w:top w:w="0" w:type="dxa"/>
            <w:left w:w="108" w:type="dxa"/>
            <w:bottom w:w="0" w:type="dxa"/>
            <w:right w:w="108" w:type="dxa"/>
          </w:tblCellMar>
        </w:tblPrEx>
        <w:trPr>
          <w:trHeight w:val="630" w:hRule="atLeast"/>
          <w:jc w:val="center"/>
        </w:trPr>
        <w:tc>
          <w:tcPr>
            <w:tcW w:w="976"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公务卡刷卡率为98%</w:t>
            </w:r>
          </w:p>
        </w:tc>
      </w:tr>
      <w:tr>
        <w:tblPrEx>
          <w:tblCellMar>
            <w:top w:w="0" w:type="dxa"/>
            <w:left w:w="108" w:type="dxa"/>
            <w:bottom w:w="0" w:type="dxa"/>
            <w:right w:w="108" w:type="dxa"/>
          </w:tblCellMar>
        </w:tblPrEx>
        <w:trPr>
          <w:trHeight w:val="735" w:hRule="atLeast"/>
          <w:jc w:val="center"/>
        </w:trPr>
        <w:tc>
          <w:tcPr>
            <w:tcW w:w="976"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制订了资产管理制度、固定资产申购配置规定等，制度体系健全完整，执行有效。</w:t>
            </w:r>
          </w:p>
        </w:tc>
      </w:tr>
    </w:tbl>
    <w:p/>
    <w:tbl>
      <w:tblPr>
        <w:tblStyle w:val="3"/>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资产保存完整，使用合规，配置合理，处置规范，收入及时足额上缴。</w:t>
            </w:r>
          </w:p>
        </w:tc>
      </w:tr>
      <w:tr>
        <w:tblPrEx>
          <w:tblCellMar>
            <w:top w:w="0" w:type="dxa"/>
            <w:left w:w="108" w:type="dxa"/>
            <w:bottom w:w="0" w:type="dxa"/>
            <w:right w:w="108" w:type="dxa"/>
          </w:tblCellMar>
        </w:tblPrEx>
        <w:trPr>
          <w:trHeight w:val="774" w:hRule="atLeast"/>
          <w:jc w:val="center"/>
        </w:trPr>
        <w:tc>
          <w:tcPr>
            <w:tcW w:w="976"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固定资产总额135.4万元，在用固定资产总额135.4万元，资产使用率100%.</w:t>
            </w:r>
          </w:p>
        </w:tc>
      </w:tr>
      <w:tr>
        <w:tblPrEx>
          <w:tblCellMar>
            <w:top w:w="0" w:type="dxa"/>
            <w:left w:w="108" w:type="dxa"/>
            <w:bottom w:w="0" w:type="dxa"/>
            <w:right w:w="108" w:type="dxa"/>
          </w:tblCellMar>
        </w:tblPrEx>
        <w:trPr>
          <w:trHeight w:val="900"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已完成</w:t>
            </w:r>
          </w:p>
        </w:tc>
      </w:tr>
      <w:tr>
        <w:tblPrEx>
          <w:tblCellMar>
            <w:top w:w="0" w:type="dxa"/>
            <w:left w:w="108" w:type="dxa"/>
            <w:bottom w:w="0" w:type="dxa"/>
            <w:right w:w="108" w:type="dxa"/>
          </w:tblCellMar>
        </w:tblPrEx>
        <w:trPr>
          <w:trHeight w:val="900" w:hRule="atLeast"/>
          <w:jc w:val="center"/>
        </w:trPr>
        <w:tc>
          <w:tcPr>
            <w:tcW w:w="976"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已完成</w:t>
            </w:r>
          </w:p>
        </w:tc>
      </w:tr>
      <w:tr>
        <w:tblPrEx>
          <w:tblCellMar>
            <w:top w:w="0" w:type="dxa"/>
            <w:left w:w="108" w:type="dxa"/>
            <w:bottom w:w="0" w:type="dxa"/>
            <w:right w:w="108" w:type="dxa"/>
          </w:tblCellMar>
        </w:tblPrEx>
        <w:trPr>
          <w:trHeight w:val="900" w:hRule="atLeast"/>
          <w:jc w:val="center"/>
        </w:trPr>
        <w:tc>
          <w:tcPr>
            <w:tcW w:w="976"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已完成</w:t>
            </w: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已完成</w:t>
            </w: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已完成</w:t>
            </w: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已完成</w:t>
            </w: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全办普及</w:t>
            </w: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全办普及</w:t>
            </w: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全办普及</w:t>
            </w: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通过问卷调查社会公众对本单位的工作履职满意度为95%</w:t>
            </w: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94</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r>
    </w:tbl>
    <w:p>
      <w:pPr>
        <w:jc w:val="left"/>
        <w:rPr>
          <w:rFonts w:cs="黑体" w:asciiTheme="minorEastAsia" w:hAnsiTheme="minorEastAsia"/>
          <w:color w:val="000000"/>
          <w:kern w:val="0"/>
          <w:sz w:val="32"/>
          <w:szCs w:val="32"/>
        </w:rPr>
      </w:pPr>
    </w:p>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4347" w:firstLineChars="2070"/>
      <w:rPr>
        <w:rFonts w:hint="eastAsia"/>
        <w:lang w:val="en-US" w:eastAsia="zh-CN"/>
      </w:rPr>
    </w:pPr>
    <w:r>
      <w:rPr>
        <w:rFonts w:hint="eastAsia"/>
        <w:lang w:val="en-US" w:eastAsia="zh-CN"/>
      </w:rPr>
      <w:t>1</w:t>
    </w:r>
  </w:p>
  <w:p>
    <w:pPr>
      <w:ind w:right="360"/>
      <w:rPr>
        <w:rFonts w:hint="eastAsia"/>
        <w:lang w:val="en-US"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FE5A27F"/>
    <w:multiLevelType w:val="singleLevel"/>
    <w:tmpl w:val="5FE5A27F"/>
    <w:lvl w:ilvl="0" w:tentative="0">
      <w:start w:val="2"/>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FkMGM1YzBkNDg5M2MwOWEzM2VkZThkMzc4Y2YyYTEifQ=="/>
  </w:docVars>
  <w:rsids>
    <w:rsidRoot w:val="26792435"/>
    <w:rsid w:val="26792435"/>
    <w:rsid w:val="2D7A77AC"/>
    <w:rsid w:val="4473703F"/>
    <w:rsid w:val="70C42E96"/>
    <w:rsid w:val="770236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22"/>
    <w:rPr>
      <w:b/>
      <w:bC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市直单位</Company>
  <Pages>13</Pages>
  <Words>7326</Words>
  <Characters>7795</Characters>
  <Lines>0</Lines>
  <Paragraphs>0</Paragraphs>
  <TotalTime>3</TotalTime>
  <ScaleCrop>false</ScaleCrop>
  <LinksUpToDate>false</LinksUpToDate>
  <CharactersWithSpaces>8374</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2022-09-03T10:49:00Z</dcterms:created>
  <dc:creator>周末</dc:creator>
  <cp:lastModifiedBy>Hedy</cp:lastModifiedBy>
  <dcterms:modified xsi:type="dcterms:W3CDTF">2022-09-06T11:45:19Z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D2A584BFB81E4B75B466039C1AE498C9</vt:lpwstr>
  </property>
</Properties>
</file>