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岳阳楼区</w:t>
      </w:r>
      <w:r>
        <w:rPr>
          <w:rFonts w:eastAsia="方正小标宋简体"/>
          <w:bCs/>
          <w:sz w:val="46"/>
          <w:szCs w:val="46"/>
        </w:rPr>
        <w:t>20</w:t>
      </w:r>
      <w:r>
        <w:rPr>
          <w:rFonts w:eastAsia="方正小标宋简体"/>
          <w:bCs/>
          <w:sz w:val="46"/>
          <w:szCs w:val="46"/>
          <w:u w:val="single"/>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岳阳楼区劳动人事争议仲裁院</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200012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29</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岳阳楼区财政</w:t>
      </w:r>
      <w:r>
        <w:rPr>
          <w:rFonts w:hint="eastAsia" w:eastAsia="仿宋_GB2312"/>
          <w:sz w:val="32"/>
          <w:szCs w:val="32"/>
        </w:rPr>
        <w:t>局（制）</w:t>
      </w:r>
    </w:p>
    <w:p>
      <w:pPr>
        <w:autoSpaceDN w:val="0"/>
        <w:jc w:val="center"/>
        <w:textAlignment w:val="center"/>
        <w:rPr>
          <w:rFonts w:eastAsia="仿宋_GB2312"/>
          <w:sz w:val="32"/>
          <w:szCs w:val="32"/>
        </w:rPr>
      </w:pPr>
    </w:p>
    <w:p>
      <w:pPr>
        <w:autoSpaceDN w:val="0"/>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罗文轩</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07308280875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拟定全区劳动人事争议处理规则，指导全区劳动人事争议调解处理工作；负责全区劳动人事争议仲裁员队伍建设工作，培训专、兼职劳动人事争议仲裁员和调解员；承办全区劳动人事争议案件；承担区劳动人事争议仲裁委员会的日常工作；负责对全区用工单位和劳动者普法宣传并监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劳动人事争议案件结案率达到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以上，调解率达到</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认真开展各项工作，通过落实绩效考评工作，利用绩效考评指标明确工作重点，规划工作进程，按时按质按量推进各项工作，实现工作开展、绩效落实两不误、双促进，获取群众满意度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以上。为全区经济建设创建和谐劳动关系。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152.8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23.9</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128.9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152.8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37.8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122.28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w:t>
            </w:r>
            <w:r>
              <w:rPr>
                <w:rFonts w:ascii="仿宋_GB2312" w:hAnsi="仿宋_GB2312" w:eastAsia="仿宋_GB2312" w:cs="仿宋_GB2312"/>
                <w:color w:val="000000"/>
                <w:sz w:val="24"/>
              </w:rPr>
              <w:t>.52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9"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0"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9"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劳动人事争议案件结案率达到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以上，调解率达到</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rPr>
              <w:t>以上。</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劳动人事争议案件结案率达到</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以上，调解率达到</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widowControl/>
              <w:autoSpaceDN w:val="0"/>
              <w:spacing w:line="400" w:lineRule="exact"/>
              <w:jc w:val="left"/>
              <w:textAlignment w:val="center"/>
              <w:rPr>
                <w:rFonts w:ascii="仿宋_GB2312" w:hAnsi="仿宋_GB2312" w:eastAsia="仿宋_GB2312" w:cs="仿宋_GB2312"/>
                <w:color w:val="000000"/>
                <w:sz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处理劳动人事争议仲裁劳动关系案件</w:t>
            </w:r>
          </w:p>
        </w:tc>
        <w:tc>
          <w:tcPr>
            <w:tcW w:w="2684" w:type="dxa"/>
            <w:gridSpan w:val="6"/>
            <w:vMerge w:val="restart"/>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0" w:hRule="atLeast"/>
          <w:jc w:val="center"/>
        </w:trPr>
        <w:tc>
          <w:tcPr>
            <w:tcW w:w="1441" w:type="dxa"/>
            <w:vMerge w:val="continue"/>
            <w:vAlign w:val="center"/>
          </w:tcPr>
          <w:p>
            <w:pPr>
              <w:widowControl/>
              <w:autoSpaceDN w:val="0"/>
              <w:spacing w:line="400" w:lineRule="exact"/>
              <w:jc w:val="left"/>
              <w:textAlignment w:val="center"/>
            </w:pPr>
          </w:p>
        </w:tc>
        <w:tc>
          <w:tcPr>
            <w:tcW w:w="1549" w:type="dxa"/>
            <w:gridSpan w:val="4"/>
            <w:vMerge w:val="continue"/>
            <w:vAlign w:val="center"/>
          </w:tcPr>
          <w:p>
            <w:pPr>
              <w:widowControl/>
              <w:autoSpaceDN w:val="0"/>
              <w:spacing w:line="400" w:lineRule="exact"/>
              <w:jc w:val="left"/>
              <w:textAlignment w:val="center"/>
            </w:pPr>
          </w:p>
        </w:tc>
        <w:tc>
          <w:tcPr>
            <w:tcW w:w="1417" w:type="dxa"/>
            <w:gridSpan w:val="2"/>
            <w:vMerge w:val="continue"/>
            <w:vAlign w:val="center"/>
          </w:tcPr>
          <w:p>
            <w:pPr>
              <w:widowControl/>
              <w:autoSpaceDN w:val="0"/>
              <w:spacing w:line="400" w:lineRule="exact"/>
              <w:jc w:val="left"/>
              <w:textAlignment w:val="center"/>
            </w:pPr>
          </w:p>
        </w:tc>
        <w:tc>
          <w:tcPr>
            <w:tcW w:w="2709" w:type="dxa"/>
            <w:gridSpan w:val="4"/>
            <w:vAlign w:val="center"/>
          </w:tcPr>
          <w:p>
            <w:pPr>
              <w:widowControl/>
              <w:autoSpaceDN w:val="0"/>
              <w:spacing w:line="400" w:lineRule="exact"/>
              <w:jc w:val="left"/>
              <w:textAlignment w:val="center"/>
              <w:rPr>
                <w:rFonts w:ascii="Times New Roman" w:hAnsi="Times New Roman" w:eastAsia="仿宋_GB2312"/>
                <w:kern w:val="0"/>
                <w:sz w:val="24"/>
                <w:szCs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rPr>
              <w:t>处理劳动人事争议仲裁工伤待遇案件</w:t>
            </w:r>
          </w:p>
        </w:tc>
        <w:tc>
          <w:tcPr>
            <w:tcW w:w="2684" w:type="dxa"/>
            <w:gridSpan w:val="6"/>
            <w:vMerge w:val="continue"/>
            <w:vAlign w:val="center"/>
          </w:tcPr>
          <w:p>
            <w:pPr>
              <w:widowControl/>
              <w:autoSpaceDN w:val="0"/>
              <w:spacing w:line="400" w:lineRule="exact"/>
              <w:jc w:val="left"/>
              <w:textAlignment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autoSpaceDN w:val="0"/>
              <w:spacing w:line="400" w:lineRule="exact"/>
              <w:jc w:val="left"/>
              <w:textAlignment w:val="center"/>
              <w:rPr>
                <w:rFonts w:ascii="仿宋_GB2312" w:hAnsi="仿宋_GB2312" w:eastAsia="仿宋_GB2312" w:cs="仿宋_GB2312"/>
                <w:color w:val="000000"/>
                <w:sz w:val="24"/>
              </w:rPr>
            </w:pPr>
            <w:r>
              <w:rPr>
                <w:rFonts w:ascii="仿宋_GB2312" w:hAnsi="宋体" w:eastAsia="仿宋_GB2312" w:cs="仿宋_GB2312"/>
                <w:color w:val="000000"/>
                <w:sz w:val="22"/>
              </w:rPr>
              <w:t>1.</w:t>
            </w:r>
            <w:r>
              <w:rPr>
                <w:rFonts w:hint="eastAsia" w:ascii="仿宋_GB2312" w:hAnsi="宋体" w:eastAsia="仿宋_GB2312" w:cs="仿宋_GB2312"/>
                <w:color w:val="000000"/>
                <w:sz w:val="22"/>
              </w:rPr>
              <w:t>劳动人事争议仲裁结案率达</w:t>
            </w:r>
            <w:r>
              <w:rPr>
                <w:rFonts w:ascii="仿宋_GB2312" w:hAnsi="宋体" w:eastAsia="仿宋_GB2312" w:cs="仿宋_GB2312"/>
                <w:color w:val="000000"/>
                <w:sz w:val="22"/>
              </w:rPr>
              <w:t>90%</w:t>
            </w:r>
            <w:r>
              <w:rPr>
                <w:rFonts w:hint="eastAsia" w:ascii="仿宋_GB2312" w:hAnsi="宋体" w:eastAsia="仿宋_GB2312" w:cs="仿宋_GB2312"/>
                <w:color w:val="000000"/>
                <w:sz w:val="22"/>
              </w:rPr>
              <w:t>以上</w:t>
            </w:r>
          </w:p>
        </w:tc>
        <w:tc>
          <w:tcPr>
            <w:tcW w:w="2684" w:type="dxa"/>
            <w:gridSpan w:val="6"/>
            <w:vMerge w:val="restart"/>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8" w:hRule="atLeast"/>
          <w:jc w:val="center"/>
        </w:trPr>
        <w:tc>
          <w:tcPr>
            <w:tcW w:w="1441" w:type="dxa"/>
            <w:vMerge w:val="continue"/>
            <w:vAlign w:val="center"/>
          </w:tcPr>
          <w:p>
            <w:pPr>
              <w:autoSpaceDN w:val="0"/>
              <w:spacing w:line="320" w:lineRule="exact"/>
              <w:jc w:val="left"/>
              <w:textAlignment w:val="center"/>
            </w:pPr>
          </w:p>
        </w:tc>
        <w:tc>
          <w:tcPr>
            <w:tcW w:w="1549" w:type="dxa"/>
            <w:gridSpan w:val="4"/>
            <w:vMerge w:val="continue"/>
            <w:vAlign w:val="center"/>
          </w:tcPr>
          <w:p>
            <w:pPr>
              <w:autoSpaceDN w:val="0"/>
              <w:spacing w:line="320" w:lineRule="exact"/>
              <w:jc w:val="left"/>
              <w:textAlignment w:val="center"/>
            </w:pPr>
          </w:p>
        </w:tc>
        <w:tc>
          <w:tcPr>
            <w:tcW w:w="1417" w:type="dxa"/>
            <w:gridSpan w:val="2"/>
            <w:vMerge w:val="continue"/>
            <w:vAlign w:val="center"/>
          </w:tcPr>
          <w:p>
            <w:pPr>
              <w:autoSpaceDN w:val="0"/>
              <w:spacing w:line="320" w:lineRule="exact"/>
              <w:jc w:val="left"/>
              <w:textAlignment w:val="center"/>
            </w:pPr>
          </w:p>
        </w:tc>
        <w:tc>
          <w:tcPr>
            <w:tcW w:w="2709" w:type="dxa"/>
            <w:gridSpan w:val="4"/>
            <w:vAlign w:val="center"/>
          </w:tcPr>
          <w:p>
            <w:pPr>
              <w:autoSpaceDN w:val="0"/>
              <w:spacing w:line="320" w:lineRule="exact"/>
              <w:jc w:val="left"/>
              <w:textAlignment w:val="center"/>
              <w:rPr>
                <w:rFonts w:ascii="Times New Roman" w:hAnsi="Times New Roman" w:eastAsia="仿宋_GB2312"/>
                <w:kern w:val="0"/>
                <w:sz w:val="24"/>
                <w:szCs w:val="24"/>
              </w:rPr>
            </w:pPr>
            <w:r>
              <w:rPr>
                <w:rFonts w:ascii="仿宋_GB2312" w:hAnsi="宋体" w:eastAsia="仿宋_GB2312" w:cs="仿宋_GB2312"/>
                <w:color w:val="000000"/>
                <w:sz w:val="22"/>
              </w:rPr>
              <w:t>2.</w:t>
            </w:r>
            <w:r>
              <w:rPr>
                <w:rFonts w:hint="eastAsia" w:ascii="仿宋_GB2312" w:hAnsi="宋体" w:eastAsia="仿宋_GB2312" w:cs="仿宋_GB2312"/>
                <w:color w:val="000000"/>
                <w:sz w:val="22"/>
              </w:rPr>
              <w:t>劳动人事争议调解成功率达</w:t>
            </w:r>
            <w:r>
              <w:rPr>
                <w:rFonts w:ascii="仿宋_GB2312" w:hAnsi="宋体" w:eastAsia="仿宋_GB2312" w:cs="仿宋_GB2312"/>
                <w:color w:val="000000"/>
                <w:sz w:val="22"/>
              </w:rPr>
              <w:t>60%</w:t>
            </w:r>
            <w:r>
              <w:rPr>
                <w:rFonts w:hint="eastAsia" w:ascii="仿宋_GB2312" w:hAnsi="宋体" w:eastAsia="仿宋_GB2312" w:cs="仿宋_GB2312"/>
                <w:color w:val="000000"/>
                <w:sz w:val="22"/>
              </w:rPr>
              <w:t>以上</w:t>
            </w:r>
          </w:p>
        </w:tc>
        <w:tc>
          <w:tcPr>
            <w:tcW w:w="2684" w:type="dxa"/>
            <w:gridSpan w:val="6"/>
            <w:vMerge w:val="continue"/>
            <w:vAlign w:val="center"/>
          </w:tcPr>
          <w:p>
            <w:pPr>
              <w:autoSpaceDN w:val="0"/>
              <w:spacing w:line="320" w:lineRule="exact"/>
              <w:jc w:val="left"/>
              <w:textAlignment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widowControl/>
              <w:autoSpaceDN w:val="0"/>
              <w:spacing w:line="400" w:lineRule="exact"/>
              <w:jc w:val="left"/>
              <w:textAlignment w:val="center"/>
              <w:rPr>
                <w:rFonts w:ascii="仿宋_GB2312" w:hAnsi="仿宋_GB2312" w:eastAsia="仿宋_GB2312" w:cs="仿宋_GB2312"/>
                <w:color w:val="000000"/>
                <w:sz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负责全区劳动人事争议仲裁员和调解员管理</w:t>
            </w:r>
          </w:p>
        </w:tc>
        <w:tc>
          <w:tcPr>
            <w:tcW w:w="2684" w:type="dxa"/>
            <w:gridSpan w:val="6"/>
            <w:vMerge w:val="restart"/>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4" w:hRule="atLeast"/>
          <w:jc w:val="center"/>
        </w:trPr>
        <w:tc>
          <w:tcPr>
            <w:tcW w:w="1441" w:type="dxa"/>
            <w:vMerge w:val="continue"/>
            <w:vAlign w:val="center"/>
          </w:tcPr>
          <w:p>
            <w:pPr>
              <w:autoSpaceDN w:val="0"/>
              <w:spacing w:line="320" w:lineRule="exact"/>
              <w:jc w:val="left"/>
              <w:textAlignment w:val="center"/>
            </w:pPr>
          </w:p>
        </w:tc>
        <w:tc>
          <w:tcPr>
            <w:tcW w:w="1549" w:type="dxa"/>
            <w:gridSpan w:val="4"/>
            <w:vMerge w:val="continue"/>
            <w:vAlign w:val="center"/>
          </w:tcPr>
          <w:p>
            <w:pPr>
              <w:autoSpaceDN w:val="0"/>
              <w:spacing w:line="320" w:lineRule="exact"/>
              <w:jc w:val="left"/>
              <w:textAlignment w:val="center"/>
            </w:pPr>
          </w:p>
        </w:tc>
        <w:tc>
          <w:tcPr>
            <w:tcW w:w="1417" w:type="dxa"/>
            <w:gridSpan w:val="2"/>
            <w:vMerge w:val="continue"/>
            <w:vAlign w:val="center"/>
          </w:tcPr>
          <w:p>
            <w:pPr>
              <w:autoSpaceDN w:val="0"/>
              <w:spacing w:line="320" w:lineRule="exact"/>
              <w:jc w:val="left"/>
              <w:textAlignment w:val="cente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rPr>
              <w:t>承办全区企业改制事宜</w:t>
            </w:r>
          </w:p>
        </w:tc>
        <w:tc>
          <w:tcPr>
            <w:tcW w:w="2684" w:type="dxa"/>
            <w:gridSpan w:val="6"/>
            <w:vMerge w:val="continue"/>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开展送法活动四次，发放普法宣传资料</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widowControl/>
              <w:spacing w:line="400" w:lineRule="exact"/>
              <w:rPr>
                <w:rFonts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公平、公正处理劳动人事争议案件</w:t>
            </w:r>
          </w:p>
          <w:p>
            <w:pPr>
              <w:autoSpaceDN w:val="0"/>
              <w:spacing w:line="320" w:lineRule="exact"/>
              <w:jc w:val="left"/>
              <w:textAlignment w:val="center"/>
              <w:rPr>
                <w:rFonts w:ascii="仿宋_GB2312" w:hAnsi="仿宋_GB2312" w:eastAsia="仿宋_GB2312" w:cs="仿宋_GB2312"/>
                <w:color w:val="000000"/>
                <w:sz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rPr>
              <w:t>构建和谐劳动关系</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widowControl/>
              <w:spacing w:line="400" w:lineRule="exact"/>
              <w:rPr>
                <w:rFonts w:ascii="仿宋_GB2312" w:hAnsi="宋体" w:eastAsia="仿宋_GB2312" w:cs="仿宋_GB2312"/>
                <w:color w:val="000000"/>
                <w:sz w:val="22"/>
              </w:rPr>
            </w:pPr>
            <w:r>
              <w:rPr>
                <w:rFonts w:ascii="仿宋_GB2312" w:hAnsi="宋体" w:eastAsia="仿宋_GB2312" w:cs="仿宋_GB2312"/>
                <w:color w:val="000000"/>
                <w:sz w:val="22"/>
              </w:rPr>
              <w:t>1.</w:t>
            </w:r>
            <w:r>
              <w:rPr>
                <w:rFonts w:hint="eastAsia" w:ascii="仿宋_GB2312" w:hAnsi="宋体" w:eastAsia="仿宋_GB2312" w:cs="仿宋_GB2312"/>
                <w:color w:val="000000"/>
                <w:sz w:val="22"/>
              </w:rPr>
              <w:t>劳动人事争议仲裁结案率达</w:t>
            </w:r>
            <w:r>
              <w:rPr>
                <w:rFonts w:ascii="仿宋_GB2312" w:hAnsi="宋体" w:eastAsia="仿宋_GB2312" w:cs="仿宋_GB2312"/>
                <w:color w:val="000000"/>
                <w:sz w:val="22"/>
              </w:rPr>
              <w:t>90%</w:t>
            </w:r>
            <w:r>
              <w:rPr>
                <w:rFonts w:hint="eastAsia" w:ascii="仿宋_GB2312" w:hAnsi="宋体" w:eastAsia="仿宋_GB2312" w:cs="仿宋_GB2312"/>
                <w:color w:val="000000"/>
                <w:sz w:val="22"/>
              </w:rPr>
              <w:t>以上</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宋体" w:eastAsia="仿宋_GB2312" w:cs="仿宋_GB2312"/>
                <w:color w:val="000000"/>
                <w:sz w:val="22"/>
              </w:rPr>
              <w:t>2.</w:t>
            </w:r>
            <w:r>
              <w:rPr>
                <w:rFonts w:hint="eastAsia" w:ascii="仿宋_GB2312" w:hAnsi="宋体" w:eastAsia="仿宋_GB2312" w:cs="仿宋_GB2312"/>
                <w:color w:val="000000"/>
                <w:sz w:val="22"/>
              </w:rPr>
              <w:t>劳动人事争议调解成功率达</w:t>
            </w:r>
            <w:r>
              <w:rPr>
                <w:rFonts w:ascii="仿宋_GB2312" w:hAnsi="宋体" w:eastAsia="仿宋_GB2312" w:cs="仿宋_GB2312"/>
                <w:color w:val="000000"/>
                <w:sz w:val="22"/>
              </w:rPr>
              <w:t>60%</w:t>
            </w:r>
            <w:r>
              <w:rPr>
                <w:rFonts w:hint="eastAsia" w:ascii="仿宋_GB2312" w:hAnsi="宋体" w:eastAsia="仿宋_GB2312" w:cs="仿宋_GB2312"/>
                <w:color w:val="000000"/>
                <w:sz w:val="22"/>
              </w:rPr>
              <w:t>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widowControl/>
              <w:spacing w:line="400" w:lineRule="exact"/>
              <w:rPr>
                <w:rFonts w:ascii="Times New Roman" w:hAnsi="Times New Roman" w:eastAsia="仿宋_GB2312"/>
                <w:kern w:val="0"/>
                <w:sz w:val="24"/>
                <w:szCs w:val="24"/>
              </w:rPr>
            </w:pPr>
            <w:r>
              <w:rPr>
                <w:rFonts w:ascii="Times New Roman" w:hAnsi="Times New Roman" w:eastAsia="仿宋_GB2312"/>
                <w:kern w:val="0"/>
                <w:sz w:val="24"/>
                <w:szCs w:val="24"/>
              </w:rPr>
              <w:t>1.</w:t>
            </w:r>
            <w:r>
              <w:rPr>
                <w:rFonts w:hint="eastAsia" w:ascii="Times New Roman" w:hAnsi="Times New Roman" w:eastAsia="仿宋_GB2312"/>
                <w:kern w:val="0"/>
                <w:sz w:val="24"/>
                <w:szCs w:val="24"/>
              </w:rPr>
              <w:t>对弱势群体开通便民“绿色通道”</w:t>
            </w:r>
          </w:p>
          <w:p>
            <w:pPr>
              <w:autoSpaceDN w:val="0"/>
              <w:spacing w:line="320" w:lineRule="exact"/>
              <w:jc w:val="left"/>
              <w:textAlignment w:val="center"/>
              <w:rPr>
                <w:rFonts w:ascii="仿宋_GB2312" w:hAnsi="仿宋_GB2312" w:eastAsia="仿宋_GB2312" w:cs="仿宋_GB2312"/>
                <w:color w:val="000000"/>
                <w:sz w:val="24"/>
              </w:rPr>
            </w:pPr>
            <w:r>
              <w:rPr>
                <w:rFonts w:ascii="Times New Roman" w:hAnsi="Times New Roman" w:eastAsia="仿宋_GB2312"/>
                <w:kern w:val="0"/>
                <w:sz w:val="24"/>
                <w:szCs w:val="24"/>
              </w:rPr>
              <w:t>2.</w:t>
            </w:r>
            <w:r>
              <w:rPr>
                <w:rFonts w:hint="eastAsia" w:ascii="Times New Roman" w:hAnsi="Times New Roman" w:eastAsia="仿宋_GB2312"/>
                <w:kern w:val="0"/>
                <w:sz w:val="24"/>
                <w:szCs w:val="24"/>
              </w:rPr>
              <w:t>优化仲裁庭办案环境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服务对象满意度达</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5"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仿宋_GB2312" w:eastAsia="仿宋_GB2312"/>
                <w:b/>
                <w:bCs/>
                <w:spacing w:val="-26"/>
                <w:sz w:val="24"/>
              </w:rPr>
            </w:pPr>
            <w:r>
              <w:rPr>
                <w:rFonts w:hint="eastAsia" w:ascii="仿宋_GB2312" w:eastAsia="仿宋_GB2312"/>
                <w:b/>
                <w:bCs/>
                <w:spacing w:val="-26"/>
                <w:sz w:val="24"/>
              </w:rPr>
              <w:t>五、评价报告综述（文字部分）</w:t>
            </w:r>
          </w:p>
          <w:p>
            <w:pPr>
              <w:spacing w:line="340" w:lineRule="exact"/>
              <w:ind w:firstLine="378" w:firstLineChars="200"/>
              <w:rPr>
                <w:rFonts w:ascii="仿宋_GB2312" w:eastAsia="仿宋_GB2312"/>
                <w:b/>
                <w:bCs/>
                <w:spacing w:val="-26"/>
                <w:sz w:val="24"/>
              </w:rPr>
            </w:pPr>
            <w:r>
              <w:rPr>
                <w:rFonts w:hint="eastAsia" w:ascii="仿宋_GB2312" w:eastAsia="仿宋_GB2312"/>
                <w:b/>
                <w:bCs/>
                <w:spacing w:val="-26"/>
                <w:sz w:val="24"/>
              </w:rPr>
              <w:t>一、部门基本概况</w:t>
            </w:r>
          </w:p>
          <w:p>
            <w:pPr>
              <w:spacing w:line="340" w:lineRule="exact"/>
              <w:ind w:firstLine="378" w:firstLineChars="200"/>
              <w:rPr>
                <w:rFonts w:ascii="仿宋_GB2312" w:eastAsia="仿宋_GB2312"/>
                <w:b/>
                <w:bCs/>
                <w:spacing w:val="-26"/>
                <w:sz w:val="24"/>
              </w:rPr>
            </w:pPr>
            <w:r>
              <w:rPr>
                <w:rFonts w:ascii="仿宋_GB2312" w:eastAsia="仿宋_GB2312"/>
                <w:b/>
                <w:bCs/>
                <w:spacing w:val="-26"/>
                <w:sz w:val="24"/>
              </w:rPr>
              <w:t>1</w:t>
            </w:r>
            <w:r>
              <w:rPr>
                <w:rFonts w:hint="eastAsia" w:ascii="仿宋_GB2312" w:eastAsia="仿宋_GB2312"/>
                <w:b/>
                <w:bCs/>
                <w:spacing w:val="-26"/>
                <w:sz w:val="24"/>
              </w:rPr>
              <w:t>、职能职责</w:t>
            </w:r>
          </w:p>
          <w:p>
            <w:pPr>
              <w:spacing w:line="340" w:lineRule="exact"/>
              <w:ind w:firstLine="376" w:firstLineChars="200"/>
              <w:rPr>
                <w:rFonts w:ascii="仿宋_GB2312" w:eastAsia="仿宋_GB2312"/>
                <w:spacing w:val="-26"/>
                <w:sz w:val="24"/>
              </w:rPr>
            </w:pPr>
            <w:r>
              <w:rPr>
                <w:rFonts w:hint="eastAsia" w:ascii="仿宋_GB2312" w:eastAsia="仿宋_GB2312"/>
                <w:spacing w:val="-26"/>
                <w:sz w:val="24"/>
              </w:rPr>
              <w:t>贯彻落实和宣传劳动人事争议法律、法规、规章和政策</w:t>
            </w:r>
            <w:r>
              <w:rPr>
                <w:rFonts w:ascii="仿宋_GB2312" w:eastAsia="仿宋_GB2312"/>
                <w:spacing w:val="-26"/>
                <w:sz w:val="24"/>
              </w:rPr>
              <w:t>;</w:t>
            </w:r>
            <w:r>
              <w:rPr>
                <w:rFonts w:hint="eastAsia" w:ascii="仿宋_GB2312" w:eastAsia="仿宋_GB2312"/>
                <w:spacing w:val="-26"/>
                <w:sz w:val="24"/>
              </w:rPr>
              <w:t>负责处理本区劳动人事争议仲裁委员会管辖的劳动人事争议案件</w:t>
            </w:r>
            <w:r>
              <w:rPr>
                <w:rFonts w:ascii="仿宋_GB2312" w:eastAsia="仿宋_GB2312"/>
                <w:spacing w:val="-26"/>
                <w:sz w:val="24"/>
              </w:rPr>
              <w:t>;</w:t>
            </w:r>
            <w:r>
              <w:rPr>
                <w:rFonts w:hint="eastAsia" w:ascii="仿宋_GB2312" w:eastAsia="仿宋_GB2312"/>
                <w:spacing w:val="-26"/>
                <w:sz w:val="24"/>
              </w:rPr>
              <w:t>负责全区专、兼职劳动人事争议仲裁员和调解员的培训聘用管理</w:t>
            </w:r>
            <w:r>
              <w:rPr>
                <w:rFonts w:ascii="仿宋_GB2312" w:eastAsia="仿宋_GB2312"/>
                <w:spacing w:val="-26"/>
                <w:sz w:val="24"/>
              </w:rPr>
              <w:t>;</w:t>
            </w:r>
            <w:r>
              <w:rPr>
                <w:rFonts w:hint="eastAsia" w:ascii="仿宋_GB2312" w:eastAsia="仿宋_GB2312"/>
                <w:spacing w:val="-26"/>
                <w:sz w:val="24"/>
              </w:rPr>
              <w:t>承担区劳动人事争议仲裁委员会日常工作</w:t>
            </w:r>
            <w:r>
              <w:rPr>
                <w:rFonts w:ascii="仿宋_GB2312" w:eastAsia="仿宋_GB2312"/>
                <w:spacing w:val="-26"/>
                <w:sz w:val="24"/>
              </w:rPr>
              <w:t>;</w:t>
            </w:r>
            <w:r>
              <w:rPr>
                <w:rFonts w:hint="eastAsia" w:ascii="仿宋_GB2312" w:eastAsia="仿宋_GB2312"/>
                <w:spacing w:val="-26"/>
                <w:sz w:val="24"/>
              </w:rPr>
              <w:t>承办区人力资源和社会保障局交办的其他事项。</w:t>
            </w:r>
          </w:p>
          <w:p>
            <w:pPr>
              <w:spacing w:line="340" w:lineRule="exact"/>
              <w:ind w:firstLine="378" w:firstLineChars="200"/>
              <w:rPr>
                <w:rFonts w:ascii="仿宋_GB2312" w:eastAsia="仿宋_GB2312"/>
                <w:b/>
                <w:bCs/>
                <w:spacing w:val="-26"/>
                <w:sz w:val="24"/>
              </w:rPr>
            </w:pPr>
            <w:r>
              <w:rPr>
                <w:rFonts w:ascii="仿宋_GB2312" w:eastAsia="仿宋_GB2312"/>
                <w:b/>
                <w:bCs/>
                <w:spacing w:val="-26"/>
                <w:sz w:val="24"/>
              </w:rPr>
              <w:t>2</w:t>
            </w:r>
            <w:r>
              <w:rPr>
                <w:rFonts w:hint="eastAsia" w:ascii="仿宋_GB2312" w:eastAsia="仿宋_GB2312"/>
                <w:b/>
                <w:bCs/>
                <w:spacing w:val="-26"/>
                <w:sz w:val="24"/>
              </w:rPr>
              <w:t>、机构设置</w:t>
            </w:r>
          </w:p>
          <w:p>
            <w:pPr>
              <w:spacing w:line="340" w:lineRule="exact"/>
              <w:ind w:firstLine="376" w:firstLineChars="200"/>
              <w:rPr>
                <w:rFonts w:ascii="仿宋_GB2312" w:eastAsia="仿宋_GB2312"/>
                <w:spacing w:val="-26"/>
                <w:sz w:val="24"/>
              </w:rPr>
            </w:pPr>
            <w:r>
              <w:rPr>
                <w:rFonts w:hint="eastAsia" w:ascii="仿宋_GB2312" w:eastAsia="仿宋_GB2312"/>
                <w:spacing w:val="-26"/>
                <w:sz w:val="24"/>
              </w:rPr>
              <w:t>岳阳楼区劳动人事争议仲裁院为区人力资源和社会保障局下属副科级事业单位，现有人数</w:t>
            </w:r>
            <w:r>
              <w:rPr>
                <w:rFonts w:ascii="仿宋_GB2312" w:eastAsia="仿宋_GB2312"/>
                <w:spacing w:val="-26"/>
                <w:sz w:val="24"/>
              </w:rPr>
              <w:t>9</w:t>
            </w:r>
            <w:r>
              <w:rPr>
                <w:rFonts w:hint="eastAsia" w:ascii="仿宋_GB2312" w:eastAsia="仿宋_GB2312"/>
                <w:spacing w:val="-26"/>
                <w:sz w:val="24"/>
              </w:rPr>
              <w:t>人，其中：在职全额编制</w:t>
            </w:r>
            <w:r>
              <w:rPr>
                <w:rFonts w:ascii="仿宋_GB2312" w:eastAsia="仿宋_GB2312"/>
                <w:spacing w:val="-26"/>
                <w:sz w:val="24"/>
              </w:rPr>
              <w:t>9</w:t>
            </w:r>
            <w:r>
              <w:rPr>
                <w:rFonts w:hint="eastAsia" w:ascii="仿宋_GB2312" w:eastAsia="仿宋_GB2312"/>
                <w:spacing w:val="-26"/>
                <w:sz w:val="24"/>
              </w:rPr>
              <w:t>人。内设立案庭、仲裁庭、调解室、办公室、档案室。</w:t>
            </w:r>
          </w:p>
          <w:p>
            <w:pPr>
              <w:spacing w:line="340" w:lineRule="exact"/>
              <w:ind w:firstLine="378" w:firstLineChars="200"/>
              <w:rPr>
                <w:rFonts w:ascii="仿宋_GB2312" w:eastAsia="仿宋_GB2312"/>
                <w:b/>
                <w:bCs/>
                <w:spacing w:val="-26"/>
                <w:sz w:val="24"/>
              </w:rPr>
            </w:pPr>
            <w:r>
              <w:rPr>
                <w:rFonts w:hint="eastAsia" w:ascii="仿宋_GB2312" w:eastAsia="仿宋_GB2312"/>
                <w:b/>
                <w:bCs/>
                <w:spacing w:val="-26"/>
                <w:sz w:val="24"/>
              </w:rPr>
              <w:t>二、部门（单位）整体支出管理及使用情况</w:t>
            </w:r>
          </w:p>
          <w:p>
            <w:pPr>
              <w:spacing w:line="340" w:lineRule="exact"/>
              <w:ind w:firstLine="376" w:firstLineChars="200"/>
              <w:rPr>
                <w:rFonts w:ascii="仿宋_GB2312" w:eastAsia="仿宋_GB2312"/>
                <w:spacing w:val="-26"/>
                <w:sz w:val="24"/>
              </w:rPr>
            </w:pPr>
            <w:r>
              <w:rPr>
                <w:rFonts w:ascii="仿宋_GB2312" w:eastAsia="仿宋_GB2312"/>
                <w:spacing w:val="-26"/>
                <w:sz w:val="24"/>
              </w:rPr>
              <w:t>2020</w:t>
            </w:r>
            <w:r>
              <w:rPr>
                <w:rFonts w:hint="eastAsia" w:ascii="仿宋_GB2312" w:eastAsia="仿宋_GB2312"/>
                <w:spacing w:val="-26"/>
                <w:sz w:val="24"/>
              </w:rPr>
              <w:t>年一般公共预算拨款收入</w:t>
            </w:r>
            <w:r>
              <w:rPr>
                <w:rFonts w:ascii="仿宋_GB2312" w:eastAsia="仿宋_GB2312"/>
                <w:spacing w:val="-26"/>
                <w:sz w:val="24"/>
              </w:rPr>
              <w:t>128.9</w:t>
            </w:r>
            <w:r>
              <w:rPr>
                <w:rFonts w:hint="eastAsia" w:ascii="仿宋_GB2312" w:eastAsia="仿宋_GB2312"/>
                <w:spacing w:val="-26"/>
                <w:sz w:val="24"/>
              </w:rPr>
              <w:t>万元，具体安排情况如下：</w:t>
            </w:r>
          </w:p>
          <w:p>
            <w:pPr>
              <w:spacing w:line="340" w:lineRule="exact"/>
              <w:ind w:firstLine="378" w:firstLineChars="200"/>
              <w:rPr>
                <w:rFonts w:ascii="仿宋_GB2312" w:eastAsia="仿宋_GB2312"/>
                <w:spacing w:val="-26"/>
                <w:sz w:val="24"/>
              </w:rPr>
            </w:pPr>
            <w:r>
              <w:rPr>
                <w:rFonts w:hint="eastAsia" w:ascii="仿宋_GB2312" w:eastAsia="仿宋_GB2312"/>
                <w:b/>
                <w:bCs/>
                <w:spacing w:val="-26"/>
                <w:sz w:val="24"/>
              </w:rPr>
              <w:t>（一）基本支出：</w:t>
            </w:r>
            <w:r>
              <w:rPr>
                <w:rFonts w:ascii="仿宋_GB2312" w:eastAsia="仿宋_GB2312"/>
                <w:spacing w:val="-26"/>
                <w:sz w:val="24"/>
              </w:rPr>
              <w:t>2020</w:t>
            </w:r>
            <w:r>
              <w:rPr>
                <w:rFonts w:hint="eastAsia" w:ascii="仿宋_GB2312" w:eastAsia="仿宋_GB2312"/>
                <w:spacing w:val="-26"/>
                <w:sz w:val="24"/>
              </w:rPr>
              <w:t>年年初预算数为</w:t>
            </w:r>
            <w:r>
              <w:rPr>
                <w:rFonts w:ascii="仿宋_GB2312" w:eastAsia="仿宋_GB2312"/>
                <w:spacing w:val="-26"/>
                <w:sz w:val="24"/>
              </w:rPr>
              <w:t>104.53</w:t>
            </w:r>
            <w:r>
              <w:rPr>
                <w:rFonts w:hint="eastAsia" w:ascii="仿宋_GB2312" w:eastAsia="仿宋_GB2312"/>
                <w:spacing w:val="-26"/>
                <w:sz w:val="24"/>
              </w:rPr>
              <w:t>万元，是指为保障单位机构正常运转、完成日常工作任务而发生的各项支出，包括用于基本工资、津贴补贴等人员经费以及办公费、印刷费、水电费、办公设备购置等日常公用经费。</w:t>
            </w:r>
          </w:p>
          <w:p>
            <w:pPr>
              <w:spacing w:line="340" w:lineRule="exact"/>
              <w:ind w:firstLine="378" w:firstLineChars="200"/>
              <w:rPr>
                <w:rFonts w:ascii="仿宋_GB2312" w:eastAsia="仿宋_GB2312"/>
                <w:spacing w:val="-26"/>
                <w:sz w:val="24"/>
              </w:rPr>
            </w:pPr>
            <w:r>
              <w:rPr>
                <w:rFonts w:hint="eastAsia" w:ascii="仿宋_GB2312" w:eastAsia="仿宋_GB2312"/>
                <w:b/>
                <w:bCs/>
                <w:spacing w:val="-26"/>
                <w:sz w:val="24"/>
              </w:rPr>
              <w:t>（二）项目支出：</w:t>
            </w:r>
            <w:r>
              <w:rPr>
                <w:rFonts w:ascii="仿宋_GB2312" w:eastAsia="仿宋_GB2312"/>
                <w:spacing w:val="-26"/>
                <w:sz w:val="24"/>
              </w:rPr>
              <w:t>2020</w:t>
            </w:r>
            <w:r>
              <w:rPr>
                <w:rFonts w:hint="eastAsia" w:ascii="仿宋_GB2312" w:eastAsia="仿宋_GB2312"/>
                <w:spacing w:val="-26"/>
                <w:sz w:val="24"/>
              </w:rPr>
              <w:t>年年初预算数为</w:t>
            </w:r>
            <w:r>
              <w:rPr>
                <w:rFonts w:ascii="仿宋_GB2312" w:eastAsia="仿宋_GB2312"/>
                <w:spacing w:val="-26"/>
                <w:sz w:val="24"/>
              </w:rPr>
              <w:t>15</w:t>
            </w:r>
            <w:r>
              <w:rPr>
                <w:rFonts w:hint="eastAsia" w:ascii="仿宋_GB2312" w:eastAsia="仿宋_GB2312"/>
                <w:spacing w:val="-26"/>
                <w:sz w:val="24"/>
              </w:rPr>
              <w:t>万元，是指单位为完成特定行政工作任务或事业发展目标而发生的支出，包括：办案经费支出</w:t>
            </w:r>
            <w:r>
              <w:rPr>
                <w:rFonts w:ascii="仿宋_GB2312" w:eastAsia="仿宋_GB2312"/>
                <w:spacing w:val="-26"/>
                <w:sz w:val="24"/>
              </w:rPr>
              <w:t>8</w:t>
            </w:r>
            <w:r>
              <w:rPr>
                <w:rFonts w:hint="eastAsia" w:ascii="仿宋_GB2312" w:eastAsia="仿宋_GB2312"/>
                <w:spacing w:val="-26"/>
                <w:sz w:val="24"/>
              </w:rPr>
              <w:t>万元，用于劳动人事争议仲裁办案；行政事业运行支出</w:t>
            </w:r>
            <w:r>
              <w:rPr>
                <w:rFonts w:ascii="仿宋_GB2312" w:eastAsia="仿宋_GB2312"/>
                <w:spacing w:val="-26"/>
                <w:sz w:val="24"/>
              </w:rPr>
              <w:t>4</w:t>
            </w:r>
            <w:r>
              <w:rPr>
                <w:rFonts w:hint="eastAsia" w:ascii="仿宋_GB2312" w:eastAsia="仿宋_GB2312"/>
                <w:spacing w:val="-26"/>
                <w:sz w:val="24"/>
              </w:rPr>
              <w:t>万元，用于公用经费运行；普法宣传经费</w:t>
            </w:r>
            <w:r>
              <w:rPr>
                <w:rFonts w:ascii="仿宋_GB2312" w:eastAsia="仿宋_GB2312"/>
                <w:spacing w:val="-26"/>
                <w:sz w:val="24"/>
              </w:rPr>
              <w:t>3</w:t>
            </w:r>
            <w:r>
              <w:rPr>
                <w:rFonts w:hint="eastAsia" w:ascii="仿宋_GB2312" w:eastAsia="仿宋_GB2312"/>
                <w:spacing w:val="-26"/>
                <w:sz w:val="24"/>
              </w:rPr>
              <w:t>万，用于劳动法律、法规宣传</w:t>
            </w:r>
          </w:p>
          <w:p>
            <w:pPr>
              <w:spacing w:line="340" w:lineRule="exact"/>
              <w:ind w:firstLine="378" w:firstLineChars="200"/>
              <w:rPr>
                <w:rFonts w:ascii="仿宋_GB2312" w:eastAsia="仿宋_GB2312"/>
                <w:b/>
                <w:bCs/>
                <w:spacing w:val="-26"/>
                <w:sz w:val="24"/>
              </w:rPr>
            </w:pPr>
            <w:r>
              <w:rPr>
                <w:rFonts w:hint="eastAsia" w:ascii="仿宋_GB2312" w:eastAsia="仿宋_GB2312"/>
                <w:b/>
                <w:bCs/>
                <w:spacing w:val="-26"/>
                <w:sz w:val="24"/>
              </w:rPr>
              <w:t>三、部门（单位）专项组织实施情况</w:t>
            </w:r>
          </w:p>
          <w:p>
            <w:pPr>
              <w:spacing w:line="340" w:lineRule="exact"/>
              <w:ind w:firstLine="376" w:firstLineChars="200"/>
              <w:rPr>
                <w:rFonts w:ascii="仿宋_GB2312" w:eastAsia="仿宋_GB2312"/>
                <w:spacing w:val="-26"/>
                <w:sz w:val="24"/>
              </w:rPr>
            </w:pPr>
            <w:r>
              <w:rPr>
                <w:rFonts w:ascii="仿宋_GB2312" w:eastAsia="仿宋_GB2312"/>
                <w:spacing w:val="-26"/>
                <w:sz w:val="24"/>
              </w:rPr>
              <w:t>1</w:t>
            </w:r>
            <w:r>
              <w:rPr>
                <w:rFonts w:hint="eastAsia" w:ascii="仿宋_GB2312" w:eastAsia="仿宋_GB2312"/>
                <w:spacing w:val="-26"/>
                <w:sz w:val="24"/>
              </w:rPr>
              <w:t>、</w:t>
            </w:r>
            <w:r>
              <w:rPr>
                <w:rFonts w:ascii="仿宋_GB2312" w:eastAsia="仿宋_GB2312"/>
                <w:spacing w:val="-26"/>
                <w:sz w:val="24"/>
              </w:rPr>
              <w:t>2020</w:t>
            </w:r>
            <w:r>
              <w:rPr>
                <w:rFonts w:hint="eastAsia" w:ascii="仿宋_GB2312" w:eastAsia="仿宋_GB2312"/>
                <w:spacing w:val="-26"/>
                <w:sz w:val="24"/>
              </w:rPr>
              <w:t>年度</w:t>
            </w:r>
            <w:r>
              <w:rPr>
                <w:rFonts w:ascii="仿宋_GB2312" w:eastAsia="仿宋_GB2312"/>
                <w:spacing w:val="-26"/>
                <w:sz w:val="24"/>
              </w:rPr>
              <w:t>,</w:t>
            </w:r>
            <w:r>
              <w:rPr>
                <w:rFonts w:hint="eastAsia" w:ascii="仿宋_GB2312" w:eastAsia="仿宋_GB2312"/>
                <w:spacing w:val="-26"/>
                <w:sz w:val="24"/>
              </w:rPr>
              <w:t>仲裁院共处理各类劳动人事争议纠纷</w:t>
            </w:r>
            <w:r>
              <w:rPr>
                <w:rFonts w:ascii="仿宋_GB2312" w:eastAsia="仿宋_GB2312"/>
                <w:spacing w:val="-26"/>
                <w:sz w:val="24"/>
              </w:rPr>
              <w:t>274</w:t>
            </w:r>
            <w:r>
              <w:rPr>
                <w:rFonts w:hint="eastAsia" w:ascii="仿宋_GB2312" w:eastAsia="仿宋_GB2312"/>
                <w:spacing w:val="-26"/>
                <w:sz w:val="24"/>
              </w:rPr>
              <w:t>件，</w:t>
            </w:r>
            <w:r>
              <w:rPr>
                <w:rFonts w:ascii="仿宋_GB2312" w:eastAsia="仿宋_GB2312"/>
                <w:spacing w:val="-26"/>
                <w:sz w:val="24"/>
              </w:rPr>
              <w:t>170</w:t>
            </w:r>
            <w:r>
              <w:rPr>
                <w:rFonts w:hint="eastAsia" w:ascii="仿宋_GB2312" w:eastAsia="仿宋_GB2312"/>
                <w:spacing w:val="-26"/>
                <w:sz w:val="24"/>
              </w:rPr>
              <w:t>余件小额争议在案前得已调解处理，共立案受理各类劳动人事争议案件</w:t>
            </w:r>
            <w:r>
              <w:rPr>
                <w:rFonts w:ascii="仿宋_GB2312" w:eastAsia="仿宋_GB2312"/>
                <w:spacing w:val="-26"/>
                <w:sz w:val="24"/>
              </w:rPr>
              <w:t>104</w:t>
            </w:r>
            <w:r>
              <w:rPr>
                <w:rFonts w:hint="eastAsia" w:ascii="仿宋_GB2312" w:eastAsia="仿宋_GB2312"/>
                <w:spacing w:val="-26"/>
                <w:sz w:val="24"/>
              </w:rPr>
              <w:t>件，已结案中裁决</w:t>
            </w:r>
            <w:r>
              <w:rPr>
                <w:rFonts w:ascii="仿宋_GB2312" w:eastAsia="仿宋_GB2312"/>
                <w:spacing w:val="-26"/>
                <w:sz w:val="24"/>
              </w:rPr>
              <w:t>69</w:t>
            </w:r>
            <w:r>
              <w:rPr>
                <w:rFonts w:hint="eastAsia" w:ascii="仿宋_GB2312" w:eastAsia="仿宋_GB2312"/>
                <w:spacing w:val="-26"/>
                <w:sz w:val="24"/>
              </w:rPr>
              <w:t>件、调撤</w:t>
            </w:r>
            <w:r>
              <w:rPr>
                <w:rFonts w:ascii="仿宋_GB2312" w:eastAsia="仿宋_GB2312"/>
                <w:spacing w:val="-26"/>
                <w:sz w:val="24"/>
              </w:rPr>
              <w:t>28</w:t>
            </w:r>
            <w:r>
              <w:rPr>
                <w:rFonts w:hint="eastAsia" w:ascii="仿宋_GB2312" w:eastAsia="仿宋_GB2312"/>
                <w:spacing w:val="-26"/>
                <w:sz w:val="24"/>
              </w:rPr>
              <w:t>件，不予受理</w:t>
            </w:r>
            <w:r>
              <w:rPr>
                <w:rFonts w:ascii="仿宋_GB2312" w:eastAsia="仿宋_GB2312"/>
                <w:spacing w:val="-26"/>
                <w:sz w:val="24"/>
              </w:rPr>
              <w:t>7</w:t>
            </w:r>
            <w:r>
              <w:rPr>
                <w:rFonts w:hint="eastAsia" w:ascii="仿宋_GB2312" w:eastAsia="仿宋_GB2312"/>
                <w:spacing w:val="-26"/>
                <w:sz w:val="24"/>
              </w:rPr>
              <w:t>件。</w:t>
            </w:r>
          </w:p>
          <w:p>
            <w:pPr>
              <w:spacing w:line="340" w:lineRule="exact"/>
              <w:ind w:firstLine="376" w:firstLineChars="200"/>
              <w:rPr>
                <w:rFonts w:ascii="仿宋_GB2312" w:eastAsia="仿宋_GB2312"/>
                <w:spacing w:val="-26"/>
                <w:sz w:val="24"/>
              </w:rPr>
            </w:pPr>
            <w:r>
              <w:rPr>
                <w:rFonts w:ascii="仿宋_GB2312" w:eastAsia="仿宋_GB2312"/>
                <w:spacing w:val="-26"/>
                <w:sz w:val="24"/>
              </w:rPr>
              <w:t>2</w:t>
            </w:r>
            <w:r>
              <w:rPr>
                <w:rFonts w:hint="eastAsia" w:ascii="仿宋_GB2312" w:eastAsia="仿宋_GB2312"/>
                <w:spacing w:val="-26"/>
                <w:sz w:val="24"/>
              </w:rPr>
              <w:t>、</w:t>
            </w:r>
            <w:r>
              <w:rPr>
                <w:rFonts w:ascii="仿宋_GB2312" w:eastAsia="仿宋_GB2312"/>
                <w:spacing w:val="-26"/>
                <w:sz w:val="24"/>
              </w:rPr>
              <w:t>2020</w:t>
            </w:r>
            <w:r>
              <w:rPr>
                <w:rFonts w:hint="eastAsia" w:ascii="仿宋_GB2312" w:eastAsia="仿宋_GB2312"/>
                <w:spacing w:val="-26"/>
                <w:sz w:val="24"/>
              </w:rPr>
              <w:t>年</w:t>
            </w:r>
            <w:r>
              <w:rPr>
                <w:rFonts w:ascii="仿宋_GB2312" w:eastAsia="仿宋_GB2312"/>
                <w:spacing w:val="-26"/>
                <w:sz w:val="24"/>
              </w:rPr>
              <w:t>,</w:t>
            </w:r>
            <w:r>
              <w:rPr>
                <w:rFonts w:hint="eastAsia" w:ascii="仿宋_GB2312" w:eastAsia="仿宋_GB2312"/>
                <w:spacing w:val="-26"/>
                <w:sz w:val="24"/>
              </w:rPr>
              <w:t>受新型冠状病毒感染肺炎疫情影响，部分行业企业面临较大的生产经营压力，劳动关系不稳定性增加。为充分发挥人社行政职能，支持企业依法规范有序复工复产，保障经济健康发展。先后</w:t>
            </w:r>
            <w:r>
              <w:rPr>
                <w:rFonts w:ascii="仿宋_GB2312" w:eastAsia="仿宋_GB2312"/>
                <w:spacing w:val="-26"/>
                <w:sz w:val="24"/>
              </w:rPr>
              <w:t>3</w:t>
            </w:r>
            <w:r>
              <w:rPr>
                <w:rFonts w:hint="eastAsia" w:ascii="仿宋_GB2312" w:eastAsia="仿宋_GB2312"/>
                <w:spacing w:val="-26"/>
                <w:sz w:val="24"/>
              </w:rPr>
              <w:t>次组建“送法服务队”，针对企业法律服务需求开展“点对点”送法上门服务。送法活动月中，“送法服务队”通过座谈调研等方式了解了企业在复工复产方面遇到的实际困难，解答了企业关心的劳动用工、工资福利、休息休假等问题，宣传了劳动法律法规政策，与企业就建立内部争议预防协商机制进行了探讨，并对企业制定规范的用工规章制度提出了建议，为企业防范化解法律风险提供了及时可靠的法律帮助，向用工单位赠送《人社防疫政策汇编》、《劳动法》、《劳动合同法》等</w:t>
            </w:r>
            <w:r>
              <w:rPr>
                <w:rFonts w:ascii="仿宋_GB2312" w:eastAsia="仿宋_GB2312"/>
                <w:spacing w:val="-26"/>
                <w:sz w:val="24"/>
              </w:rPr>
              <w:t>3000</w:t>
            </w:r>
            <w:r>
              <w:rPr>
                <w:rFonts w:hint="eastAsia" w:ascii="仿宋_GB2312" w:eastAsia="仿宋_GB2312"/>
                <w:spacing w:val="-26"/>
                <w:sz w:val="24"/>
              </w:rPr>
              <w:t>余套。</w:t>
            </w:r>
          </w:p>
          <w:p>
            <w:pPr>
              <w:spacing w:line="340" w:lineRule="exact"/>
              <w:ind w:firstLine="378" w:firstLineChars="200"/>
              <w:rPr>
                <w:rFonts w:ascii="仿宋_GB2312" w:eastAsia="仿宋_GB2312"/>
                <w:b/>
                <w:bCs/>
                <w:spacing w:val="-26"/>
                <w:sz w:val="24"/>
              </w:rPr>
            </w:pPr>
            <w:r>
              <w:rPr>
                <w:rFonts w:hint="eastAsia" w:ascii="仿宋_GB2312" w:eastAsia="仿宋_GB2312"/>
                <w:b/>
                <w:bCs/>
                <w:spacing w:val="-26"/>
                <w:sz w:val="24"/>
              </w:rPr>
              <w:t>四、部门（单位）整体支出绩效情况</w:t>
            </w:r>
          </w:p>
          <w:p>
            <w:pPr>
              <w:spacing w:line="340" w:lineRule="exact"/>
              <w:ind w:firstLine="376" w:firstLineChars="200"/>
              <w:rPr>
                <w:rFonts w:ascii="仿宋_GB2312" w:eastAsia="仿宋_GB2312"/>
                <w:spacing w:val="-26"/>
                <w:sz w:val="24"/>
              </w:rPr>
            </w:pPr>
            <w:r>
              <w:rPr>
                <w:rFonts w:ascii="仿宋_GB2312" w:eastAsia="仿宋_GB2312"/>
                <w:spacing w:val="-26"/>
                <w:sz w:val="24"/>
              </w:rPr>
              <w:t>2020</w:t>
            </w:r>
            <w:r>
              <w:rPr>
                <w:rFonts w:hint="eastAsia" w:ascii="仿宋_GB2312" w:eastAsia="仿宋_GB2312"/>
                <w:spacing w:val="-26"/>
                <w:sz w:val="24"/>
              </w:rPr>
              <w:t>年以来，仲裁院院深入贯彻落实区委区政府应对新冠肺炎疫情工作的决策部署，创新工作思维，以切实平衡各方利益为重心，为达到既维护劳动者合法权益，又兼顾用工单位利益；既让劳动者待遇得到落实，又促进用工单位健康和谐发展，仲裁院始终把“调解”作为一条主线贯穿其中，通过调解组织的先行调解、案前的电话调解、庭审中的面对面调解、庭审后的背对背调解、借助行业协会力量调解等多种灵活的调解方式，提高调解成功率，使“重调解、慎裁决”落到实处。全年共接待共接待咨询</w:t>
            </w:r>
            <w:r>
              <w:rPr>
                <w:rFonts w:ascii="仿宋_GB2312" w:eastAsia="仿宋_GB2312"/>
                <w:spacing w:val="-26"/>
                <w:sz w:val="24"/>
              </w:rPr>
              <w:t>780</w:t>
            </w:r>
            <w:r>
              <w:rPr>
                <w:rFonts w:hint="eastAsia" w:ascii="仿宋_GB2312" w:eastAsia="仿宋_GB2312"/>
                <w:spacing w:val="-26"/>
                <w:sz w:val="24"/>
              </w:rPr>
              <w:t>余人次，处理各类劳动人事争议纠纷</w:t>
            </w:r>
            <w:r>
              <w:rPr>
                <w:rFonts w:ascii="仿宋_GB2312" w:eastAsia="仿宋_GB2312"/>
                <w:spacing w:val="-26"/>
                <w:sz w:val="24"/>
              </w:rPr>
              <w:t>274</w:t>
            </w:r>
            <w:r>
              <w:rPr>
                <w:rFonts w:hint="eastAsia" w:ascii="仿宋_GB2312" w:eastAsia="仿宋_GB2312"/>
                <w:spacing w:val="-26"/>
                <w:sz w:val="24"/>
              </w:rPr>
              <w:t>件，</w:t>
            </w:r>
            <w:r>
              <w:rPr>
                <w:rFonts w:ascii="仿宋_GB2312" w:eastAsia="仿宋_GB2312"/>
                <w:spacing w:val="-26"/>
                <w:sz w:val="24"/>
              </w:rPr>
              <w:t>170</w:t>
            </w:r>
            <w:r>
              <w:rPr>
                <w:rFonts w:hint="eastAsia" w:ascii="仿宋_GB2312" w:eastAsia="仿宋_GB2312"/>
                <w:spacing w:val="-26"/>
                <w:sz w:val="24"/>
              </w:rPr>
              <w:t>余件小额争议在案前得已调解处理，共立案受理各类劳动人事争议案件</w:t>
            </w:r>
            <w:r>
              <w:rPr>
                <w:rFonts w:ascii="仿宋_GB2312" w:eastAsia="仿宋_GB2312"/>
                <w:spacing w:val="-26"/>
                <w:sz w:val="24"/>
              </w:rPr>
              <w:t>104</w:t>
            </w:r>
            <w:r>
              <w:rPr>
                <w:rFonts w:hint="eastAsia" w:ascii="仿宋_GB2312" w:eastAsia="仿宋_GB2312"/>
                <w:spacing w:val="-26"/>
                <w:sz w:val="24"/>
              </w:rPr>
              <w:t>件，已结案中裁决</w:t>
            </w:r>
            <w:r>
              <w:rPr>
                <w:rFonts w:ascii="仿宋_GB2312" w:eastAsia="仿宋_GB2312"/>
                <w:spacing w:val="-26"/>
                <w:sz w:val="24"/>
              </w:rPr>
              <w:t>69</w:t>
            </w:r>
            <w:r>
              <w:rPr>
                <w:rFonts w:hint="eastAsia" w:ascii="仿宋_GB2312" w:eastAsia="仿宋_GB2312"/>
                <w:spacing w:val="-26"/>
                <w:sz w:val="24"/>
              </w:rPr>
              <w:t>件、调撤</w:t>
            </w:r>
            <w:r>
              <w:rPr>
                <w:rFonts w:ascii="仿宋_GB2312" w:eastAsia="仿宋_GB2312"/>
                <w:spacing w:val="-26"/>
                <w:sz w:val="24"/>
              </w:rPr>
              <w:t>28</w:t>
            </w:r>
            <w:r>
              <w:rPr>
                <w:rFonts w:hint="eastAsia" w:ascii="仿宋_GB2312" w:eastAsia="仿宋_GB2312"/>
                <w:spacing w:val="-26"/>
                <w:sz w:val="24"/>
              </w:rPr>
              <w:t>件，不予受理</w:t>
            </w:r>
            <w:r>
              <w:rPr>
                <w:rFonts w:ascii="仿宋_GB2312" w:eastAsia="仿宋_GB2312"/>
                <w:spacing w:val="-26"/>
                <w:sz w:val="24"/>
              </w:rPr>
              <w:t>7</w:t>
            </w:r>
            <w:r>
              <w:rPr>
                <w:rFonts w:hint="eastAsia" w:ascii="仿宋_GB2312" w:eastAsia="仿宋_GB2312"/>
                <w:spacing w:val="-26"/>
                <w:sz w:val="24"/>
              </w:rPr>
              <w:t>件。调解率达</w:t>
            </w:r>
            <w:r>
              <w:rPr>
                <w:rFonts w:ascii="仿宋_GB2312" w:eastAsia="仿宋_GB2312"/>
                <w:spacing w:val="-26"/>
                <w:sz w:val="24"/>
              </w:rPr>
              <w:t>72%</w:t>
            </w:r>
            <w:r>
              <w:rPr>
                <w:rFonts w:hint="eastAsia" w:ascii="仿宋_GB2312" w:eastAsia="仿宋_GB2312"/>
                <w:spacing w:val="-26"/>
                <w:sz w:val="24"/>
              </w:rPr>
              <w:t>，按期结案率达</w:t>
            </w:r>
            <w:r>
              <w:rPr>
                <w:rFonts w:ascii="仿宋_GB2312" w:eastAsia="仿宋_GB2312"/>
                <w:spacing w:val="-26"/>
                <w:sz w:val="24"/>
              </w:rPr>
              <w:t>100%</w:t>
            </w:r>
            <w:r>
              <w:rPr>
                <w:rFonts w:hint="eastAsia" w:ascii="仿宋_GB2312" w:eastAsia="仿宋_GB2312"/>
                <w:spacing w:val="-26"/>
                <w:sz w:val="24"/>
              </w:rPr>
              <w:t>。</w:t>
            </w:r>
          </w:p>
          <w:p>
            <w:pPr>
              <w:spacing w:line="340" w:lineRule="exact"/>
              <w:ind w:firstLine="378" w:firstLineChars="200"/>
              <w:rPr>
                <w:rFonts w:ascii="仿宋_GB2312" w:eastAsia="仿宋_GB2312"/>
                <w:b/>
                <w:bCs/>
                <w:spacing w:val="-26"/>
                <w:sz w:val="24"/>
              </w:rPr>
            </w:pPr>
            <w:r>
              <w:rPr>
                <w:rFonts w:hint="eastAsia" w:ascii="仿宋_GB2312" w:eastAsia="仿宋_GB2312"/>
                <w:b/>
                <w:bCs/>
                <w:spacing w:val="-26"/>
                <w:sz w:val="24"/>
              </w:rPr>
              <w:t>五、存在的主要问题</w:t>
            </w:r>
          </w:p>
          <w:p>
            <w:pPr>
              <w:spacing w:line="340" w:lineRule="exact"/>
              <w:ind w:firstLine="376" w:firstLineChars="200"/>
              <w:rPr>
                <w:rFonts w:ascii="仿宋_GB2312" w:eastAsia="仿宋_GB2312"/>
                <w:spacing w:val="-26"/>
                <w:sz w:val="24"/>
              </w:rPr>
            </w:pPr>
            <w:r>
              <w:rPr>
                <w:rFonts w:hint="eastAsia" w:ascii="仿宋_GB2312" w:eastAsia="仿宋_GB2312"/>
                <w:spacing w:val="-26"/>
                <w:sz w:val="24"/>
              </w:rPr>
              <w:t>仲裁办案经费依然存在一定不足，随着我国法律、法规的逐步完善，劳动者依法维权的意识越来越强，劳动争议案件越来越多。近年来，我区劳动人事争议案件一直居高不下</w:t>
            </w:r>
            <w:r>
              <w:rPr>
                <w:rFonts w:ascii="仿宋_GB2312" w:eastAsia="仿宋_GB2312"/>
                <w:spacing w:val="-26"/>
                <w:sz w:val="24"/>
              </w:rPr>
              <w:t>,</w:t>
            </w:r>
            <w:r>
              <w:rPr>
                <w:rFonts w:hint="eastAsia" w:ascii="仿宋_GB2312" w:eastAsia="仿宋_GB2312"/>
                <w:spacing w:val="-26"/>
                <w:sz w:val="24"/>
              </w:rPr>
              <w:t>年接待受理劳动人事仲裁案件近</w:t>
            </w:r>
            <w:r>
              <w:rPr>
                <w:rFonts w:ascii="仿宋_GB2312" w:eastAsia="仿宋_GB2312"/>
                <w:spacing w:val="-26"/>
                <w:sz w:val="24"/>
              </w:rPr>
              <w:t>300</w:t>
            </w:r>
            <w:r>
              <w:rPr>
                <w:rFonts w:hint="eastAsia" w:ascii="仿宋_GB2312" w:eastAsia="仿宋_GB2312"/>
                <w:spacing w:val="-26"/>
                <w:sz w:val="24"/>
              </w:rPr>
              <w:t>起，特别是仲裁零成本受理规定直接导致了案件受理量剧增，且争议案件趋向新领域和复杂性、群体性、社会影响性发展，财政预算安排的仲裁办案专项经费无法保障案件办理所需的调查勘验、取证、文书印制送达、证人误工补助和交通等费用。</w:t>
            </w:r>
          </w:p>
        </w:tc>
      </w:tr>
    </w:tbl>
    <w:p>
      <w:pPr>
        <w:spacing w:line="348" w:lineRule="auto"/>
        <w:rPr>
          <w:rFonts w:eastAsia="黑体" w:cs="黑体"/>
          <w:bCs/>
          <w:sz w:val="32"/>
          <w:szCs w:val="32"/>
        </w:rPr>
      </w:pPr>
    </w:p>
    <w:p>
      <w:pPr>
        <w:spacing w:line="348" w:lineRule="auto"/>
        <w:rPr>
          <w:rFonts w:eastAsia="黑体" w:cs="黑体"/>
          <w:bCs/>
          <w:sz w:val="32"/>
          <w:szCs w:val="32"/>
        </w:rPr>
      </w:pPr>
      <w:r>
        <w:rPr>
          <w:rFonts w:hint="eastAsia" w:eastAsia="黑体" w:cs="黑体"/>
          <w:bCs/>
          <w:sz w:val="32"/>
          <w:szCs w:val="32"/>
        </w:rPr>
        <w:t>附件</w:t>
      </w:r>
      <w:r>
        <w:rPr>
          <w:rFonts w:eastAsia="黑体" w:cs="黑体"/>
          <w:bCs/>
          <w:sz w:val="32"/>
          <w:szCs w:val="32"/>
        </w:rPr>
        <w:t>3-2</w:t>
      </w:r>
    </w:p>
    <w:p>
      <w:pPr>
        <w:spacing w:beforeLines="100" w:afterLines="100" w:line="400" w:lineRule="exact"/>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w:t>
            </w:r>
            <w:r>
              <w:rPr>
                <w:rFonts w:ascii="仿宋_GB2312" w:hAnsi="宋体" w:eastAsia="仿宋_GB2312" w:cs="宋体"/>
                <w:kern w:val="0"/>
                <w:sz w:val="18"/>
                <w:szCs w:val="18"/>
              </w:rPr>
              <w:t>2018</w:t>
            </w:r>
            <w:r>
              <w:rPr>
                <w:rFonts w:hint="eastAsia" w:ascii="仿宋_GB2312" w:hAnsi="宋体" w:eastAsia="仿宋_GB2312" w:cs="宋体"/>
                <w:kern w:val="0"/>
                <w:sz w:val="18"/>
                <w:szCs w:val="18"/>
              </w:rPr>
              <w:t>年对各部门的部门工作实绩考核分数折算考核内容设置。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0F"/>
    <w:rsid w:val="002E02F0"/>
    <w:rsid w:val="00445F61"/>
    <w:rsid w:val="007D5BC7"/>
    <w:rsid w:val="008D22D0"/>
    <w:rsid w:val="00972550"/>
    <w:rsid w:val="00A55E30"/>
    <w:rsid w:val="00AE7EED"/>
    <w:rsid w:val="00E13031"/>
    <w:rsid w:val="00E13C0F"/>
    <w:rsid w:val="23FD77B1"/>
    <w:rsid w:val="2AB66C88"/>
    <w:rsid w:val="3A9B0050"/>
    <w:rsid w:val="3DC035A5"/>
    <w:rsid w:val="6ACB156E"/>
    <w:rsid w:val="771C5B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4090</Words>
  <Characters>4352</Characters>
  <Lines>0</Lines>
  <Paragraphs>0</Paragraphs>
  <TotalTime>59</TotalTime>
  <ScaleCrop>false</ScaleCrop>
  <LinksUpToDate>false</LinksUpToDate>
  <CharactersWithSpaces>4858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2021-06-29T00:37:00Z</dcterms:created>
  <dc:creator>Administrator</dc:creator>
  <cp:lastModifiedBy>旁   白。</cp:lastModifiedBy>
  <cp:lastPrinted>2021-06-29T07:22:00Z</cp:lastPrinted>
  <dcterms:modified xsi:type="dcterms:W3CDTF">2022-09-02T15:24:43Z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9C9117C492074C88A827D7391E7C9B6A</vt:lpwstr>
  </property>
</Properties>
</file>