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49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750" w:hRule="atLeast"/>
          <w:tblCellSpacing w:w="0" w:type="dxa"/>
          <w:jc w:val="center"/>
        </w:trPr>
        <w:tc>
          <w:tcPr>
            <w:tcW w:w="0" w:type="auto"/>
            <w:shd w:val="clear"/>
            <w:vAlign w:val="center"/>
          </w:tcPr>
          <w:p>
            <w:pPr>
              <w:keepNext w:val="0"/>
              <w:keepLines w:val="0"/>
              <w:widowControl/>
              <w:suppressLineNumbers w:val="0"/>
              <w:spacing w:line="750" w:lineRule="atLeast"/>
              <w:ind w:left="0" w:firstLine="0"/>
              <w:jc w:val="center"/>
              <w:rPr>
                <w:rFonts w:hint="eastAsia" w:ascii="宋体" w:hAnsi="宋体" w:eastAsia="宋体" w:cs="宋体"/>
                <w:i w:val="0"/>
                <w:iCs w:val="0"/>
                <w:caps w:val="0"/>
                <w:color w:val="006699"/>
                <w:spacing w:val="0"/>
                <w:sz w:val="27"/>
                <w:szCs w:val="27"/>
              </w:rPr>
            </w:pPr>
            <w:r>
              <w:rPr>
                <w:rStyle w:val="5"/>
                <w:rFonts w:hint="eastAsia" w:ascii="宋体" w:hAnsi="宋体" w:eastAsia="宋体" w:cs="宋体"/>
                <w:i w:val="0"/>
                <w:iCs w:val="0"/>
                <w:caps w:val="0"/>
                <w:color w:val="006699"/>
                <w:spacing w:val="0"/>
                <w:kern w:val="0"/>
                <w:sz w:val="27"/>
                <w:szCs w:val="27"/>
                <w:lang w:val="en-US" w:eastAsia="zh-CN" w:bidi="ar"/>
              </w:rPr>
              <w:t>岳阳楼区水利局告知承诺制证明事项目录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 w:hRule="atLeast"/>
          <w:tblCellSpacing w:w="0" w:type="dxa"/>
          <w:jc w:val="center"/>
        </w:trPr>
        <w:tc>
          <w:tcPr>
            <w:tcW w:w="0" w:type="auto"/>
            <w:shd w:val="clear"/>
            <w:vAlign w:val="center"/>
          </w:tcPr>
          <w:p>
            <w:pPr>
              <w:spacing w:line="375" w:lineRule="atLeast"/>
              <w:jc w:val="center"/>
              <w:rPr>
                <w:rFonts w:hint="eastAsia" w:ascii="宋体" w:hAnsi="宋体" w:eastAsia="宋体" w:cs="宋体"/>
                <w:i w:val="0"/>
                <w:iCs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50" w:hRule="atLeast"/>
          <w:tblCellSpacing w:w="0" w:type="dxa"/>
          <w:jc w:val="center"/>
        </w:trPr>
        <w:tc>
          <w:tcPr>
            <w:tcW w:w="0" w:type="auto"/>
            <w:shd w:val="clear"/>
            <w:vAlign w:val="center"/>
          </w:tcPr>
          <w:tbl>
            <w:tblPr>
              <w:tblW w:w="44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0" w:type="auto"/>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bookmarkStart w:id="0" w:name="_GoBack"/>
                  <w:bookmarkEnd w:id="0"/>
                </w:p>
                <w:tbl>
                  <w:tblPr>
                    <w:tblW w:w="0" w:type="auto"/>
                    <w:tblInd w:w="1"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361"/>
                    <w:gridCol w:w="561"/>
                    <w:gridCol w:w="698"/>
                    <w:gridCol w:w="1998"/>
                    <w:gridCol w:w="415"/>
                    <w:gridCol w:w="429"/>
                    <w:gridCol w:w="645"/>
                    <w:gridCol w:w="440"/>
                    <w:gridCol w:w="393"/>
                    <w:gridCol w:w="393"/>
                    <w:gridCol w:w="393"/>
                    <w:gridCol w:w="422"/>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750"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序号</w:t>
                        </w:r>
                      </w:p>
                    </w:tc>
                    <w:tc>
                      <w:tcPr>
                        <w:tcW w:w="1590"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名称</w:t>
                        </w:r>
                      </w:p>
                    </w:tc>
                    <w:tc>
                      <w:tcPr>
                        <w:tcW w:w="1590"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用途</w:t>
                        </w:r>
                      </w:p>
                    </w:tc>
                    <w:tc>
                      <w:tcPr>
                        <w:tcW w:w="6780"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设定依据</w:t>
                        </w:r>
                      </w:p>
                    </w:tc>
                    <w:tc>
                      <w:tcPr>
                        <w:tcW w:w="2400"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实施基本情况</w:t>
                        </w:r>
                      </w:p>
                    </w:tc>
                    <w:tc>
                      <w:tcPr>
                        <w:tcW w:w="3735"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行使层级</w:t>
                        </w:r>
                      </w:p>
                    </w:tc>
                    <w:tc>
                      <w:tcPr>
                        <w:tcW w:w="100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类型</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75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18"/>
                            <w:szCs w:val="18"/>
                          </w:rPr>
                        </w:pPr>
                      </w:p>
                    </w:tc>
                    <w:tc>
                      <w:tcPr>
                        <w:tcW w:w="159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18"/>
                            <w:szCs w:val="18"/>
                          </w:rPr>
                        </w:pPr>
                      </w:p>
                    </w:tc>
                    <w:tc>
                      <w:tcPr>
                        <w:tcW w:w="159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18"/>
                            <w:szCs w:val="18"/>
                          </w:rPr>
                        </w:pPr>
                      </w:p>
                    </w:tc>
                    <w:tc>
                      <w:tcPr>
                        <w:tcW w:w="580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依据名称、文号及条文内容</w:t>
                        </w:r>
                      </w:p>
                    </w:tc>
                    <w:tc>
                      <w:tcPr>
                        <w:tcW w:w="96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层级</w:t>
                        </w:r>
                      </w:p>
                    </w:tc>
                    <w:tc>
                      <w:tcPr>
                        <w:tcW w:w="10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索要单位</w:t>
                        </w:r>
                      </w:p>
                    </w:tc>
                    <w:tc>
                      <w:tcPr>
                        <w:tcW w:w="135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开具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单位</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省部级</w:t>
                        </w:r>
                      </w:p>
                    </w:tc>
                    <w:tc>
                      <w:tcPr>
                        <w:tcW w:w="88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市级</w:t>
                        </w:r>
                      </w:p>
                    </w:tc>
                    <w:tc>
                      <w:tcPr>
                        <w:tcW w:w="88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县级</w:t>
                        </w:r>
                      </w:p>
                    </w:tc>
                    <w:tc>
                      <w:tcPr>
                        <w:tcW w:w="88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乡级及其他</w:t>
                        </w:r>
                      </w:p>
                    </w:tc>
                    <w:tc>
                      <w:tcPr>
                        <w:tcW w:w="100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75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1</w:t>
                        </w:r>
                      </w:p>
                    </w:tc>
                    <w:tc>
                      <w:tcPr>
                        <w:tcW w:w="159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与第三者利害关系的说明和协议</w:t>
                        </w:r>
                      </w:p>
                    </w:tc>
                    <w:tc>
                      <w:tcPr>
                        <w:tcW w:w="159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办理取水许可审批水行政许可手续</w:t>
                        </w:r>
                      </w:p>
                    </w:tc>
                    <w:tc>
                      <w:tcPr>
                        <w:tcW w:w="580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《取水许可和水资源费征收管理条例》（国务院令第460号）第十一条：申请取水应当提交下列材料：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（一）申请书；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（二）与第三者利害关系的相关说明；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（三）属于备案项目的，提供有关备案材料；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（四）国务院水行政主管部门规定的其他材料。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建设项目需要取水的，申请人还应当提交建设项目水资源论证报告书。论证报告书应当包括取水水源、用水合理性以及对生态与环境的影响等内容。</w:t>
                        </w:r>
                      </w:p>
                    </w:tc>
                    <w:tc>
                      <w:tcPr>
                        <w:tcW w:w="96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行政法规</w:t>
                        </w:r>
                      </w:p>
                    </w:tc>
                    <w:tc>
                      <w:tcPr>
                        <w:tcW w:w="10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水行政主管部门</w:t>
                        </w:r>
                      </w:p>
                    </w:tc>
                    <w:tc>
                      <w:tcPr>
                        <w:tcW w:w="135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有利害关系的第三者所有权人</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w:t>
                        </w:r>
                      </w:p>
                    </w:tc>
                    <w:tc>
                      <w:tcPr>
                        <w:tcW w:w="88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w:t>
                        </w:r>
                      </w:p>
                    </w:tc>
                    <w:tc>
                      <w:tcPr>
                        <w:tcW w:w="88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w:t>
                        </w:r>
                      </w:p>
                    </w:tc>
                    <w:tc>
                      <w:tcPr>
                        <w:tcW w:w="885"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18"/>
                            <w:szCs w:val="18"/>
                          </w:rPr>
                        </w:pPr>
                      </w:p>
                    </w:tc>
                    <w:tc>
                      <w:tcPr>
                        <w:tcW w:w="100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行政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许可</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2</w:t>
                        </w:r>
                      </w:p>
                    </w:tc>
                    <w:tc>
                      <w:tcPr>
                        <w:tcW w:w="159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与第三者利害关系的说明和协议</w:t>
                        </w:r>
                      </w:p>
                    </w:tc>
                    <w:tc>
                      <w:tcPr>
                        <w:tcW w:w="159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办理占用农业灌溉水源、灌排工程设施审批水行政许可手续</w:t>
                        </w:r>
                      </w:p>
                    </w:tc>
                    <w:tc>
                      <w:tcPr>
                        <w:tcW w:w="580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1.《农田水利条例》（国务院令第669号）第二十四条: 新建、改建、扩建建设工程确需占用农业灌溉水源、农田水利工程设施的，应当与取用水的单位、个人或者农田水利工程所有权人协商，并报经有管辖权的县级以上地方人民政府水行政主管部门同意。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2. 《占用农业灌溉水源、灌排工程设施补偿办法》（1995年11月13日 水政资[1995]457号发布，2014年8月19日水利部令第46号修改）第八条: 占用农业灌溉水源、灌排工程设施3年以上的(含3年) ，占用者应当负责兴建与被占用的农业灌溉水源工程、灌排工程设施效益相当的替代工程。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无条件兴建替代工程的，占用者应当按照新建被占用等量等效替代工程设施的总投资额缴纳开发补偿费。具体补偿数额，由被占用工程的管理单位编制提出占用补偿方案，经法定的评估机构评定后，由管辖被占用农业灌溉水源工程、灌排工程设施的水行政主管部门审核后，报同级物价、财政部门审定。</w:t>
                        </w:r>
                      </w:p>
                    </w:tc>
                    <w:tc>
                      <w:tcPr>
                        <w:tcW w:w="96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行政法规</w:t>
                        </w:r>
                      </w:p>
                    </w:tc>
                    <w:tc>
                      <w:tcPr>
                        <w:tcW w:w="10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水行政主管部门</w:t>
                        </w:r>
                      </w:p>
                    </w:tc>
                    <w:tc>
                      <w:tcPr>
                        <w:tcW w:w="135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涉及被占用农业灌溉水源、灌排工程设施的单位、个人或者农田水利工程所有权人</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w:t>
                        </w:r>
                      </w:p>
                    </w:tc>
                    <w:tc>
                      <w:tcPr>
                        <w:tcW w:w="88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w:t>
                        </w:r>
                      </w:p>
                    </w:tc>
                    <w:tc>
                      <w:tcPr>
                        <w:tcW w:w="88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w:t>
                        </w:r>
                      </w:p>
                    </w:tc>
                    <w:tc>
                      <w:tcPr>
                        <w:tcW w:w="885"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18"/>
                            <w:szCs w:val="18"/>
                          </w:rPr>
                        </w:pPr>
                      </w:p>
                    </w:tc>
                    <w:tc>
                      <w:tcPr>
                        <w:tcW w:w="100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行政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许可</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75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3</w:t>
                        </w:r>
                      </w:p>
                    </w:tc>
                    <w:tc>
                      <w:tcPr>
                        <w:tcW w:w="159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与第三者利害关系的说明和协议</w:t>
                        </w:r>
                      </w:p>
                    </w:tc>
                    <w:tc>
                      <w:tcPr>
                        <w:tcW w:w="159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办理洪水影响评价（水工程建设规划同意书审核水行政许可）手续</w:t>
                        </w:r>
                      </w:p>
                    </w:tc>
                    <w:tc>
                      <w:tcPr>
                        <w:tcW w:w="580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1.《中华人民共和国水法》第十九条  建设水工程，必须符合流域综合规划。在国家确定的重要江河、湖泊和跨省、自治区、直辖市的江河、湖泊上建设水工程，未取得有关流域管理机构签署的符合流域综合规划要求的规划同意书的，建设单位不得开工建设；在其他江河、湖泊上建设水工程，未取得县级以上地方人民政府水行政主管部门按照管理权限签署的符合流域综合规划要求的规划同意书的，建设单位不得开工建设。水工程建设涉及防洪的，依照防洪法的有关规定执行；涉及其他地区和行业的，建设单位应当事先征求有关地区和部门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2.《水工程建设规划同意书制度管理办法》（试行）(水利部令第31号)第六条　水工程建设单位（以下简称建设单位）应当在水工程的（预）可行性研究报告（项目申请报告、备案材料）报请审批（核准、备案）前，向有水工程建设规划同意书审查签署权限的流域管理机构或者县级以上地方人民政府水行政主管部门（以下简称审查签署机关）提出水工程建设规划同意书申请，并提交下列材料：（一）水工程建设规划同意书申请表；（二）拟报批水工程的（预）可行性研究报告（项目申请报告、备案材料）（三）与第三者利害关系的相关说明；（四）审查签署机关要求的其他材料。</w:t>
                        </w:r>
                      </w:p>
                    </w:tc>
                    <w:tc>
                      <w:tcPr>
                        <w:tcW w:w="96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行政法规</w:t>
                        </w:r>
                      </w:p>
                    </w:tc>
                    <w:tc>
                      <w:tcPr>
                        <w:tcW w:w="10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水行政主管部门</w:t>
                        </w:r>
                      </w:p>
                    </w:tc>
                    <w:tc>
                      <w:tcPr>
                        <w:tcW w:w="135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有利害关系的第三者所有权人</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w:t>
                        </w:r>
                      </w:p>
                    </w:tc>
                    <w:tc>
                      <w:tcPr>
                        <w:tcW w:w="88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w:t>
                        </w:r>
                      </w:p>
                    </w:tc>
                    <w:tc>
                      <w:tcPr>
                        <w:tcW w:w="88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w:t>
                        </w:r>
                      </w:p>
                    </w:tc>
                    <w:tc>
                      <w:tcPr>
                        <w:tcW w:w="885"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18"/>
                            <w:szCs w:val="18"/>
                          </w:rPr>
                        </w:pPr>
                      </w:p>
                    </w:tc>
                    <w:tc>
                      <w:tcPr>
                        <w:tcW w:w="100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行政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bdr w:val="none" w:color="auto" w:sz="0" w:space="0"/>
                          </w:rPr>
                          <w:t>许可</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sz w:val="21"/>
                      <w:szCs w:val="21"/>
                      <w:bdr w:val="none" w:color="auto" w:sz="0" w:space="0"/>
                    </w:rPr>
                    <w:t>为深入贯彻党中央国务院、省委省政府和市委市政府关于深化“放管服”改革、优化营商环境的决策部署，进一步方便群众和企业办事、优化营商环境、提高政府服务能力，岳阳市司法局牵头持续开展“减证便民”行动，我市首批352项证明事项全面实行告知承诺制，其中市水利局3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sz w:val="21"/>
                      <w:szCs w:val="21"/>
                      <w:bdr w:val="none" w:color="auto" w:sz="0" w:space="0"/>
                    </w:rPr>
                    <w:t>据了解，过去，人们去行政机关办理行政事项时，为提供相关证明，难免要来回跑、反复跑，费时费劲，还不一定办成。实行证明事项告知承诺制后，行政机关将以书面形式（含电子文本）将证明义务、证明内容及不实承诺的法律责任一次性告知申请人，申请人只需要书面承诺已经符合告知的相关要求并愿意承担不实承诺的法律责任，行政机关即可依据书面承诺办理相关行政事项，不再索要有关证明，为企业和群众省去了不必要的麻烦，高效便捷、省时省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sz w:val="21"/>
                      <w:szCs w:val="21"/>
                      <w:bdr w:val="none" w:color="auto" w:sz="0" w:space="0"/>
                    </w:rPr>
                    <w:t>告知承诺制将与现行管理制度并行实施，对于实行告知承诺制的证明事项，申请人可自主选择是否采用告知承诺制方式办理。申请人选择采用告知承诺代替提交证明的，作出书面承诺并签字或盖章确认后，视为申请人已向行政机关提供相关证明。申请人不愿承诺或者无法承诺的，应当提交法律法规或者国务院决定要求的证明。申请人有较严重的不良信用记录或者存在曾作出虚假承诺等情形的，在信用修复前不适用告知承诺制。直接涉及国家安全、国家秘密、公共安全、金融业审慎监管、生态环境保护，直接关系人身健康、生命财产安全，以及重大涉外等风险较大、纠错成本较高、损害难以挽回的证明事项不适用告知承诺制。</w:t>
                  </w:r>
                </w:p>
              </w:tc>
            </w:tr>
          </w:tbl>
          <w:p>
            <w:pPr>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18"/>
                <w:szCs w:val="1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42E26"/>
    <w:rsid w:val="4A142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2021-12-21T01:11:00Z</dcterms:created>
  <dc:creator>娟</dc:creator>
  <cp:lastModifiedBy>娟</cp:lastModifiedBy>
  <cp:lastPrinted>2021-12-21T01:13:50Z</cp:lastPrinted>
  <dcterms:modified xsi:type="dcterms:W3CDTF">2021-12-21T01:14:21Z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94CDED91BB134D948429C734116CECE9</vt:lpwstr>
  </property>
</Properties>
</file>