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blCellSpacing w:w="0" w:type="dxa"/>
          <w:jc w:val="center"/>
        </w:trPr>
        <w:tc>
          <w:tcPr>
            <w:tcW w:w="5000" w:type="pct"/>
            <w:shd w:val="clear" w:color="auto" w:fill="auto"/>
            <w:vAlign w:val="center"/>
          </w:tcPr>
          <w:p>
            <w:pPr>
              <w:keepNext w:val="0"/>
              <w:keepLines w:val="0"/>
              <w:widowControl/>
              <w:suppressLineNumbers w:val="0"/>
              <w:spacing w:line="750" w:lineRule="atLeast"/>
              <w:ind w:left="0" w:firstLine="0"/>
              <w:jc w:val="center"/>
              <w:rPr>
                <w:rFonts w:hint="eastAsia" w:ascii="宋体" w:hAnsi="宋体" w:eastAsia="宋体" w:cs="宋体"/>
                <w:i w:val="0"/>
                <w:iCs w:val="0"/>
                <w:caps w:val="0"/>
                <w:color w:val="006699"/>
                <w:spacing w:val="0"/>
                <w:sz w:val="27"/>
                <w:szCs w:val="27"/>
              </w:rPr>
            </w:pPr>
            <w:r>
              <w:rPr>
                <w:rFonts w:hint="eastAsia" w:ascii="宋体" w:hAnsi="宋体" w:eastAsia="宋体" w:cs="宋体"/>
                <w:i w:val="0"/>
                <w:iCs w:val="0"/>
                <w:caps w:val="0"/>
                <w:color w:val="006699"/>
                <w:spacing w:val="0"/>
                <w:kern w:val="0"/>
                <w:sz w:val="27"/>
                <w:szCs w:val="27"/>
                <w:lang w:val="en-US" w:eastAsia="zh-CN" w:bidi="ar"/>
              </w:rPr>
              <w:br w:type="textWrapping"/>
            </w:r>
            <w:r>
              <w:rPr>
                <w:rStyle w:val="5"/>
                <w:rFonts w:hint="eastAsia" w:ascii="宋体" w:hAnsi="宋体" w:eastAsia="宋体" w:cs="宋体"/>
                <w:i w:val="0"/>
                <w:iCs w:val="0"/>
                <w:caps w:val="0"/>
                <w:color w:val="006699"/>
                <w:spacing w:val="0"/>
                <w:kern w:val="0"/>
                <w:sz w:val="27"/>
                <w:szCs w:val="27"/>
                <w:lang w:val="en-US" w:eastAsia="zh-CN" w:bidi="ar"/>
              </w:rPr>
              <w:t>岳阳楼区水利局告知承诺制</w:t>
            </w:r>
            <w:bookmarkStart w:id="0" w:name="_GoBack"/>
            <w:bookmarkEnd w:id="0"/>
            <w:r>
              <w:rPr>
                <w:rStyle w:val="5"/>
                <w:rFonts w:hint="eastAsia" w:ascii="宋体" w:hAnsi="宋体" w:eastAsia="宋体" w:cs="宋体"/>
                <w:i w:val="0"/>
                <w:iCs w:val="0"/>
                <w:caps w:val="0"/>
                <w:color w:val="006699"/>
                <w:spacing w:val="0"/>
                <w:kern w:val="0"/>
                <w:sz w:val="27"/>
                <w:szCs w:val="27"/>
                <w:lang w:val="en-US" w:eastAsia="zh-CN" w:bidi="ar"/>
              </w:rPr>
              <w:t>证明事项目录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tbl>
            <w:tblPr>
              <w:tblStyle w:val="3"/>
              <w:tblW w:w="45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blCellSpacing w:w="0" w:type="dxa"/>
                <w:jc w:val="center"/>
              </w:trPr>
              <w:tc>
                <w:tcPr>
                  <w:tcW w:w="0" w:type="auto"/>
                  <w:shd w:val="clear" w:color="auto" w:fill="F3F3F3"/>
                  <w:vAlign w:val="center"/>
                </w:tcPr>
                <w:p>
                  <w:pPr>
                    <w:keepNext w:val="0"/>
                    <w:keepLines w:val="0"/>
                    <w:widowControl/>
                    <w:suppressLineNumbers w:val="0"/>
                    <w:shd w:val="clear" w:fill="F3F3F3"/>
                    <w:spacing w:line="375" w:lineRule="atLeast"/>
                    <w:jc w:val="both"/>
                    <w:rPr>
                      <w:sz w:val="18"/>
                      <w:szCs w:val="18"/>
                    </w:rPr>
                  </w:pPr>
                </w:p>
              </w:tc>
            </w:tr>
          </w:tbl>
          <w:p>
            <w:pPr>
              <w:spacing w:line="375" w:lineRule="atLeast"/>
              <w:jc w:val="cente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spacing w:line="375" w:lineRule="atLeast"/>
              <w:ind w:lef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blCellSpacing w:w="0" w:type="dxa"/>
          <w:jc w:val="center"/>
        </w:trPr>
        <w:tc>
          <w:tcPr>
            <w:tcW w:w="5000" w:type="pct"/>
            <w:shd w:val="clear" w:color="auto" w:fill="auto"/>
            <w:vAlign w:val="center"/>
          </w:tcPr>
          <w:tbl>
            <w:tblPr>
              <w:tblStyle w:val="3"/>
              <w:tblW w:w="44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0" w:type="auto"/>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ascii="宋体" w:hAnsi="宋体" w:eastAsia="宋体" w:cs="宋体"/>
                      <w:color w:val="333333"/>
                      <w:kern w:val="0"/>
                      <w:sz w:val="19"/>
                      <w:szCs w:val="19"/>
                      <w:u w:val="none"/>
                      <w:lang w:val="en-US" w:eastAsia="zh-CN" w:bidi="ar"/>
                    </w:rPr>
                    <w:fldChar w:fldCharType="begin"/>
                  </w:r>
                  <w:r>
                    <w:rPr>
                      <w:rFonts w:ascii="宋体" w:hAnsi="宋体" w:eastAsia="宋体" w:cs="宋体"/>
                      <w:color w:val="333333"/>
                      <w:kern w:val="0"/>
                      <w:sz w:val="19"/>
                      <w:szCs w:val="19"/>
                      <w:u w:val="none"/>
                      <w:lang w:val="en-US" w:eastAsia="zh-CN" w:bidi="ar"/>
                    </w:rPr>
                    <w:instrText xml:space="preserve"> HYPERLINK "http://swj.yueyang.gov.cn/6855/6858/javascript:void(0);" \o "分享到微信" </w:instrText>
                  </w:r>
                  <w:r>
                    <w:rPr>
                      <w:rFonts w:ascii="宋体" w:hAnsi="宋体" w:eastAsia="宋体" w:cs="宋体"/>
                      <w:color w:val="333333"/>
                      <w:kern w:val="0"/>
                      <w:sz w:val="19"/>
                      <w:szCs w:val="19"/>
                      <w:u w:val="none"/>
                      <w:lang w:val="en-US" w:eastAsia="zh-CN" w:bidi="ar"/>
                    </w:rPr>
                    <w:fldChar w:fldCharType="separate"/>
                  </w:r>
                  <w:r>
                    <w:rPr>
                      <w:rFonts w:ascii="宋体" w:hAnsi="宋体" w:eastAsia="宋体" w:cs="宋体"/>
                      <w:color w:val="333333"/>
                      <w:kern w:val="0"/>
                      <w:sz w:val="19"/>
                      <w:szCs w:val="19"/>
                      <w:u w:val="none"/>
                      <w:lang w:val="en-US" w:eastAsia="zh-CN" w:bidi="ar"/>
                    </w:rPr>
                    <w:fldChar w:fldCharType="end"/>
                  </w:r>
                </w:p>
                <w:tbl>
                  <w:tblPr>
                    <w:tblStyle w:val="3"/>
                    <w:tblW w:w="0" w:type="auto"/>
                    <w:tblInd w:w="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21"/>
                    <w:gridCol w:w="804"/>
                    <w:gridCol w:w="718"/>
                    <w:gridCol w:w="3072"/>
                    <w:gridCol w:w="701"/>
                    <w:gridCol w:w="826"/>
                    <w:gridCol w:w="60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序号</w:t>
                        </w:r>
                      </w:p>
                    </w:tc>
                    <w:tc>
                      <w:tcPr>
                        <w:tcW w:w="21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证明事项名称</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证明用途</w:t>
                        </w:r>
                      </w:p>
                    </w:tc>
                    <w:tc>
                      <w:tcPr>
                        <w:tcW w:w="83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设定依据（依据名称、文号及条文内容）</w:t>
                        </w:r>
                      </w:p>
                    </w:tc>
                    <w:tc>
                      <w:tcPr>
                        <w:tcW w:w="17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索要单位</w:t>
                        </w:r>
                      </w:p>
                    </w:tc>
                    <w:tc>
                      <w:tcPr>
                        <w:tcW w:w="17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开具单位</w:t>
                        </w:r>
                      </w:p>
                    </w:tc>
                    <w:tc>
                      <w:tcPr>
                        <w:tcW w:w="14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事项类型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1</w:t>
                        </w:r>
                      </w:p>
                    </w:tc>
                    <w:tc>
                      <w:tcPr>
                        <w:tcW w:w="21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与第三者利害关系的说明和协议</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办理取水许可审批水行政许可手续</w:t>
                        </w:r>
                      </w:p>
                    </w:tc>
                    <w:tc>
                      <w:tcPr>
                        <w:tcW w:w="83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《取水许可和水资源费征收管理条例》（国务院令第460号）第十一条：申请取水应当提交下列材料：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（二）与第三者利害关系的相关说明；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（三）属于备案项目的，提供有关备案材料；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（四）国务院水行政主管部门规定的其他材料。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建设项目需要取水的，申请人还应当提交建设项目水资源论证报告书。论证报告书应当包括取水水源、用水合理性以及对生态与环境的影响等内容。</w:t>
                        </w:r>
                      </w:p>
                    </w:tc>
                    <w:tc>
                      <w:tcPr>
                        <w:tcW w:w="17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水行政主管部门</w:t>
                        </w:r>
                      </w:p>
                    </w:tc>
                    <w:tc>
                      <w:tcPr>
                        <w:tcW w:w="17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有利害关系的第三者所有权人</w:t>
                        </w:r>
                      </w:p>
                    </w:tc>
                    <w:tc>
                      <w:tcPr>
                        <w:tcW w:w="14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2</w:t>
                        </w:r>
                      </w:p>
                    </w:tc>
                    <w:tc>
                      <w:tcPr>
                        <w:tcW w:w="21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与第三者利害关系的说明和协议</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办理占用农业灌溉水源、灌排工程设施审批水行政许可手续</w:t>
                        </w:r>
                      </w:p>
                    </w:tc>
                    <w:tc>
                      <w:tcPr>
                        <w:tcW w:w="83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1.《农田水利条例》（国务院令第669号）第二十四条: 新建、改建、扩建建设工程确需占用农业灌溉水源、农田水利工程设施的，应当与取用水的单位、个人或者农田水利工程所有权人协商，并报经有管辖权的县级以上地方人民政府水行政主管部门同意。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2. 《占用农业灌溉水源、灌排工程设施补偿办法》（1995年11月13日 水政资[1995]457号发布，2014年8月19日水利部令第46号修改）第八条: 占用农业灌溉水源、灌排工程设施3年以上的(含3年) ，占用者应当负责兴建与被占用的农业灌溉水源工程、灌排工程设施效益相当的替代工程。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tc>
                    <w:tc>
                      <w:tcPr>
                        <w:tcW w:w="17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水行政主管部门</w:t>
                        </w:r>
                      </w:p>
                    </w:tc>
                    <w:tc>
                      <w:tcPr>
                        <w:tcW w:w="17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涉及被占用农业灌溉水源、灌排工程设施的单位、个人或者农田水利工程所有权人</w:t>
                        </w:r>
                      </w:p>
                    </w:tc>
                    <w:tc>
                      <w:tcPr>
                        <w:tcW w:w="14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3</w:t>
                        </w:r>
                      </w:p>
                    </w:tc>
                    <w:tc>
                      <w:tcPr>
                        <w:tcW w:w="21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与第三者利害关系的说明和协议</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办理洪水影响评价（水工程建设规划同意书审核水行政许可）手续</w:t>
                        </w:r>
                      </w:p>
                    </w:tc>
                    <w:tc>
                      <w:tcPr>
                        <w:tcW w:w="83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1.《中华人民共和国水法》第十九条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2.《水工程建设规划同意书制度管理办法》（试行）(水利部令第31号)第六条　水工程建设单位（以下简称建设单位）应当在水工程的（预）可行性研究报告（项目申请报告、备案材料）报请审批（核准、备案）前，向有水工程建设规划同意书审查签署权限的流域管理机构或者县级以上地方人民政府水行政主管部门（以下简称审查签署机关）提出水工程建设规划同意书申请，并提交下列材料：（一）水工程建设规划同意书申请表；（二）拟报批水工程的（预）可行性研究报告（项目申请报告、备案材料）（三）与第三者利害关系的相关说明；（四）审查签署机关要求的其他材料。</w:t>
                        </w:r>
                      </w:p>
                    </w:tc>
                    <w:tc>
                      <w:tcPr>
                        <w:tcW w:w="17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水行政主管部门</w:t>
                        </w:r>
                      </w:p>
                    </w:tc>
                    <w:tc>
                      <w:tcPr>
                        <w:tcW w:w="17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有利害关系的第三者所有权人</w:t>
                        </w:r>
                      </w:p>
                    </w:tc>
                    <w:tc>
                      <w:tcPr>
                        <w:tcW w:w="14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sz w:val="18"/>
                            <w:szCs w:val="18"/>
                          </w:rPr>
                          <w:t>许可</w:t>
                        </w:r>
                      </w:p>
                    </w:tc>
                  </w:tr>
                </w:tbl>
                <w:p>
                  <w:pPr>
                    <w:spacing w:before="0" w:beforeAutospacing="0" w:after="0" w:afterAutospacing="0" w:line="33" w:lineRule="atLeast"/>
                    <w:ind w:left="0" w:right="0"/>
                    <w:jc w:val="both"/>
                    <w:rPr>
                      <w:sz w:val="21"/>
                      <w:szCs w:val="21"/>
                    </w:rPr>
                  </w:pPr>
                </w:p>
              </w:tc>
            </w:tr>
          </w:tbl>
          <w:p>
            <w:pPr>
              <w:spacing w:line="450" w:lineRule="atLeast"/>
              <w:rPr>
                <w:rFonts w:hint="eastAsia" w:ascii="宋体" w:hAnsi="宋体" w:eastAsia="宋体" w:cs="宋体"/>
                <w:i w:val="0"/>
                <w:iCs w:val="0"/>
                <w:caps w:val="0"/>
                <w:color w:val="000000"/>
                <w:spacing w:val="0"/>
                <w:sz w:val="18"/>
                <w:szCs w:val="1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F76E2"/>
    <w:rsid w:val="53BF61BC"/>
    <w:rsid w:val="751F7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2021-12-10T01:59:00Z</dcterms:created>
  <dc:creator>娟</dc:creator>
  <cp:lastModifiedBy>娟</cp:lastModifiedBy>
  <dcterms:modified xsi:type="dcterms:W3CDTF">2021-12-21T00:55:45Z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2D779002427941F0A520CF7F741F9F98</vt:lpwstr>
  </property>
</Properties>
</file>