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eastAsia="方正小标宋简体"/>
          <w:bCs/>
          <w:sz w:val="46"/>
          <w:szCs w:val="46"/>
        </w:rPr>
      </w:pPr>
      <w:r>
        <w:rPr>
          <w:rFonts w:hint="eastAsia" w:eastAsia="方正小标宋简体"/>
          <w:bCs/>
          <w:sz w:val="46"/>
          <w:szCs w:val="46"/>
        </w:rPr>
        <w:t>岳阳楼区20</w:t>
      </w:r>
      <w:r>
        <w:rPr>
          <w:rFonts w:hint="eastAsia" w:eastAsia="方正小标宋简体"/>
          <w:bCs/>
          <w:sz w:val="46"/>
          <w:szCs w:val="46"/>
          <w:lang w:val="en-US" w:eastAsia="zh-CN"/>
        </w:rPr>
        <w:t>20</w:t>
      </w:r>
      <w:r>
        <w:rPr>
          <w:rFonts w:hint="eastAsia" w:eastAsia="方正小标宋简体"/>
          <w:bCs/>
          <w:sz w:val="46"/>
          <w:szCs w:val="46"/>
        </w:rPr>
        <w:t>年度部门（单位）整体支出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 岳阳市岳阳楼区文化馆</w:t>
      </w:r>
    </w:p>
    <w:p>
      <w:pPr>
        <w:spacing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lang w:val="en-US" w:eastAsia="zh-CN"/>
        </w:rPr>
        <w:t>601002</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eastAsia="仿宋_GB2312"/>
          <w:sz w:val="32"/>
        </w:rPr>
      </w:pPr>
    </w:p>
    <w:p>
      <w:pPr>
        <w:spacing w:line="348" w:lineRule="auto"/>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 202</w:t>
      </w:r>
      <w:r>
        <w:rPr>
          <w:rFonts w:hint="eastAsia" w:eastAsia="仿宋_GB2312"/>
          <w:sz w:val="32"/>
          <w:lang w:val="en-US" w:eastAsia="zh-CN"/>
        </w:rPr>
        <w:t>1</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月 </w:t>
      </w:r>
      <w:r>
        <w:rPr>
          <w:rFonts w:hint="eastAsia" w:eastAsia="仿宋_GB2312"/>
          <w:sz w:val="32"/>
          <w:lang w:val="en-US" w:eastAsia="zh-CN"/>
        </w:rPr>
        <w:t>25</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岳阳楼区财政</w:t>
      </w:r>
      <w:r>
        <w:rPr>
          <w:rFonts w:hint="eastAsia" w:eastAsia="仿宋_GB2312"/>
          <w:sz w:val="32"/>
          <w:szCs w:val="32"/>
        </w:rPr>
        <w:t>局（制）</w:t>
      </w:r>
    </w:p>
    <w:tbl>
      <w:tblPr>
        <w:tblStyle w:val="5"/>
        <w:tblW w:w="98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403"/>
        <w:gridCol w:w="1032"/>
        <w:gridCol w:w="489"/>
        <w:gridCol w:w="868"/>
        <w:gridCol w:w="1428"/>
        <w:gridCol w:w="145"/>
        <w:gridCol w:w="221"/>
        <w:gridCol w:w="340"/>
        <w:gridCol w:w="369"/>
        <w:gridCol w:w="725"/>
        <w:gridCol w:w="139"/>
        <w:gridCol w:w="21"/>
        <w:gridCol w:w="9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19" w:type="dxa"/>
            <w:gridSpan w:val="16"/>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b/>
                <w:bCs/>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联系人</w:t>
            </w:r>
          </w:p>
        </w:tc>
        <w:tc>
          <w:tcPr>
            <w:tcW w:w="3838" w:type="dxa"/>
            <w:gridSpan w:val="5"/>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张红梅</w:t>
            </w:r>
          </w:p>
        </w:tc>
        <w:tc>
          <w:tcPr>
            <w:tcW w:w="2134" w:type="dxa"/>
            <w:gridSpan w:val="4"/>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联络电话</w:t>
            </w:r>
          </w:p>
        </w:tc>
        <w:tc>
          <w:tcPr>
            <w:tcW w:w="2193" w:type="dxa"/>
            <w:gridSpan w:val="5"/>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13607302855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人员编制</w:t>
            </w:r>
          </w:p>
        </w:tc>
        <w:tc>
          <w:tcPr>
            <w:tcW w:w="3838" w:type="dxa"/>
            <w:gridSpan w:val="5"/>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16</w:t>
            </w:r>
          </w:p>
        </w:tc>
        <w:tc>
          <w:tcPr>
            <w:tcW w:w="2134" w:type="dxa"/>
            <w:gridSpan w:val="4"/>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实有人数</w:t>
            </w:r>
          </w:p>
        </w:tc>
        <w:tc>
          <w:tcPr>
            <w:tcW w:w="2193" w:type="dxa"/>
            <w:gridSpan w:val="5"/>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职能职责概述</w:t>
            </w:r>
          </w:p>
        </w:tc>
        <w:tc>
          <w:tcPr>
            <w:tcW w:w="8165" w:type="dxa"/>
            <w:gridSpan w:val="14"/>
            <w:noWrap/>
            <w:vAlign w:val="center"/>
          </w:tcPr>
          <w:p>
            <w:pPr>
              <w:keepNext w:val="0"/>
              <w:keepLines w:val="0"/>
              <w:pageBreakBefore w:val="0"/>
              <w:kinsoku/>
              <w:wordWrap/>
              <w:overflowPunct/>
              <w:topLinePunct w:val="0"/>
              <w:autoSpaceDE/>
              <w:autoSpaceDN w:val="0"/>
              <w:bidi w:val="0"/>
              <w:adjustRightInd/>
              <w:snapToGrid/>
              <w:spacing w:line="360" w:lineRule="exact"/>
              <w:ind w:firstLine="560" w:firstLineChars="200"/>
              <w:jc w:val="left"/>
              <w:textAlignment w:val="center"/>
              <w:rPr>
                <w:rFonts w:hint="eastAsia" w:ascii="仿宋" w:hAnsi="仿宋" w:eastAsia="仿宋" w:cs="仿宋"/>
                <w:color w:val="000000"/>
                <w:sz w:val="28"/>
                <w:szCs w:val="28"/>
              </w:rPr>
            </w:pPr>
            <w:r>
              <w:rPr>
                <w:rFonts w:hint="eastAsia" w:ascii="仿宋" w:hAnsi="仿宋" w:eastAsia="仿宋" w:cs="仿宋"/>
                <w:sz w:val="28"/>
                <w:szCs w:val="28"/>
              </w:rPr>
              <w:t>岳阳楼区文化馆是岳阳楼区人民政府设立的公益性文化事业机构，是承担政府公共文化事业、繁荣群众文化的主导性业务部门；是组织指导、开展群众文化活动，抢救保护非物质文化遗产文化、弘扬和传承民族民间文化、营造良好城市人文环境的重要载体之一；是向社会免费开放、为群众提供公共文化服务的重要场所之一；为构建和谐社会和公共文化服务体系建设起到基础性地位和重要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年度主要</w:t>
            </w:r>
          </w:p>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工作内容</w:t>
            </w:r>
          </w:p>
        </w:tc>
        <w:tc>
          <w:tcPr>
            <w:tcW w:w="8165" w:type="dxa"/>
            <w:gridSpan w:val="14"/>
            <w:noWrap/>
            <w:vAlign w:val="center"/>
          </w:tcPr>
          <w:p>
            <w:pPr>
              <w:keepNext w:val="0"/>
              <w:keepLines w:val="0"/>
              <w:pageBreakBefore w:val="0"/>
              <w:widowControl/>
              <w:numPr>
                <w:ilvl w:val="0"/>
                <w:numId w:val="1"/>
              </w:numPr>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辅导与培训</w:t>
            </w:r>
          </w:p>
          <w:p>
            <w:pPr>
              <w:keepNext w:val="0"/>
              <w:keepLines w:val="0"/>
              <w:pageBreakBefore w:val="0"/>
              <w:widowControl/>
              <w:numPr>
                <w:ilvl w:val="0"/>
                <w:numId w:val="1"/>
              </w:numPr>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场馆及设施免费开放</w:t>
            </w:r>
          </w:p>
          <w:p>
            <w:pPr>
              <w:keepNext w:val="0"/>
              <w:keepLines w:val="0"/>
              <w:pageBreakBefore w:val="0"/>
              <w:widowControl/>
              <w:numPr>
                <w:ilvl w:val="0"/>
                <w:numId w:val="1"/>
              </w:numPr>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大型文艺活动组织与开展与送文化下乡活动</w:t>
            </w:r>
          </w:p>
          <w:p>
            <w:pPr>
              <w:keepNext w:val="0"/>
              <w:keepLines w:val="0"/>
              <w:pageBreakBefore w:val="0"/>
              <w:widowControl/>
              <w:numPr>
                <w:ilvl w:val="0"/>
                <w:numId w:val="1"/>
              </w:numPr>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非遗项目的保护与传承、挖掘与整理</w:t>
            </w:r>
          </w:p>
          <w:p>
            <w:pPr>
              <w:keepNext w:val="0"/>
              <w:keepLines w:val="0"/>
              <w:pageBreakBefore w:val="0"/>
              <w:widowControl/>
              <w:numPr>
                <w:ilvl w:val="0"/>
                <w:numId w:val="0"/>
              </w:numPr>
              <w:kinsoku/>
              <w:wordWrap/>
              <w:overflowPunct/>
              <w:topLinePunct w:val="0"/>
              <w:autoSpaceDE/>
              <w:bidi w:val="0"/>
              <w:adjustRightInd/>
              <w:snapToGrid/>
              <w:spacing w:line="360" w:lineRule="exact"/>
              <w:ind w:leftChars="0"/>
              <w:jc w:val="left"/>
              <w:rPr>
                <w:rFonts w:hint="eastAsia" w:ascii="仿宋" w:hAnsi="仿宋" w:eastAsia="仿宋" w:cs="仿宋"/>
                <w:color w:val="000000"/>
                <w:sz w:val="28"/>
                <w:szCs w:val="28"/>
              </w:rPr>
            </w:pP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文艺作品精品创作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85" w:hRule="atLeast"/>
          <w:jc w:val="center"/>
        </w:trPr>
        <w:tc>
          <w:tcPr>
            <w:tcW w:w="1654" w:type="dxa"/>
            <w:gridSpan w:val="2"/>
            <w:noWrap/>
            <w:vAlign w:val="center"/>
          </w:tcPr>
          <w:p>
            <w:pPr>
              <w:autoSpaceDN w:val="0"/>
              <w:spacing w:line="320" w:lineRule="exact"/>
              <w:jc w:val="center"/>
              <w:textAlignment w:val="center"/>
              <w:rPr>
                <w:rFonts w:hint="eastAsia" w:ascii="仿宋" w:hAnsi="仿宋" w:eastAsia="仿宋" w:cs="仿宋"/>
                <w:color w:val="000000"/>
                <w:spacing w:val="-6"/>
                <w:sz w:val="28"/>
                <w:szCs w:val="28"/>
              </w:rPr>
            </w:pPr>
            <w:r>
              <w:rPr>
                <w:rFonts w:hint="eastAsia" w:ascii="仿宋" w:hAnsi="仿宋" w:eastAsia="仿宋" w:cs="仿宋"/>
                <w:color w:val="000000"/>
                <w:spacing w:val="-6"/>
                <w:sz w:val="28"/>
                <w:szCs w:val="28"/>
              </w:rPr>
              <w:t>年度部门（单位）总体运行情况及取得的成绩</w:t>
            </w:r>
          </w:p>
        </w:tc>
        <w:tc>
          <w:tcPr>
            <w:tcW w:w="8165" w:type="dxa"/>
            <w:gridSpan w:val="14"/>
            <w:noWrap/>
            <w:vAlign w:val="center"/>
          </w:tcPr>
          <w:p>
            <w:pPr>
              <w:keepNext w:val="0"/>
              <w:keepLines w:val="0"/>
              <w:pageBreakBefore w:val="0"/>
              <w:kinsoku/>
              <w:wordWrap/>
              <w:overflowPunct/>
              <w:topLinePunct w:val="0"/>
              <w:autoSpaceDE/>
              <w:bidi w:val="0"/>
              <w:adjustRightInd/>
              <w:snapToGrid/>
              <w:spacing w:line="3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2020年除圆满完成年度主要工作外，充分发挥场馆和本馆人才资源优势，开办了中老年艺术大学一所，免费为1000多名爱好艺术的朋友提供继续学习的场地。</w:t>
            </w:r>
          </w:p>
          <w:p>
            <w:pPr>
              <w:keepNext w:val="0"/>
              <w:keepLines w:val="0"/>
              <w:pageBreakBefore w:val="0"/>
              <w:kinsoku/>
              <w:wordWrap/>
              <w:overflowPunct/>
              <w:topLinePunct w:val="0"/>
              <w:autoSpaceDE/>
              <w:bidi w:val="0"/>
              <w:adjustRightInd/>
              <w:snapToGrid/>
              <w:spacing w:line="360" w:lineRule="exact"/>
              <w:ind w:firstLine="560" w:firstLineChars="200"/>
              <w:rPr>
                <w:rFonts w:hint="eastAsia" w:ascii="仿宋" w:hAnsi="仿宋" w:eastAsia="仿宋" w:cs="仿宋"/>
                <w:sz w:val="28"/>
                <w:szCs w:val="28"/>
              </w:rPr>
            </w:pPr>
            <w:bookmarkStart w:id="0" w:name="_GoBack"/>
            <w:bookmarkEnd w:id="0"/>
            <w:r>
              <w:rPr>
                <w:rFonts w:hint="eastAsia" w:ascii="仿宋" w:hAnsi="仿宋" w:eastAsia="仿宋" w:cs="仿宋"/>
                <w:sz w:val="28"/>
                <w:szCs w:val="28"/>
              </w:rPr>
              <w:t>疫情期间我馆向省厅、市局报送抗疫主题创作作品37件，其中巴陵剪纸《春天一定如期而至》、《众志成城》荣获“艺抗疫情·云游湖南”主题活动优秀作品；文学作品《明月何时照你还》荣获湖南省文化馆“最美书信”征文比赛一等奖。国画作品《春满洞庭》、油画作品《社区防护员》、摄影作品《并肩同行》等艺术创作入选市级、省级各类疫情主题线上展览。</w:t>
            </w:r>
          </w:p>
          <w:p>
            <w:pPr>
              <w:keepNext w:val="0"/>
              <w:keepLines w:val="0"/>
              <w:pageBreakBefore w:val="0"/>
              <w:kinsoku/>
              <w:wordWrap/>
              <w:overflowPunct/>
              <w:topLinePunct w:val="0"/>
              <w:autoSpaceDE/>
              <w:bidi w:val="0"/>
              <w:adjustRightInd/>
              <w:snapToGrid/>
              <w:spacing w:line="3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此外，在今年的由岳阳市文化旅游广电局主办的“老城南印记”艺术作品展中，我馆张雯的国画作品《城南春深》获银奖，樊文胜的油画作品《正午》获优秀奖，王静的摄影作品《老城记忆》《魅力湖乡》《余暇》获优秀奖。我馆李海英、张雯双双入选岳阳市“巴陵文艺新闻人才支持计划”，李海英散文《麻布山下花园梦》获岳阳市委宣传部“乡村振兴看岳阳”文艺作品大赛优秀奖，张雯国画作品《林山春望》入选由湖南省文学艺术界联合会主办，湖南省美术家协会、湖南省画院、湖南美术馆共同承办的“决胜脱贫在今朝·丹青共筑中国梦”湖南省美术作品展。</w:t>
            </w:r>
          </w:p>
          <w:p>
            <w:pPr>
              <w:keepNext w:val="0"/>
              <w:keepLines w:val="0"/>
              <w:pageBreakBefore w:val="0"/>
              <w:kinsoku/>
              <w:wordWrap/>
              <w:overflowPunct/>
              <w:topLinePunct w:val="0"/>
              <w:autoSpaceDE/>
              <w:bidi w:val="0"/>
              <w:adjustRightInd/>
              <w:snapToGrid/>
              <w:spacing w:line="3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在岳阳市第四届艺术节中，我馆选送的舞蹈《鼓风》及我馆文学专干李海英编剧的小戏《回家》均荣获金奖；少儿舞蹈《童涟忆趣》、音乐作品《为更年轻的岳阳》获三等奖。</w:t>
            </w:r>
          </w:p>
          <w:p>
            <w:pPr>
              <w:keepNext w:val="0"/>
              <w:keepLines w:val="0"/>
              <w:pageBreakBefore w:val="0"/>
              <w:kinsoku/>
              <w:wordWrap/>
              <w:overflowPunct/>
              <w:topLinePunct w:val="0"/>
              <w:autoSpaceDE/>
              <w:autoSpaceDN w:val="0"/>
              <w:bidi w:val="0"/>
              <w:adjustRightInd/>
              <w:snapToGrid/>
              <w:spacing w:line="360" w:lineRule="exact"/>
              <w:jc w:val="left"/>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19" w:type="dxa"/>
            <w:gridSpan w:val="16"/>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b/>
                <w:bCs/>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19" w:type="dxa"/>
            <w:gridSpan w:val="16"/>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b/>
                <w:bCs/>
                <w:color w:val="000000"/>
                <w:sz w:val="28"/>
                <w:szCs w:val="28"/>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机构名称</w:t>
            </w:r>
          </w:p>
        </w:tc>
        <w:tc>
          <w:tcPr>
            <w:tcW w:w="1403" w:type="dxa"/>
            <w:vMerge w:val="restart"/>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收入合计</w:t>
            </w:r>
          </w:p>
        </w:tc>
        <w:tc>
          <w:tcPr>
            <w:tcW w:w="6716" w:type="dxa"/>
            <w:gridSpan w:val="12"/>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ign w:val="center"/>
          </w:tcPr>
          <w:p>
            <w:pPr>
              <w:autoSpaceDN w:val="0"/>
              <w:spacing w:line="320" w:lineRule="exact"/>
              <w:jc w:val="center"/>
              <w:textAlignment w:val="center"/>
              <w:rPr>
                <w:rFonts w:ascii="仿宋" w:hAnsi="仿宋" w:eastAsia="仿宋" w:cs="仿宋"/>
                <w:color w:val="000000"/>
                <w:sz w:val="28"/>
                <w:szCs w:val="28"/>
              </w:rPr>
            </w:pPr>
          </w:p>
        </w:tc>
        <w:tc>
          <w:tcPr>
            <w:tcW w:w="1403" w:type="dxa"/>
            <w:vMerge w:val="continue"/>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1032" w:type="dxa"/>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上年结转</w:t>
            </w:r>
          </w:p>
        </w:tc>
        <w:tc>
          <w:tcPr>
            <w:tcW w:w="1357" w:type="dxa"/>
            <w:gridSpan w:val="2"/>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公共财</w:t>
            </w:r>
          </w:p>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政拨款</w:t>
            </w:r>
          </w:p>
        </w:tc>
        <w:tc>
          <w:tcPr>
            <w:tcW w:w="1428" w:type="dxa"/>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政府基金拨款</w:t>
            </w:r>
          </w:p>
        </w:tc>
        <w:tc>
          <w:tcPr>
            <w:tcW w:w="1800" w:type="dxa"/>
            <w:gridSpan w:val="5"/>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纳入专户管理的非税收入拨款</w:t>
            </w:r>
          </w:p>
        </w:tc>
        <w:tc>
          <w:tcPr>
            <w:tcW w:w="1099" w:type="dxa"/>
            <w:gridSpan w:val="3"/>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其他</w:t>
            </w:r>
          </w:p>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局机关及二级机构汇总</w:t>
            </w:r>
          </w:p>
        </w:tc>
        <w:tc>
          <w:tcPr>
            <w:tcW w:w="1403" w:type="dxa"/>
            <w:tcBorders>
              <w:right w:val="single" w:color="auto" w:sz="4" w:space="0"/>
            </w:tcBorders>
            <w:noWrap/>
            <w:vAlign w:val="center"/>
          </w:tcPr>
          <w:p>
            <w:pPr>
              <w:autoSpaceDN w:val="0"/>
              <w:spacing w:line="320" w:lineRule="exact"/>
              <w:jc w:val="left"/>
              <w:textAlignment w:val="center"/>
              <w:rPr>
                <w:rFonts w:ascii="仿宋" w:hAnsi="仿宋" w:eastAsia="仿宋" w:cs="仿宋"/>
                <w:color w:val="000000"/>
                <w:sz w:val="28"/>
                <w:szCs w:val="28"/>
              </w:rPr>
            </w:pPr>
          </w:p>
        </w:tc>
        <w:tc>
          <w:tcPr>
            <w:tcW w:w="1032" w:type="dxa"/>
            <w:tcBorders>
              <w:left w:val="single" w:color="auto" w:sz="4" w:space="0"/>
            </w:tcBorders>
            <w:noWrap/>
            <w:vAlign w:val="center"/>
          </w:tcPr>
          <w:p>
            <w:pPr>
              <w:autoSpaceDN w:val="0"/>
              <w:spacing w:line="320" w:lineRule="exact"/>
              <w:jc w:val="left"/>
              <w:textAlignment w:val="center"/>
              <w:rPr>
                <w:rFonts w:ascii="仿宋" w:hAnsi="仿宋" w:eastAsia="仿宋" w:cs="仿宋"/>
                <w:color w:val="000000"/>
                <w:sz w:val="28"/>
                <w:szCs w:val="28"/>
              </w:rPr>
            </w:pPr>
          </w:p>
        </w:tc>
        <w:tc>
          <w:tcPr>
            <w:tcW w:w="1357" w:type="dxa"/>
            <w:gridSpan w:val="2"/>
            <w:noWrap/>
            <w:vAlign w:val="center"/>
          </w:tcPr>
          <w:p>
            <w:pPr>
              <w:autoSpaceDN w:val="0"/>
              <w:spacing w:line="320" w:lineRule="exact"/>
              <w:jc w:val="left"/>
              <w:textAlignment w:val="center"/>
              <w:rPr>
                <w:rFonts w:ascii="仿宋" w:hAnsi="仿宋" w:eastAsia="仿宋" w:cs="仿宋"/>
                <w:color w:val="000000"/>
                <w:sz w:val="28"/>
                <w:szCs w:val="28"/>
              </w:rPr>
            </w:pPr>
          </w:p>
        </w:tc>
        <w:tc>
          <w:tcPr>
            <w:tcW w:w="1428" w:type="dxa"/>
            <w:noWrap/>
            <w:vAlign w:val="center"/>
          </w:tcPr>
          <w:p>
            <w:pPr>
              <w:autoSpaceDN w:val="0"/>
              <w:spacing w:line="320" w:lineRule="exact"/>
              <w:jc w:val="left"/>
              <w:textAlignment w:val="center"/>
              <w:rPr>
                <w:rFonts w:ascii="仿宋" w:hAnsi="仿宋" w:eastAsia="仿宋" w:cs="仿宋"/>
                <w:color w:val="000000"/>
                <w:sz w:val="28"/>
                <w:szCs w:val="28"/>
              </w:rPr>
            </w:pPr>
          </w:p>
        </w:tc>
        <w:tc>
          <w:tcPr>
            <w:tcW w:w="1800" w:type="dxa"/>
            <w:gridSpan w:val="5"/>
            <w:noWrap/>
            <w:vAlign w:val="center"/>
          </w:tcPr>
          <w:p>
            <w:pPr>
              <w:autoSpaceDN w:val="0"/>
              <w:spacing w:line="320" w:lineRule="exact"/>
              <w:jc w:val="center"/>
              <w:textAlignment w:val="center"/>
              <w:rPr>
                <w:rFonts w:ascii="仿宋" w:hAnsi="仿宋" w:eastAsia="仿宋" w:cs="仿宋"/>
                <w:color w:val="000000"/>
                <w:sz w:val="28"/>
                <w:szCs w:val="28"/>
              </w:rPr>
            </w:pPr>
          </w:p>
        </w:tc>
        <w:tc>
          <w:tcPr>
            <w:tcW w:w="1099" w:type="dxa"/>
            <w:gridSpan w:val="3"/>
            <w:noWrap/>
            <w:vAlign w:val="center"/>
          </w:tcPr>
          <w:p>
            <w:pPr>
              <w:autoSpaceDN w:val="0"/>
              <w:spacing w:line="320" w:lineRule="exact"/>
              <w:jc w:val="left"/>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 w:hAnsi="仿宋" w:eastAsia="仿宋" w:cs="仿宋"/>
                <w:sz w:val="28"/>
                <w:szCs w:val="28"/>
              </w:rPr>
            </w:pPr>
            <w:r>
              <w:rPr>
                <w:rFonts w:hint="eastAsia" w:ascii="仿宋" w:hAnsi="仿宋" w:eastAsia="仿宋" w:cs="仿宋"/>
                <w:sz w:val="28"/>
                <w:szCs w:val="28"/>
              </w:rPr>
              <w:t>1、局机关</w:t>
            </w:r>
          </w:p>
        </w:tc>
        <w:tc>
          <w:tcPr>
            <w:tcW w:w="1403" w:type="dxa"/>
            <w:tcBorders>
              <w:right w:val="single" w:color="auto" w:sz="4" w:space="0"/>
            </w:tcBorders>
            <w:noWrap/>
            <w:vAlign w:val="center"/>
          </w:tcPr>
          <w:p>
            <w:pPr>
              <w:autoSpaceDN w:val="0"/>
              <w:spacing w:line="320" w:lineRule="exact"/>
              <w:jc w:val="left"/>
              <w:textAlignment w:val="center"/>
              <w:rPr>
                <w:rFonts w:ascii="仿宋" w:hAnsi="仿宋" w:eastAsia="仿宋" w:cs="仿宋"/>
                <w:color w:val="000000"/>
                <w:sz w:val="28"/>
                <w:szCs w:val="28"/>
              </w:rPr>
            </w:pPr>
          </w:p>
        </w:tc>
        <w:tc>
          <w:tcPr>
            <w:tcW w:w="1032" w:type="dxa"/>
            <w:tcBorders>
              <w:left w:val="single" w:color="auto" w:sz="4" w:space="0"/>
            </w:tcBorders>
            <w:noWrap/>
            <w:vAlign w:val="center"/>
          </w:tcPr>
          <w:p>
            <w:pPr>
              <w:autoSpaceDN w:val="0"/>
              <w:spacing w:line="320" w:lineRule="exact"/>
              <w:jc w:val="left"/>
              <w:textAlignment w:val="center"/>
              <w:rPr>
                <w:rFonts w:ascii="仿宋" w:hAnsi="仿宋" w:eastAsia="仿宋" w:cs="仿宋"/>
                <w:color w:val="000000"/>
                <w:sz w:val="28"/>
                <w:szCs w:val="28"/>
              </w:rPr>
            </w:pPr>
          </w:p>
        </w:tc>
        <w:tc>
          <w:tcPr>
            <w:tcW w:w="1357" w:type="dxa"/>
            <w:gridSpan w:val="2"/>
            <w:noWrap/>
            <w:vAlign w:val="center"/>
          </w:tcPr>
          <w:p>
            <w:pPr>
              <w:autoSpaceDN w:val="0"/>
              <w:spacing w:line="320" w:lineRule="exact"/>
              <w:jc w:val="left"/>
              <w:textAlignment w:val="center"/>
              <w:rPr>
                <w:rFonts w:ascii="仿宋" w:hAnsi="仿宋" w:eastAsia="仿宋" w:cs="仿宋"/>
                <w:color w:val="000000"/>
                <w:sz w:val="28"/>
                <w:szCs w:val="28"/>
              </w:rPr>
            </w:pPr>
          </w:p>
        </w:tc>
        <w:tc>
          <w:tcPr>
            <w:tcW w:w="1428" w:type="dxa"/>
            <w:noWrap/>
            <w:vAlign w:val="center"/>
          </w:tcPr>
          <w:p>
            <w:pPr>
              <w:autoSpaceDN w:val="0"/>
              <w:spacing w:line="320" w:lineRule="exact"/>
              <w:jc w:val="left"/>
              <w:textAlignment w:val="center"/>
              <w:rPr>
                <w:rFonts w:ascii="仿宋" w:hAnsi="仿宋" w:eastAsia="仿宋" w:cs="仿宋"/>
                <w:color w:val="000000"/>
                <w:sz w:val="28"/>
                <w:szCs w:val="28"/>
              </w:rPr>
            </w:pPr>
          </w:p>
        </w:tc>
        <w:tc>
          <w:tcPr>
            <w:tcW w:w="1800" w:type="dxa"/>
            <w:gridSpan w:val="5"/>
            <w:noWrap/>
            <w:vAlign w:val="center"/>
          </w:tcPr>
          <w:p>
            <w:pPr>
              <w:autoSpaceDN w:val="0"/>
              <w:spacing w:line="320" w:lineRule="exact"/>
              <w:jc w:val="center"/>
              <w:textAlignment w:val="center"/>
              <w:rPr>
                <w:rFonts w:ascii="仿宋" w:hAnsi="仿宋" w:eastAsia="仿宋" w:cs="仿宋"/>
                <w:color w:val="000000"/>
                <w:sz w:val="28"/>
                <w:szCs w:val="28"/>
              </w:rPr>
            </w:pPr>
          </w:p>
        </w:tc>
        <w:tc>
          <w:tcPr>
            <w:tcW w:w="1099" w:type="dxa"/>
            <w:gridSpan w:val="3"/>
            <w:noWrap/>
            <w:vAlign w:val="center"/>
          </w:tcPr>
          <w:p>
            <w:pPr>
              <w:autoSpaceDN w:val="0"/>
              <w:spacing w:line="320" w:lineRule="exact"/>
              <w:jc w:val="left"/>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 w:hAnsi="仿宋" w:eastAsia="仿宋" w:cs="仿宋"/>
                <w:sz w:val="28"/>
                <w:szCs w:val="28"/>
              </w:rPr>
            </w:pPr>
            <w:r>
              <w:rPr>
                <w:rFonts w:hint="eastAsia" w:ascii="仿宋" w:hAnsi="仿宋" w:eastAsia="仿宋" w:cs="仿宋"/>
                <w:sz w:val="28"/>
                <w:szCs w:val="28"/>
              </w:rPr>
              <w:t>2、文化馆</w:t>
            </w:r>
          </w:p>
        </w:tc>
        <w:tc>
          <w:tcPr>
            <w:tcW w:w="1403" w:type="dxa"/>
            <w:tcBorders>
              <w:right w:val="single" w:color="auto" w:sz="4" w:space="0"/>
            </w:tcBorders>
            <w:noWrap/>
            <w:vAlign w:val="center"/>
          </w:tcPr>
          <w:p>
            <w:pPr>
              <w:autoSpaceDN w:val="0"/>
              <w:spacing w:line="320" w:lineRule="exact"/>
              <w:jc w:val="left"/>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334.45</w:t>
            </w:r>
          </w:p>
        </w:tc>
        <w:tc>
          <w:tcPr>
            <w:tcW w:w="1032" w:type="dxa"/>
            <w:tcBorders>
              <w:left w:val="single" w:color="auto" w:sz="4" w:space="0"/>
            </w:tcBorders>
            <w:noWrap/>
            <w:vAlign w:val="center"/>
          </w:tcPr>
          <w:p>
            <w:pPr>
              <w:autoSpaceDN w:val="0"/>
              <w:spacing w:line="320" w:lineRule="exact"/>
              <w:jc w:val="left"/>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45.86</w:t>
            </w:r>
          </w:p>
        </w:tc>
        <w:tc>
          <w:tcPr>
            <w:tcW w:w="1357" w:type="dxa"/>
            <w:gridSpan w:val="2"/>
            <w:noWrap/>
            <w:vAlign w:val="center"/>
          </w:tcPr>
          <w:p>
            <w:pPr>
              <w:autoSpaceDN w:val="0"/>
              <w:spacing w:line="320" w:lineRule="exact"/>
              <w:jc w:val="left"/>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269.32</w:t>
            </w:r>
          </w:p>
        </w:tc>
        <w:tc>
          <w:tcPr>
            <w:tcW w:w="1428" w:type="dxa"/>
            <w:noWrap/>
            <w:vAlign w:val="center"/>
          </w:tcPr>
          <w:p>
            <w:pPr>
              <w:autoSpaceDN w:val="0"/>
              <w:spacing w:line="320" w:lineRule="exact"/>
              <w:jc w:val="left"/>
              <w:textAlignment w:val="center"/>
              <w:rPr>
                <w:rFonts w:ascii="仿宋" w:hAnsi="仿宋" w:eastAsia="仿宋" w:cs="仿宋"/>
                <w:color w:val="000000"/>
                <w:sz w:val="28"/>
                <w:szCs w:val="28"/>
              </w:rPr>
            </w:pPr>
          </w:p>
        </w:tc>
        <w:tc>
          <w:tcPr>
            <w:tcW w:w="1800" w:type="dxa"/>
            <w:gridSpan w:val="5"/>
            <w:noWrap/>
            <w:vAlign w:val="center"/>
          </w:tcPr>
          <w:p>
            <w:pPr>
              <w:autoSpaceDN w:val="0"/>
              <w:spacing w:line="320" w:lineRule="exact"/>
              <w:jc w:val="center"/>
              <w:textAlignment w:val="center"/>
              <w:rPr>
                <w:rFonts w:ascii="仿宋" w:hAnsi="仿宋" w:eastAsia="仿宋" w:cs="仿宋"/>
                <w:color w:val="000000"/>
                <w:sz w:val="28"/>
                <w:szCs w:val="28"/>
              </w:rPr>
            </w:pPr>
          </w:p>
        </w:tc>
        <w:tc>
          <w:tcPr>
            <w:tcW w:w="1099" w:type="dxa"/>
            <w:gridSpan w:val="3"/>
            <w:noWrap/>
            <w:vAlign w:val="center"/>
          </w:tcPr>
          <w:p>
            <w:pPr>
              <w:autoSpaceDN w:val="0"/>
              <w:spacing w:line="320" w:lineRule="exact"/>
              <w:jc w:val="left"/>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19.27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 w:hAnsi="仿宋" w:eastAsia="仿宋" w:cs="仿宋"/>
                <w:sz w:val="28"/>
                <w:szCs w:val="28"/>
              </w:rPr>
            </w:pPr>
            <w:r>
              <w:rPr>
                <w:rFonts w:hint="eastAsia" w:ascii="仿宋" w:hAnsi="仿宋" w:eastAsia="仿宋" w:cs="仿宋"/>
                <w:sz w:val="28"/>
                <w:szCs w:val="28"/>
              </w:rPr>
              <w:t>3、图书馆</w:t>
            </w:r>
          </w:p>
        </w:tc>
        <w:tc>
          <w:tcPr>
            <w:tcW w:w="1403" w:type="dxa"/>
            <w:tcBorders>
              <w:right w:val="single" w:color="auto" w:sz="4" w:space="0"/>
            </w:tcBorders>
            <w:noWrap/>
            <w:vAlign w:val="center"/>
          </w:tcPr>
          <w:p>
            <w:pPr>
              <w:autoSpaceDN w:val="0"/>
              <w:spacing w:line="320" w:lineRule="exact"/>
              <w:jc w:val="left"/>
              <w:textAlignment w:val="center"/>
              <w:rPr>
                <w:rFonts w:ascii="仿宋" w:hAnsi="仿宋" w:eastAsia="仿宋" w:cs="仿宋"/>
                <w:color w:val="000000"/>
                <w:sz w:val="28"/>
                <w:szCs w:val="28"/>
              </w:rPr>
            </w:pPr>
          </w:p>
        </w:tc>
        <w:tc>
          <w:tcPr>
            <w:tcW w:w="1032" w:type="dxa"/>
            <w:tcBorders>
              <w:left w:val="single" w:color="auto" w:sz="4" w:space="0"/>
            </w:tcBorders>
            <w:noWrap/>
            <w:vAlign w:val="center"/>
          </w:tcPr>
          <w:p>
            <w:pPr>
              <w:autoSpaceDN w:val="0"/>
              <w:spacing w:line="320" w:lineRule="exact"/>
              <w:jc w:val="left"/>
              <w:textAlignment w:val="center"/>
              <w:rPr>
                <w:rFonts w:ascii="仿宋" w:hAnsi="仿宋" w:eastAsia="仿宋" w:cs="仿宋"/>
                <w:color w:val="000000"/>
                <w:sz w:val="28"/>
                <w:szCs w:val="28"/>
              </w:rPr>
            </w:pPr>
          </w:p>
        </w:tc>
        <w:tc>
          <w:tcPr>
            <w:tcW w:w="1357" w:type="dxa"/>
            <w:gridSpan w:val="2"/>
            <w:noWrap/>
            <w:vAlign w:val="center"/>
          </w:tcPr>
          <w:p>
            <w:pPr>
              <w:autoSpaceDN w:val="0"/>
              <w:spacing w:line="320" w:lineRule="exact"/>
              <w:jc w:val="left"/>
              <w:textAlignment w:val="center"/>
              <w:rPr>
                <w:rFonts w:ascii="仿宋" w:hAnsi="仿宋" w:eastAsia="仿宋" w:cs="仿宋"/>
                <w:color w:val="000000"/>
                <w:sz w:val="28"/>
                <w:szCs w:val="28"/>
              </w:rPr>
            </w:pPr>
          </w:p>
        </w:tc>
        <w:tc>
          <w:tcPr>
            <w:tcW w:w="1428" w:type="dxa"/>
            <w:noWrap/>
            <w:vAlign w:val="center"/>
          </w:tcPr>
          <w:p>
            <w:pPr>
              <w:autoSpaceDN w:val="0"/>
              <w:spacing w:line="320" w:lineRule="exact"/>
              <w:jc w:val="left"/>
              <w:textAlignment w:val="center"/>
              <w:rPr>
                <w:rFonts w:ascii="仿宋" w:hAnsi="仿宋" w:eastAsia="仿宋" w:cs="仿宋"/>
                <w:color w:val="000000"/>
                <w:sz w:val="28"/>
                <w:szCs w:val="28"/>
              </w:rPr>
            </w:pPr>
          </w:p>
        </w:tc>
        <w:tc>
          <w:tcPr>
            <w:tcW w:w="1800" w:type="dxa"/>
            <w:gridSpan w:val="5"/>
            <w:noWrap/>
            <w:vAlign w:val="center"/>
          </w:tcPr>
          <w:p>
            <w:pPr>
              <w:autoSpaceDN w:val="0"/>
              <w:spacing w:line="320" w:lineRule="exact"/>
              <w:jc w:val="center"/>
              <w:textAlignment w:val="center"/>
              <w:rPr>
                <w:rFonts w:ascii="仿宋" w:hAnsi="仿宋" w:eastAsia="仿宋" w:cs="仿宋"/>
                <w:color w:val="000000"/>
                <w:sz w:val="28"/>
                <w:szCs w:val="28"/>
              </w:rPr>
            </w:pPr>
          </w:p>
        </w:tc>
        <w:tc>
          <w:tcPr>
            <w:tcW w:w="1099" w:type="dxa"/>
            <w:gridSpan w:val="3"/>
            <w:noWrap/>
            <w:vAlign w:val="center"/>
          </w:tcPr>
          <w:p>
            <w:pPr>
              <w:autoSpaceDN w:val="0"/>
              <w:spacing w:line="320" w:lineRule="exact"/>
              <w:jc w:val="left"/>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 w:hAnsi="仿宋" w:eastAsia="仿宋" w:cs="仿宋"/>
                <w:sz w:val="28"/>
                <w:szCs w:val="28"/>
              </w:rPr>
            </w:pPr>
            <w:r>
              <w:rPr>
                <w:rFonts w:hint="eastAsia" w:ascii="仿宋" w:hAnsi="仿宋" w:eastAsia="仿宋" w:cs="仿宋"/>
                <w:sz w:val="28"/>
                <w:szCs w:val="28"/>
              </w:rPr>
              <w:t>4、文化体育产业服务中心</w:t>
            </w:r>
          </w:p>
        </w:tc>
        <w:tc>
          <w:tcPr>
            <w:tcW w:w="1403" w:type="dxa"/>
            <w:tcBorders>
              <w:right w:val="single" w:color="auto" w:sz="4" w:space="0"/>
            </w:tcBorders>
            <w:noWrap/>
            <w:vAlign w:val="center"/>
          </w:tcPr>
          <w:p>
            <w:pPr>
              <w:autoSpaceDN w:val="0"/>
              <w:spacing w:line="320" w:lineRule="exact"/>
              <w:jc w:val="left"/>
              <w:textAlignment w:val="center"/>
              <w:rPr>
                <w:rFonts w:ascii="仿宋" w:hAnsi="仿宋" w:eastAsia="仿宋" w:cs="仿宋"/>
                <w:color w:val="000000"/>
                <w:sz w:val="28"/>
                <w:szCs w:val="28"/>
              </w:rPr>
            </w:pPr>
          </w:p>
        </w:tc>
        <w:tc>
          <w:tcPr>
            <w:tcW w:w="1032" w:type="dxa"/>
            <w:tcBorders>
              <w:left w:val="single" w:color="auto" w:sz="4" w:space="0"/>
            </w:tcBorders>
            <w:noWrap/>
            <w:vAlign w:val="center"/>
          </w:tcPr>
          <w:p>
            <w:pPr>
              <w:autoSpaceDN w:val="0"/>
              <w:spacing w:line="320" w:lineRule="exact"/>
              <w:jc w:val="left"/>
              <w:textAlignment w:val="center"/>
              <w:rPr>
                <w:rFonts w:ascii="仿宋" w:hAnsi="仿宋" w:eastAsia="仿宋" w:cs="仿宋"/>
                <w:color w:val="000000"/>
                <w:sz w:val="28"/>
                <w:szCs w:val="28"/>
              </w:rPr>
            </w:pPr>
          </w:p>
        </w:tc>
        <w:tc>
          <w:tcPr>
            <w:tcW w:w="1357" w:type="dxa"/>
            <w:gridSpan w:val="2"/>
            <w:noWrap/>
            <w:vAlign w:val="center"/>
          </w:tcPr>
          <w:p>
            <w:pPr>
              <w:autoSpaceDN w:val="0"/>
              <w:spacing w:line="320" w:lineRule="exact"/>
              <w:jc w:val="left"/>
              <w:textAlignment w:val="center"/>
              <w:rPr>
                <w:rFonts w:ascii="仿宋" w:hAnsi="仿宋" w:eastAsia="仿宋" w:cs="仿宋"/>
                <w:color w:val="000000"/>
                <w:sz w:val="28"/>
                <w:szCs w:val="28"/>
              </w:rPr>
            </w:pPr>
          </w:p>
        </w:tc>
        <w:tc>
          <w:tcPr>
            <w:tcW w:w="1428" w:type="dxa"/>
            <w:noWrap/>
            <w:vAlign w:val="center"/>
          </w:tcPr>
          <w:p>
            <w:pPr>
              <w:autoSpaceDN w:val="0"/>
              <w:spacing w:line="320" w:lineRule="exact"/>
              <w:jc w:val="left"/>
              <w:textAlignment w:val="center"/>
              <w:rPr>
                <w:rFonts w:ascii="仿宋" w:hAnsi="仿宋" w:eastAsia="仿宋" w:cs="仿宋"/>
                <w:color w:val="000000"/>
                <w:sz w:val="28"/>
                <w:szCs w:val="28"/>
              </w:rPr>
            </w:pPr>
          </w:p>
        </w:tc>
        <w:tc>
          <w:tcPr>
            <w:tcW w:w="1800" w:type="dxa"/>
            <w:gridSpan w:val="5"/>
            <w:noWrap/>
            <w:vAlign w:val="center"/>
          </w:tcPr>
          <w:p>
            <w:pPr>
              <w:autoSpaceDN w:val="0"/>
              <w:spacing w:line="320" w:lineRule="exact"/>
              <w:jc w:val="center"/>
              <w:textAlignment w:val="center"/>
              <w:rPr>
                <w:rFonts w:ascii="仿宋" w:hAnsi="仿宋" w:eastAsia="仿宋" w:cs="仿宋"/>
                <w:color w:val="000000"/>
                <w:sz w:val="28"/>
                <w:szCs w:val="28"/>
              </w:rPr>
            </w:pPr>
          </w:p>
        </w:tc>
        <w:tc>
          <w:tcPr>
            <w:tcW w:w="1099" w:type="dxa"/>
            <w:gridSpan w:val="3"/>
            <w:noWrap/>
            <w:vAlign w:val="center"/>
          </w:tcPr>
          <w:p>
            <w:pPr>
              <w:autoSpaceDN w:val="0"/>
              <w:spacing w:line="320" w:lineRule="exact"/>
              <w:jc w:val="left"/>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19" w:type="dxa"/>
            <w:gridSpan w:val="16"/>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b/>
                <w:bCs/>
                <w:color w:val="000000"/>
                <w:sz w:val="28"/>
                <w:szCs w:val="28"/>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napToGrid w:val="0"/>
              <w:spacing w:line="320" w:lineRule="exact"/>
              <w:jc w:val="center"/>
              <w:rPr>
                <w:rFonts w:ascii="仿宋" w:hAnsi="仿宋" w:eastAsia="仿宋" w:cs="仿宋"/>
                <w:sz w:val="28"/>
                <w:szCs w:val="28"/>
              </w:rPr>
            </w:pPr>
            <w:r>
              <w:rPr>
                <w:rFonts w:hint="eastAsia" w:ascii="仿宋" w:hAnsi="仿宋" w:eastAsia="仿宋" w:cs="仿宋"/>
                <w:sz w:val="28"/>
                <w:szCs w:val="28"/>
              </w:rPr>
              <w:t>机构名称</w:t>
            </w:r>
          </w:p>
        </w:tc>
        <w:tc>
          <w:tcPr>
            <w:tcW w:w="1403" w:type="dxa"/>
            <w:vMerge w:val="restart"/>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支出合计</w:t>
            </w:r>
          </w:p>
        </w:tc>
        <w:tc>
          <w:tcPr>
            <w:tcW w:w="4892" w:type="dxa"/>
            <w:gridSpan w:val="8"/>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其中：</w:t>
            </w:r>
          </w:p>
        </w:tc>
        <w:tc>
          <w:tcPr>
            <w:tcW w:w="1824"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 w:hAnsi="仿宋" w:eastAsia="仿宋" w:cs="仿宋"/>
                <w:sz w:val="28"/>
                <w:szCs w:val="28"/>
              </w:rPr>
            </w:pPr>
          </w:p>
        </w:tc>
        <w:tc>
          <w:tcPr>
            <w:tcW w:w="1403" w:type="dxa"/>
            <w:vMerge w:val="continue"/>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1032"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基本支出</w:t>
            </w:r>
          </w:p>
        </w:tc>
        <w:tc>
          <w:tcPr>
            <w:tcW w:w="2930" w:type="dxa"/>
            <w:gridSpan w:val="4"/>
            <w:tcBorders>
              <w:top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其中：</w:t>
            </w:r>
          </w:p>
        </w:tc>
        <w:tc>
          <w:tcPr>
            <w:tcW w:w="930" w:type="dxa"/>
            <w:gridSpan w:val="3"/>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项目支出</w:t>
            </w:r>
          </w:p>
        </w:tc>
        <w:tc>
          <w:tcPr>
            <w:tcW w:w="885"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当年结余</w:t>
            </w:r>
          </w:p>
        </w:tc>
        <w:tc>
          <w:tcPr>
            <w:tcW w:w="939"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 w:hAnsi="仿宋" w:eastAsia="仿宋" w:cs="仿宋"/>
                <w:sz w:val="28"/>
                <w:szCs w:val="28"/>
              </w:rPr>
            </w:pPr>
          </w:p>
        </w:tc>
        <w:tc>
          <w:tcPr>
            <w:tcW w:w="1403" w:type="dxa"/>
            <w:vMerge w:val="continue"/>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1032" w:type="dxa"/>
            <w:vMerge w:val="continue"/>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1357" w:type="dxa"/>
            <w:gridSpan w:val="2"/>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人员支出</w:t>
            </w:r>
          </w:p>
        </w:tc>
        <w:tc>
          <w:tcPr>
            <w:tcW w:w="1573" w:type="dxa"/>
            <w:gridSpan w:val="2"/>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公用支出</w:t>
            </w:r>
          </w:p>
        </w:tc>
        <w:tc>
          <w:tcPr>
            <w:tcW w:w="930" w:type="dxa"/>
            <w:gridSpan w:val="3"/>
            <w:vMerge w:val="continue"/>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885"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939" w:type="dxa"/>
            <w:vMerge w:val="continue"/>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ign w:val="center"/>
          </w:tcPr>
          <w:p>
            <w:pPr>
              <w:spacing w:line="320" w:lineRule="exact"/>
              <w:jc w:val="left"/>
              <w:rPr>
                <w:rFonts w:ascii="仿宋" w:hAnsi="仿宋" w:eastAsia="仿宋" w:cs="仿宋"/>
                <w:sz w:val="28"/>
                <w:szCs w:val="28"/>
              </w:rPr>
            </w:pPr>
            <w:r>
              <w:rPr>
                <w:rFonts w:hint="eastAsia" w:ascii="仿宋" w:hAnsi="仿宋" w:eastAsia="仿宋" w:cs="仿宋"/>
                <w:color w:val="000000"/>
                <w:sz w:val="28"/>
                <w:szCs w:val="28"/>
              </w:rPr>
              <w:t>局机关及二级机构汇总</w:t>
            </w:r>
          </w:p>
        </w:tc>
        <w:tc>
          <w:tcPr>
            <w:tcW w:w="1403" w:type="dxa"/>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1032" w:type="dxa"/>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1357"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c>
          <w:tcPr>
            <w:tcW w:w="1573"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c>
          <w:tcPr>
            <w:tcW w:w="930" w:type="dxa"/>
            <w:gridSpan w:val="3"/>
            <w:noWrap/>
            <w:vAlign w:val="center"/>
          </w:tcPr>
          <w:p>
            <w:pPr>
              <w:autoSpaceDN w:val="0"/>
              <w:spacing w:line="320" w:lineRule="exact"/>
              <w:jc w:val="center"/>
              <w:textAlignment w:val="center"/>
              <w:rPr>
                <w:rFonts w:ascii="仿宋" w:hAnsi="仿宋" w:eastAsia="仿宋" w:cs="仿宋"/>
                <w:color w:val="000000"/>
                <w:sz w:val="28"/>
                <w:szCs w:val="28"/>
              </w:rPr>
            </w:pPr>
          </w:p>
        </w:tc>
        <w:tc>
          <w:tcPr>
            <w:tcW w:w="885" w:type="dxa"/>
            <w:gridSpan w:val="3"/>
            <w:tcBorders>
              <w:right w:val="single" w:color="auto" w:sz="4" w:space="0"/>
            </w:tcBorders>
            <w:noWrap/>
            <w:vAlign w:val="center"/>
          </w:tcPr>
          <w:p>
            <w:pPr>
              <w:autoSpaceDN w:val="0"/>
              <w:spacing w:line="320" w:lineRule="exact"/>
              <w:jc w:val="both"/>
              <w:textAlignment w:val="center"/>
              <w:rPr>
                <w:rFonts w:ascii="仿宋" w:hAnsi="仿宋" w:eastAsia="仿宋" w:cs="仿宋"/>
                <w:color w:val="000000"/>
                <w:sz w:val="28"/>
                <w:szCs w:val="28"/>
              </w:rPr>
            </w:pPr>
          </w:p>
        </w:tc>
        <w:tc>
          <w:tcPr>
            <w:tcW w:w="939" w:type="dxa"/>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 w:hAnsi="仿宋" w:eastAsia="仿宋" w:cs="仿宋"/>
                <w:color w:val="000000"/>
                <w:sz w:val="28"/>
                <w:szCs w:val="28"/>
              </w:rPr>
            </w:pPr>
            <w:r>
              <w:rPr>
                <w:rFonts w:hint="eastAsia" w:ascii="仿宋" w:hAnsi="仿宋" w:eastAsia="仿宋" w:cs="仿宋"/>
                <w:sz w:val="28"/>
                <w:szCs w:val="28"/>
              </w:rPr>
              <w:t>1、局机关</w:t>
            </w:r>
          </w:p>
        </w:tc>
        <w:tc>
          <w:tcPr>
            <w:tcW w:w="1403" w:type="dxa"/>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1032" w:type="dxa"/>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1357"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c>
          <w:tcPr>
            <w:tcW w:w="1573"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c>
          <w:tcPr>
            <w:tcW w:w="930" w:type="dxa"/>
            <w:gridSpan w:val="3"/>
            <w:noWrap/>
            <w:vAlign w:val="center"/>
          </w:tcPr>
          <w:p>
            <w:pPr>
              <w:autoSpaceDN w:val="0"/>
              <w:spacing w:line="320" w:lineRule="exact"/>
              <w:jc w:val="center"/>
              <w:textAlignment w:val="center"/>
              <w:rPr>
                <w:rFonts w:ascii="仿宋" w:hAnsi="仿宋" w:eastAsia="仿宋" w:cs="仿宋"/>
                <w:color w:val="000000"/>
                <w:sz w:val="28"/>
                <w:szCs w:val="28"/>
              </w:rPr>
            </w:pPr>
          </w:p>
        </w:tc>
        <w:tc>
          <w:tcPr>
            <w:tcW w:w="885" w:type="dxa"/>
            <w:gridSpan w:val="3"/>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939" w:type="dxa"/>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 w:hAnsi="仿宋" w:eastAsia="仿宋" w:cs="仿宋"/>
                <w:color w:val="000000"/>
                <w:sz w:val="28"/>
                <w:szCs w:val="28"/>
              </w:rPr>
            </w:pPr>
            <w:r>
              <w:rPr>
                <w:rFonts w:hint="eastAsia" w:ascii="仿宋" w:hAnsi="仿宋" w:eastAsia="仿宋" w:cs="仿宋"/>
                <w:sz w:val="28"/>
                <w:szCs w:val="28"/>
              </w:rPr>
              <w:t>2、文化馆</w:t>
            </w:r>
          </w:p>
        </w:tc>
        <w:tc>
          <w:tcPr>
            <w:tcW w:w="1403" w:type="dxa"/>
            <w:tcBorders>
              <w:right w:val="single" w:color="auto" w:sz="4" w:space="0"/>
            </w:tcBorders>
            <w:noWrap/>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333.04</w:t>
            </w:r>
          </w:p>
        </w:tc>
        <w:tc>
          <w:tcPr>
            <w:tcW w:w="1032" w:type="dxa"/>
            <w:tcBorders>
              <w:left w:val="single" w:color="auto" w:sz="4" w:space="0"/>
            </w:tcBorders>
            <w:noWrap/>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257.08</w:t>
            </w:r>
          </w:p>
        </w:tc>
        <w:tc>
          <w:tcPr>
            <w:tcW w:w="1357" w:type="dxa"/>
            <w:gridSpan w:val="2"/>
            <w:noWrap/>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231.46</w:t>
            </w:r>
          </w:p>
        </w:tc>
        <w:tc>
          <w:tcPr>
            <w:tcW w:w="1573" w:type="dxa"/>
            <w:gridSpan w:val="2"/>
            <w:noWrap/>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25.62</w:t>
            </w:r>
          </w:p>
        </w:tc>
        <w:tc>
          <w:tcPr>
            <w:tcW w:w="930" w:type="dxa"/>
            <w:gridSpan w:val="3"/>
            <w:noWrap/>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75.96</w:t>
            </w:r>
          </w:p>
        </w:tc>
        <w:tc>
          <w:tcPr>
            <w:tcW w:w="885" w:type="dxa"/>
            <w:gridSpan w:val="3"/>
            <w:tcBorders>
              <w:right w:val="single" w:color="auto" w:sz="4" w:space="0"/>
            </w:tcBorders>
            <w:noWrap/>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1041</w:t>
            </w:r>
          </w:p>
        </w:tc>
        <w:tc>
          <w:tcPr>
            <w:tcW w:w="939" w:type="dxa"/>
            <w:tcBorders>
              <w:lef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 w:hAnsi="仿宋" w:eastAsia="仿宋" w:cs="仿宋"/>
                <w:color w:val="000000"/>
                <w:sz w:val="28"/>
                <w:szCs w:val="28"/>
              </w:rPr>
            </w:pPr>
            <w:r>
              <w:rPr>
                <w:rFonts w:hint="eastAsia" w:ascii="仿宋" w:hAnsi="仿宋" w:eastAsia="仿宋" w:cs="仿宋"/>
                <w:sz w:val="28"/>
                <w:szCs w:val="28"/>
              </w:rPr>
              <w:t>3、图书馆</w:t>
            </w:r>
          </w:p>
        </w:tc>
        <w:tc>
          <w:tcPr>
            <w:tcW w:w="1403" w:type="dxa"/>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1032" w:type="dxa"/>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1357"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c>
          <w:tcPr>
            <w:tcW w:w="1573"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c>
          <w:tcPr>
            <w:tcW w:w="930" w:type="dxa"/>
            <w:gridSpan w:val="3"/>
            <w:noWrap/>
            <w:vAlign w:val="center"/>
          </w:tcPr>
          <w:p>
            <w:pPr>
              <w:autoSpaceDN w:val="0"/>
              <w:spacing w:line="320" w:lineRule="exact"/>
              <w:jc w:val="center"/>
              <w:textAlignment w:val="center"/>
              <w:rPr>
                <w:rFonts w:ascii="仿宋" w:hAnsi="仿宋" w:eastAsia="仿宋" w:cs="仿宋"/>
                <w:color w:val="000000"/>
                <w:sz w:val="28"/>
                <w:szCs w:val="28"/>
              </w:rPr>
            </w:pPr>
          </w:p>
        </w:tc>
        <w:tc>
          <w:tcPr>
            <w:tcW w:w="885" w:type="dxa"/>
            <w:gridSpan w:val="3"/>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939" w:type="dxa"/>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 w:hAnsi="仿宋" w:eastAsia="仿宋" w:cs="仿宋"/>
                <w:sz w:val="28"/>
                <w:szCs w:val="28"/>
              </w:rPr>
            </w:pPr>
            <w:r>
              <w:rPr>
                <w:rFonts w:hint="eastAsia" w:ascii="仿宋" w:hAnsi="仿宋" w:eastAsia="仿宋" w:cs="仿宋"/>
                <w:sz w:val="28"/>
                <w:szCs w:val="28"/>
              </w:rPr>
              <w:t>4、文化体育产业服务中心</w:t>
            </w:r>
          </w:p>
        </w:tc>
        <w:tc>
          <w:tcPr>
            <w:tcW w:w="1403" w:type="dxa"/>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1032" w:type="dxa"/>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1357"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c>
          <w:tcPr>
            <w:tcW w:w="1573"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c>
          <w:tcPr>
            <w:tcW w:w="930" w:type="dxa"/>
            <w:gridSpan w:val="3"/>
            <w:noWrap/>
            <w:vAlign w:val="center"/>
          </w:tcPr>
          <w:p>
            <w:pPr>
              <w:autoSpaceDN w:val="0"/>
              <w:spacing w:line="320" w:lineRule="exact"/>
              <w:jc w:val="center"/>
              <w:textAlignment w:val="center"/>
              <w:rPr>
                <w:rFonts w:ascii="仿宋" w:hAnsi="仿宋" w:eastAsia="仿宋" w:cs="仿宋"/>
                <w:color w:val="000000"/>
                <w:sz w:val="28"/>
                <w:szCs w:val="28"/>
              </w:rPr>
            </w:pPr>
          </w:p>
        </w:tc>
        <w:tc>
          <w:tcPr>
            <w:tcW w:w="885" w:type="dxa"/>
            <w:gridSpan w:val="3"/>
            <w:tcBorders>
              <w:right w:val="single" w:color="auto" w:sz="4" w:space="0"/>
            </w:tcBorders>
            <w:noWrap/>
            <w:vAlign w:val="center"/>
          </w:tcPr>
          <w:p>
            <w:pPr>
              <w:autoSpaceDN w:val="0"/>
              <w:spacing w:line="320" w:lineRule="exact"/>
              <w:jc w:val="both"/>
              <w:textAlignment w:val="center"/>
              <w:rPr>
                <w:rFonts w:ascii="仿宋" w:hAnsi="仿宋" w:eastAsia="仿宋" w:cs="仿宋"/>
                <w:color w:val="000000"/>
                <w:sz w:val="28"/>
                <w:szCs w:val="28"/>
              </w:rPr>
            </w:pPr>
          </w:p>
        </w:tc>
        <w:tc>
          <w:tcPr>
            <w:tcW w:w="939" w:type="dxa"/>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机构名称</w:t>
            </w:r>
          </w:p>
        </w:tc>
        <w:tc>
          <w:tcPr>
            <w:tcW w:w="1403" w:type="dxa"/>
            <w:vMerge w:val="restart"/>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三公经费</w:t>
            </w:r>
          </w:p>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合计</w:t>
            </w:r>
          </w:p>
        </w:tc>
        <w:tc>
          <w:tcPr>
            <w:tcW w:w="6716" w:type="dxa"/>
            <w:gridSpan w:val="12"/>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 w:hAnsi="仿宋" w:eastAsia="仿宋" w:cs="仿宋"/>
                <w:sz w:val="28"/>
                <w:szCs w:val="28"/>
              </w:rPr>
            </w:pPr>
          </w:p>
        </w:tc>
        <w:tc>
          <w:tcPr>
            <w:tcW w:w="1403" w:type="dxa"/>
            <w:vMerge w:val="continue"/>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1032" w:type="dxa"/>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公务接待费</w:t>
            </w:r>
          </w:p>
        </w:tc>
        <w:tc>
          <w:tcPr>
            <w:tcW w:w="1357" w:type="dxa"/>
            <w:gridSpan w:val="2"/>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公务用车运维费</w:t>
            </w:r>
          </w:p>
        </w:tc>
        <w:tc>
          <w:tcPr>
            <w:tcW w:w="1573" w:type="dxa"/>
            <w:gridSpan w:val="2"/>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公务用车购置费</w:t>
            </w:r>
          </w:p>
        </w:tc>
        <w:tc>
          <w:tcPr>
            <w:tcW w:w="2754" w:type="dxa"/>
            <w:gridSpan w:val="7"/>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ign w:val="center"/>
          </w:tcPr>
          <w:p>
            <w:pPr>
              <w:spacing w:line="320" w:lineRule="exact"/>
              <w:jc w:val="left"/>
              <w:rPr>
                <w:rFonts w:ascii="仿宋" w:hAnsi="仿宋" w:eastAsia="仿宋" w:cs="仿宋"/>
                <w:sz w:val="28"/>
                <w:szCs w:val="28"/>
              </w:rPr>
            </w:pPr>
            <w:r>
              <w:rPr>
                <w:rFonts w:hint="eastAsia" w:ascii="仿宋" w:hAnsi="仿宋" w:eastAsia="仿宋" w:cs="仿宋"/>
                <w:color w:val="000000"/>
                <w:sz w:val="28"/>
                <w:szCs w:val="28"/>
              </w:rPr>
              <w:t>局机关及二级机构汇总</w:t>
            </w:r>
          </w:p>
        </w:tc>
        <w:tc>
          <w:tcPr>
            <w:tcW w:w="1403" w:type="dxa"/>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1032" w:type="dxa"/>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1357"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c>
          <w:tcPr>
            <w:tcW w:w="1573"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c>
          <w:tcPr>
            <w:tcW w:w="2754" w:type="dxa"/>
            <w:gridSpan w:val="7"/>
            <w:noWrap/>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 w:hAnsi="仿宋" w:eastAsia="仿宋" w:cs="仿宋"/>
                <w:sz w:val="28"/>
                <w:szCs w:val="28"/>
              </w:rPr>
            </w:pPr>
            <w:r>
              <w:rPr>
                <w:rFonts w:hint="eastAsia" w:ascii="仿宋" w:hAnsi="仿宋" w:eastAsia="仿宋" w:cs="仿宋"/>
                <w:sz w:val="28"/>
                <w:szCs w:val="28"/>
              </w:rPr>
              <w:t>1、局机关</w:t>
            </w:r>
          </w:p>
        </w:tc>
        <w:tc>
          <w:tcPr>
            <w:tcW w:w="1403" w:type="dxa"/>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1032" w:type="dxa"/>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1357"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c>
          <w:tcPr>
            <w:tcW w:w="1573"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c>
          <w:tcPr>
            <w:tcW w:w="2754" w:type="dxa"/>
            <w:gridSpan w:val="7"/>
            <w:noWrap/>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 w:hAnsi="仿宋" w:eastAsia="仿宋" w:cs="仿宋"/>
                <w:sz w:val="28"/>
                <w:szCs w:val="28"/>
              </w:rPr>
            </w:pPr>
            <w:r>
              <w:rPr>
                <w:rFonts w:hint="eastAsia" w:ascii="仿宋" w:hAnsi="仿宋" w:eastAsia="仿宋" w:cs="仿宋"/>
                <w:sz w:val="28"/>
                <w:szCs w:val="28"/>
              </w:rPr>
              <w:t>2、文化馆</w:t>
            </w:r>
          </w:p>
        </w:tc>
        <w:tc>
          <w:tcPr>
            <w:tcW w:w="1403" w:type="dxa"/>
            <w:tcBorders>
              <w:right w:val="single" w:color="auto" w:sz="4" w:space="0"/>
            </w:tcBorders>
            <w:noWrap/>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2.02</w:t>
            </w:r>
          </w:p>
        </w:tc>
        <w:tc>
          <w:tcPr>
            <w:tcW w:w="1032" w:type="dxa"/>
            <w:tcBorders>
              <w:left w:val="single" w:color="auto" w:sz="4" w:space="0"/>
            </w:tcBorders>
            <w:noWrap/>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2.02</w:t>
            </w:r>
          </w:p>
        </w:tc>
        <w:tc>
          <w:tcPr>
            <w:tcW w:w="1357"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c>
          <w:tcPr>
            <w:tcW w:w="1573"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c>
          <w:tcPr>
            <w:tcW w:w="2754" w:type="dxa"/>
            <w:gridSpan w:val="7"/>
            <w:noWrap/>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 w:hAnsi="仿宋" w:eastAsia="仿宋" w:cs="仿宋"/>
                <w:sz w:val="28"/>
                <w:szCs w:val="28"/>
              </w:rPr>
            </w:pPr>
            <w:r>
              <w:rPr>
                <w:rFonts w:hint="eastAsia" w:ascii="仿宋" w:hAnsi="仿宋" w:eastAsia="仿宋" w:cs="仿宋"/>
                <w:sz w:val="28"/>
                <w:szCs w:val="28"/>
              </w:rPr>
              <w:t>3、图书馆</w:t>
            </w:r>
          </w:p>
        </w:tc>
        <w:tc>
          <w:tcPr>
            <w:tcW w:w="1403" w:type="dxa"/>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1032" w:type="dxa"/>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1357"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c>
          <w:tcPr>
            <w:tcW w:w="1573"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c>
          <w:tcPr>
            <w:tcW w:w="2754" w:type="dxa"/>
            <w:gridSpan w:val="7"/>
            <w:noWrap/>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 w:hAnsi="仿宋" w:eastAsia="仿宋" w:cs="仿宋"/>
                <w:sz w:val="28"/>
                <w:szCs w:val="28"/>
              </w:rPr>
            </w:pPr>
            <w:r>
              <w:rPr>
                <w:rFonts w:hint="eastAsia" w:ascii="仿宋" w:hAnsi="仿宋" w:eastAsia="仿宋" w:cs="仿宋"/>
                <w:sz w:val="28"/>
                <w:szCs w:val="28"/>
              </w:rPr>
              <w:t>4、文化体育产业服务中心</w:t>
            </w:r>
          </w:p>
        </w:tc>
        <w:tc>
          <w:tcPr>
            <w:tcW w:w="1403" w:type="dxa"/>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1032" w:type="dxa"/>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1357"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c>
          <w:tcPr>
            <w:tcW w:w="1573"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c>
          <w:tcPr>
            <w:tcW w:w="2754" w:type="dxa"/>
            <w:gridSpan w:val="7"/>
            <w:noWrap/>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机构名称</w:t>
            </w:r>
          </w:p>
        </w:tc>
        <w:tc>
          <w:tcPr>
            <w:tcW w:w="1403" w:type="dxa"/>
            <w:vMerge w:val="restart"/>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固定资产</w:t>
            </w:r>
          </w:p>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合计</w:t>
            </w:r>
          </w:p>
        </w:tc>
        <w:tc>
          <w:tcPr>
            <w:tcW w:w="5756" w:type="dxa"/>
            <w:gridSpan w:val="10"/>
            <w:tcBorders>
              <w:left w:val="single" w:color="auto" w:sz="4" w:space="0"/>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其中：</w:t>
            </w:r>
          </w:p>
        </w:tc>
        <w:tc>
          <w:tcPr>
            <w:tcW w:w="960" w:type="dxa"/>
            <w:gridSpan w:val="2"/>
            <w:vMerge w:val="restart"/>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 w:hAnsi="仿宋" w:eastAsia="仿宋" w:cs="仿宋"/>
                <w:sz w:val="28"/>
                <w:szCs w:val="28"/>
              </w:rPr>
            </w:pPr>
          </w:p>
        </w:tc>
        <w:tc>
          <w:tcPr>
            <w:tcW w:w="1403" w:type="dxa"/>
            <w:vMerge w:val="continue"/>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2389" w:type="dxa"/>
            <w:gridSpan w:val="3"/>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在用固定资产</w:t>
            </w:r>
          </w:p>
        </w:tc>
        <w:tc>
          <w:tcPr>
            <w:tcW w:w="3367" w:type="dxa"/>
            <w:gridSpan w:val="7"/>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出租固定资产</w:t>
            </w:r>
          </w:p>
        </w:tc>
        <w:tc>
          <w:tcPr>
            <w:tcW w:w="960" w:type="dxa"/>
            <w:gridSpan w:val="2"/>
            <w:vMerge w:val="continue"/>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left"/>
              <w:rPr>
                <w:rFonts w:ascii="仿宋" w:hAnsi="仿宋" w:eastAsia="仿宋" w:cs="仿宋"/>
                <w:sz w:val="28"/>
                <w:szCs w:val="28"/>
              </w:rPr>
            </w:pPr>
            <w:r>
              <w:rPr>
                <w:rFonts w:hint="eastAsia" w:ascii="仿宋" w:hAnsi="仿宋" w:eastAsia="仿宋" w:cs="仿宋"/>
                <w:color w:val="000000"/>
                <w:sz w:val="28"/>
                <w:szCs w:val="28"/>
              </w:rPr>
              <w:t>局机关及二级机构汇总</w:t>
            </w:r>
          </w:p>
        </w:tc>
        <w:tc>
          <w:tcPr>
            <w:tcW w:w="1403" w:type="dxa"/>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2389" w:type="dxa"/>
            <w:gridSpan w:val="3"/>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3367" w:type="dxa"/>
            <w:gridSpan w:val="7"/>
            <w:noWrap/>
            <w:vAlign w:val="center"/>
          </w:tcPr>
          <w:p>
            <w:pPr>
              <w:autoSpaceDN w:val="0"/>
              <w:spacing w:line="320" w:lineRule="exact"/>
              <w:jc w:val="center"/>
              <w:textAlignment w:val="center"/>
              <w:rPr>
                <w:rFonts w:ascii="仿宋" w:hAnsi="仿宋" w:eastAsia="仿宋" w:cs="仿宋"/>
                <w:color w:val="000000"/>
                <w:sz w:val="28"/>
                <w:szCs w:val="28"/>
              </w:rPr>
            </w:pPr>
          </w:p>
        </w:tc>
        <w:tc>
          <w:tcPr>
            <w:tcW w:w="960"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 w:hAnsi="仿宋" w:eastAsia="仿宋" w:cs="仿宋"/>
                <w:sz w:val="28"/>
                <w:szCs w:val="28"/>
              </w:rPr>
            </w:pPr>
            <w:r>
              <w:rPr>
                <w:rFonts w:hint="eastAsia" w:ascii="仿宋" w:hAnsi="仿宋" w:eastAsia="仿宋" w:cs="仿宋"/>
                <w:sz w:val="28"/>
                <w:szCs w:val="28"/>
              </w:rPr>
              <w:t>1、局机关</w:t>
            </w:r>
          </w:p>
        </w:tc>
        <w:tc>
          <w:tcPr>
            <w:tcW w:w="1403" w:type="dxa"/>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2389" w:type="dxa"/>
            <w:gridSpan w:val="3"/>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3367" w:type="dxa"/>
            <w:gridSpan w:val="7"/>
            <w:noWrap/>
            <w:vAlign w:val="center"/>
          </w:tcPr>
          <w:p>
            <w:pPr>
              <w:autoSpaceDN w:val="0"/>
              <w:spacing w:line="320" w:lineRule="exact"/>
              <w:jc w:val="center"/>
              <w:textAlignment w:val="center"/>
              <w:rPr>
                <w:rFonts w:ascii="仿宋" w:hAnsi="仿宋" w:eastAsia="仿宋" w:cs="仿宋"/>
                <w:color w:val="000000"/>
                <w:sz w:val="28"/>
                <w:szCs w:val="28"/>
              </w:rPr>
            </w:pPr>
          </w:p>
        </w:tc>
        <w:tc>
          <w:tcPr>
            <w:tcW w:w="960"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 w:hAnsi="仿宋" w:eastAsia="仿宋" w:cs="仿宋"/>
                <w:sz w:val="28"/>
                <w:szCs w:val="28"/>
              </w:rPr>
            </w:pPr>
            <w:r>
              <w:rPr>
                <w:rFonts w:hint="eastAsia" w:ascii="仿宋" w:hAnsi="仿宋" w:eastAsia="仿宋" w:cs="仿宋"/>
                <w:sz w:val="28"/>
                <w:szCs w:val="28"/>
              </w:rPr>
              <w:t>2、文化馆</w:t>
            </w:r>
          </w:p>
        </w:tc>
        <w:tc>
          <w:tcPr>
            <w:tcW w:w="1403" w:type="dxa"/>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2389" w:type="dxa"/>
            <w:gridSpan w:val="3"/>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3367" w:type="dxa"/>
            <w:gridSpan w:val="7"/>
            <w:noWrap/>
            <w:vAlign w:val="center"/>
          </w:tcPr>
          <w:p>
            <w:pPr>
              <w:autoSpaceDN w:val="0"/>
              <w:spacing w:line="320" w:lineRule="exact"/>
              <w:jc w:val="center"/>
              <w:textAlignment w:val="center"/>
              <w:rPr>
                <w:rFonts w:ascii="仿宋" w:hAnsi="仿宋" w:eastAsia="仿宋" w:cs="仿宋"/>
                <w:color w:val="000000"/>
                <w:sz w:val="28"/>
                <w:szCs w:val="28"/>
              </w:rPr>
            </w:pPr>
          </w:p>
        </w:tc>
        <w:tc>
          <w:tcPr>
            <w:tcW w:w="960"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 w:hAnsi="仿宋" w:eastAsia="仿宋" w:cs="仿宋"/>
                <w:sz w:val="28"/>
                <w:szCs w:val="28"/>
              </w:rPr>
            </w:pPr>
            <w:r>
              <w:rPr>
                <w:rFonts w:hint="eastAsia" w:ascii="仿宋" w:hAnsi="仿宋" w:eastAsia="仿宋" w:cs="仿宋"/>
                <w:sz w:val="28"/>
                <w:szCs w:val="28"/>
              </w:rPr>
              <w:t>3、图书馆</w:t>
            </w:r>
          </w:p>
        </w:tc>
        <w:tc>
          <w:tcPr>
            <w:tcW w:w="1403" w:type="dxa"/>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2389" w:type="dxa"/>
            <w:gridSpan w:val="3"/>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3367" w:type="dxa"/>
            <w:gridSpan w:val="7"/>
            <w:noWrap/>
            <w:vAlign w:val="center"/>
          </w:tcPr>
          <w:p>
            <w:pPr>
              <w:autoSpaceDN w:val="0"/>
              <w:spacing w:line="320" w:lineRule="exact"/>
              <w:jc w:val="center"/>
              <w:textAlignment w:val="center"/>
              <w:rPr>
                <w:rFonts w:ascii="仿宋" w:hAnsi="仿宋" w:eastAsia="仿宋" w:cs="仿宋"/>
                <w:color w:val="000000"/>
                <w:sz w:val="28"/>
                <w:szCs w:val="28"/>
              </w:rPr>
            </w:pPr>
          </w:p>
        </w:tc>
        <w:tc>
          <w:tcPr>
            <w:tcW w:w="960"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 w:hAnsi="仿宋" w:eastAsia="仿宋" w:cs="仿宋"/>
                <w:sz w:val="28"/>
                <w:szCs w:val="28"/>
              </w:rPr>
            </w:pPr>
            <w:r>
              <w:rPr>
                <w:rFonts w:hint="eastAsia" w:ascii="仿宋" w:hAnsi="仿宋" w:eastAsia="仿宋" w:cs="仿宋"/>
                <w:sz w:val="28"/>
                <w:szCs w:val="28"/>
              </w:rPr>
              <w:t>4、文化体育产业服务中心</w:t>
            </w:r>
          </w:p>
        </w:tc>
        <w:tc>
          <w:tcPr>
            <w:tcW w:w="1403" w:type="dxa"/>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2389" w:type="dxa"/>
            <w:gridSpan w:val="3"/>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3367" w:type="dxa"/>
            <w:gridSpan w:val="7"/>
            <w:noWrap/>
            <w:vAlign w:val="center"/>
          </w:tcPr>
          <w:p>
            <w:pPr>
              <w:autoSpaceDN w:val="0"/>
              <w:spacing w:line="320" w:lineRule="exact"/>
              <w:jc w:val="center"/>
              <w:textAlignment w:val="center"/>
              <w:rPr>
                <w:rFonts w:ascii="仿宋" w:hAnsi="仿宋" w:eastAsia="仿宋" w:cs="仿宋"/>
                <w:color w:val="000000"/>
                <w:sz w:val="28"/>
                <w:szCs w:val="28"/>
              </w:rPr>
            </w:pPr>
          </w:p>
        </w:tc>
        <w:tc>
          <w:tcPr>
            <w:tcW w:w="960"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19" w:type="dxa"/>
            <w:gridSpan w:val="16"/>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b/>
                <w:bCs/>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整体支出绩效定性目标及实施计划完成情况</w:t>
            </w:r>
          </w:p>
        </w:tc>
        <w:tc>
          <w:tcPr>
            <w:tcW w:w="4051" w:type="dxa"/>
            <w:gridSpan w:val="6"/>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预期目标</w:t>
            </w:r>
          </w:p>
        </w:tc>
        <w:tc>
          <w:tcPr>
            <w:tcW w:w="4327" w:type="dxa"/>
            <w:gridSpan w:val="9"/>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ign w:val="center"/>
          </w:tcPr>
          <w:p>
            <w:pPr>
              <w:spacing w:line="320" w:lineRule="exact"/>
              <w:rPr>
                <w:rFonts w:ascii="仿宋" w:hAnsi="仿宋" w:eastAsia="仿宋" w:cs="仿宋"/>
                <w:sz w:val="28"/>
                <w:szCs w:val="28"/>
              </w:rPr>
            </w:pPr>
          </w:p>
        </w:tc>
        <w:tc>
          <w:tcPr>
            <w:tcW w:w="4051" w:type="dxa"/>
            <w:gridSpan w:val="6"/>
            <w:noWrap/>
            <w:vAlign w:val="center"/>
          </w:tcPr>
          <w:p>
            <w:pPr>
              <w:keepNext w:val="0"/>
              <w:keepLines w:val="0"/>
              <w:pageBreakBefore w:val="0"/>
              <w:kinsoku/>
              <w:wordWrap/>
              <w:overflowPunct/>
              <w:topLinePunct w:val="0"/>
              <w:autoSpaceDE/>
              <w:autoSpaceDN w:val="0"/>
              <w:bidi w:val="0"/>
              <w:adjustRightInd/>
              <w:snapToGrid/>
              <w:spacing w:line="360" w:lineRule="exact"/>
              <w:jc w:val="left"/>
              <w:textAlignment w:val="center"/>
              <w:rPr>
                <w:rFonts w:hint="eastAsia" w:ascii="仿宋" w:hAnsi="仿宋" w:eastAsia="仿宋" w:cs="仿宋"/>
                <w:color w:val="000000"/>
                <w:sz w:val="28"/>
                <w:szCs w:val="28"/>
              </w:rPr>
            </w:pPr>
            <w:r>
              <w:rPr>
                <w:rFonts w:hint="eastAsia" w:ascii="仿宋" w:hAnsi="仿宋" w:eastAsia="仿宋" w:cs="仿宋"/>
                <w:b/>
                <w:color w:val="000000"/>
                <w:sz w:val="28"/>
                <w:szCs w:val="28"/>
              </w:rPr>
              <w:t>目标1：</w:t>
            </w:r>
            <w:r>
              <w:rPr>
                <w:rFonts w:hint="eastAsia" w:ascii="仿宋" w:hAnsi="仿宋" w:eastAsia="仿宋" w:cs="仿宋"/>
                <w:kern w:val="0"/>
                <w:sz w:val="28"/>
                <w:szCs w:val="28"/>
              </w:rPr>
              <w:t>全年度组织开展公益培训1000课时，15000人次</w:t>
            </w:r>
          </w:p>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b/>
                <w:color w:val="000000"/>
                <w:sz w:val="28"/>
                <w:szCs w:val="28"/>
              </w:rPr>
              <w:t>目标2：</w:t>
            </w:r>
            <w:r>
              <w:rPr>
                <w:rFonts w:hint="eastAsia" w:ascii="仿宋" w:hAnsi="仿宋" w:eastAsia="仿宋" w:cs="仿宋"/>
                <w:kern w:val="0"/>
                <w:sz w:val="28"/>
                <w:szCs w:val="28"/>
              </w:rPr>
              <w:t>除法定节假日，公共文化场馆实行全天候免费开放，年度开放2100小时；</w:t>
            </w:r>
          </w:p>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b/>
                <w:kern w:val="0"/>
                <w:sz w:val="28"/>
                <w:szCs w:val="28"/>
              </w:rPr>
              <w:t>目标3：</w:t>
            </w:r>
            <w:r>
              <w:rPr>
                <w:rFonts w:hint="eastAsia" w:ascii="仿宋" w:hAnsi="仿宋" w:eastAsia="仿宋" w:cs="仿宋"/>
                <w:kern w:val="0"/>
                <w:sz w:val="28"/>
                <w:szCs w:val="28"/>
              </w:rPr>
              <w:t>完成传统文化的保护与传承，年开展非遗进校园，进景区、进乡村、进机关、进工地活动10场次；</w:t>
            </w:r>
          </w:p>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b/>
                <w:kern w:val="0"/>
                <w:sz w:val="28"/>
                <w:szCs w:val="28"/>
              </w:rPr>
              <w:t>目标4：</w:t>
            </w:r>
            <w:r>
              <w:rPr>
                <w:rFonts w:hint="eastAsia" w:ascii="仿宋" w:hAnsi="仿宋" w:eastAsia="仿宋" w:cs="仿宋"/>
                <w:kern w:val="0"/>
                <w:sz w:val="28"/>
                <w:szCs w:val="28"/>
              </w:rPr>
              <w:t>开展大型群众文化活动6场次，送文化下乡活动20场次；</w:t>
            </w:r>
          </w:p>
          <w:p>
            <w:pPr>
              <w:keepNext w:val="0"/>
              <w:keepLines w:val="0"/>
              <w:pageBreakBefore w:val="0"/>
              <w:kinsoku/>
              <w:wordWrap/>
              <w:overflowPunct/>
              <w:topLinePunct w:val="0"/>
              <w:autoSpaceDE/>
              <w:autoSpaceDN w:val="0"/>
              <w:bidi w:val="0"/>
              <w:adjustRightInd/>
              <w:snapToGrid/>
              <w:spacing w:line="360" w:lineRule="exact"/>
              <w:jc w:val="left"/>
              <w:textAlignment w:val="center"/>
              <w:rPr>
                <w:rFonts w:ascii="仿宋" w:hAnsi="仿宋" w:eastAsia="仿宋" w:cs="仿宋"/>
                <w:color w:val="000000"/>
                <w:sz w:val="28"/>
                <w:szCs w:val="28"/>
              </w:rPr>
            </w:pPr>
            <w:r>
              <w:rPr>
                <w:rFonts w:hint="eastAsia" w:ascii="仿宋" w:hAnsi="仿宋" w:eastAsia="仿宋" w:cs="仿宋"/>
                <w:b/>
                <w:kern w:val="0"/>
                <w:sz w:val="28"/>
                <w:szCs w:val="28"/>
              </w:rPr>
              <w:t>目标5：</w:t>
            </w:r>
            <w:r>
              <w:rPr>
                <w:rFonts w:hint="eastAsia" w:ascii="仿宋" w:hAnsi="仿宋" w:eastAsia="仿宋" w:cs="仿宋"/>
                <w:kern w:val="0"/>
                <w:sz w:val="28"/>
                <w:szCs w:val="28"/>
              </w:rPr>
              <w:t>全年度组织文艺创作作品20件，其中；舞台表演作品2-5件，美术、书法、文学作品15件；</w:t>
            </w:r>
          </w:p>
        </w:tc>
        <w:tc>
          <w:tcPr>
            <w:tcW w:w="4327" w:type="dxa"/>
            <w:gridSpan w:val="9"/>
            <w:noWrap/>
            <w:vAlign w:val="center"/>
          </w:tcPr>
          <w:p>
            <w:pPr>
              <w:autoSpaceDN w:val="0"/>
              <w:spacing w:line="320" w:lineRule="exact"/>
              <w:ind w:left="360" w:leftChars="0"/>
              <w:textAlignment w:val="center"/>
              <w:rPr>
                <w:rFonts w:ascii="仿宋" w:hAnsi="仿宋" w:eastAsia="仿宋" w:cs="仿宋"/>
                <w:color w:val="000000"/>
                <w:sz w:val="28"/>
                <w:szCs w:val="28"/>
              </w:rPr>
            </w:pPr>
            <w:r>
              <w:rPr>
                <w:rFonts w:hint="eastAsia" w:ascii="仿宋" w:hAnsi="仿宋" w:eastAsia="仿宋" w:cs="仿宋"/>
                <w:kern w:val="0"/>
                <w:sz w:val="28"/>
                <w:szCs w:val="28"/>
              </w:rPr>
              <w:t>圆满完成各项工作任务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整体支出</w:t>
            </w:r>
          </w:p>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绩效定量目标及实施计划完成情况</w:t>
            </w:r>
          </w:p>
        </w:tc>
        <w:tc>
          <w:tcPr>
            <w:tcW w:w="3183" w:type="dxa"/>
            <w:gridSpan w:val="5"/>
            <w:noWrap/>
            <w:vAlign w:val="center"/>
          </w:tcPr>
          <w:p>
            <w:pPr>
              <w:keepNext w:val="0"/>
              <w:keepLines w:val="0"/>
              <w:pageBreakBefore w:val="0"/>
              <w:widowControl/>
              <w:kinsoku/>
              <w:wordWrap/>
              <w:overflowPunct/>
              <w:topLinePunct w:val="0"/>
              <w:autoSpaceDE/>
              <w:bidi w:val="0"/>
              <w:adjustRightInd/>
              <w:snapToGrid/>
              <w:spacing w:line="36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评价内容</w:t>
            </w:r>
          </w:p>
        </w:tc>
        <w:tc>
          <w:tcPr>
            <w:tcW w:w="2662" w:type="dxa"/>
            <w:gridSpan w:val="4"/>
            <w:noWrap/>
            <w:vAlign w:val="center"/>
          </w:tcPr>
          <w:p>
            <w:pPr>
              <w:keepNext w:val="0"/>
              <w:keepLines w:val="0"/>
              <w:pageBreakBefore w:val="0"/>
              <w:widowControl/>
              <w:kinsoku/>
              <w:wordWrap/>
              <w:overflowPunct/>
              <w:topLinePunct w:val="0"/>
              <w:autoSpaceDE/>
              <w:bidi w:val="0"/>
              <w:adjustRightInd/>
              <w:snapToGrid/>
              <w:spacing w:line="36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绩效目标</w:t>
            </w:r>
          </w:p>
        </w:tc>
        <w:tc>
          <w:tcPr>
            <w:tcW w:w="2533" w:type="dxa"/>
            <w:gridSpan w:val="6"/>
            <w:noWrap/>
            <w:vAlign w:val="center"/>
          </w:tcPr>
          <w:p>
            <w:pPr>
              <w:keepNext w:val="0"/>
              <w:keepLines w:val="0"/>
              <w:pageBreakBefore w:val="0"/>
              <w:widowControl/>
              <w:kinsoku/>
              <w:wordWrap/>
              <w:overflowPunct/>
              <w:topLinePunct w:val="0"/>
              <w:autoSpaceDE/>
              <w:bidi w:val="0"/>
              <w:adjustRightInd/>
              <w:snapToGrid/>
              <w:spacing w:line="36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32" w:hRule="atLeast"/>
          <w:jc w:val="center"/>
        </w:trPr>
        <w:tc>
          <w:tcPr>
            <w:tcW w:w="1441" w:type="dxa"/>
            <w:vMerge w:val="continue"/>
            <w:noWrap/>
            <w:vAlign w:val="center"/>
          </w:tcPr>
          <w:p>
            <w:pPr>
              <w:spacing w:line="320" w:lineRule="exact"/>
              <w:rPr>
                <w:rFonts w:ascii="仿宋" w:hAnsi="仿宋" w:eastAsia="仿宋" w:cs="仿宋"/>
                <w:sz w:val="28"/>
                <w:szCs w:val="28"/>
              </w:rPr>
            </w:pPr>
          </w:p>
        </w:tc>
        <w:tc>
          <w:tcPr>
            <w:tcW w:w="1662" w:type="dxa"/>
            <w:gridSpan w:val="3"/>
            <w:vMerge w:val="restart"/>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产出目标</w:t>
            </w:r>
          </w:p>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（部门工作实绩，包含上级部门和区委区政府布置的重点工作、实事任务等，根据部门实际进行调整细化）</w:t>
            </w:r>
          </w:p>
        </w:tc>
        <w:tc>
          <w:tcPr>
            <w:tcW w:w="1521" w:type="dxa"/>
            <w:gridSpan w:val="2"/>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质量指标</w:t>
            </w:r>
          </w:p>
        </w:tc>
        <w:tc>
          <w:tcPr>
            <w:tcW w:w="2662" w:type="dxa"/>
            <w:gridSpan w:val="4"/>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指标1：优化公共文化服务效能，提升公共文化服务品质。</w:t>
            </w:r>
          </w:p>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指标2：打造文化活动品牌</w:t>
            </w:r>
          </w:p>
        </w:tc>
        <w:tc>
          <w:tcPr>
            <w:tcW w:w="2533" w:type="dxa"/>
            <w:gridSpan w:val="6"/>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46" w:hRule="atLeast"/>
          <w:jc w:val="center"/>
        </w:trPr>
        <w:tc>
          <w:tcPr>
            <w:tcW w:w="1441" w:type="dxa"/>
            <w:vMerge w:val="continue"/>
            <w:noWrap/>
            <w:vAlign w:val="center"/>
          </w:tcPr>
          <w:p>
            <w:pPr>
              <w:spacing w:line="320" w:lineRule="exact"/>
              <w:rPr>
                <w:rFonts w:ascii="仿宋" w:hAnsi="仿宋" w:eastAsia="仿宋" w:cs="仿宋"/>
                <w:sz w:val="28"/>
                <w:szCs w:val="28"/>
              </w:rPr>
            </w:pPr>
          </w:p>
        </w:tc>
        <w:tc>
          <w:tcPr>
            <w:tcW w:w="1662" w:type="dxa"/>
            <w:gridSpan w:val="3"/>
            <w:vMerge w:val="continue"/>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p>
        </w:tc>
        <w:tc>
          <w:tcPr>
            <w:tcW w:w="1521" w:type="dxa"/>
            <w:gridSpan w:val="2"/>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数量指标</w:t>
            </w:r>
          </w:p>
        </w:tc>
        <w:tc>
          <w:tcPr>
            <w:tcW w:w="2662" w:type="dxa"/>
            <w:gridSpan w:val="4"/>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指标1： 1.公益培训1200课时，20000人次。</w:t>
            </w:r>
          </w:p>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指标2：.馆舍免费开放8小时。</w:t>
            </w:r>
          </w:p>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指标3：完成送文化下乡20场次</w:t>
            </w:r>
          </w:p>
        </w:tc>
        <w:tc>
          <w:tcPr>
            <w:tcW w:w="2533" w:type="dxa"/>
            <w:gridSpan w:val="6"/>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p>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17" w:hRule="atLeast"/>
          <w:jc w:val="center"/>
        </w:trPr>
        <w:tc>
          <w:tcPr>
            <w:tcW w:w="1441" w:type="dxa"/>
            <w:vMerge w:val="continue"/>
            <w:noWrap/>
            <w:vAlign w:val="center"/>
          </w:tcPr>
          <w:p>
            <w:pPr>
              <w:spacing w:line="320" w:lineRule="exact"/>
              <w:rPr>
                <w:rFonts w:ascii="仿宋" w:hAnsi="仿宋" w:eastAsia="仿宋" w:cs="仿宋"/>
                <w:sz w:val="28"/>
                <w:szCs w:val="28"/>
              </w:rPr>
            </w:pPr>
          </w:p>
        </w:tc>
        <w:tc>
          <w:tcPr>
            <w:tcW w:w="1662" w:type="dxa"/>
            <w:gridSpan w:val="3"/>
            <w:vMerge w:val="continue"/>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p>
        </w:tc>
        <w:tc>
          <w:tcPr>
            <w:tcW w:w="1521" w:type="dxa"/>
            <w:gridSpan w:val="2"/>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时效指标</w:t>
            </w:r>
          </w:p>
        </w:tc>
        <w:tc>
          <w:tcPr>
            <w:tcW w:w="2662" w:type="dxa"/>
            <w:gridSpan w:val="4"/>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2020年1月-12月</w:t>
            </w:r>
          </w:p>
        </w:tc>
        <w:tc>
          <w:tcPr>
            <w:tcW w:w="2533" w:type="dxa"/>
            <w:gridSpan w:val="6"/>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按时完成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7" w:hRule="atLeast"/>
          <w:jc w:val="center"/>
        </w:trPr>
        <w:tc>
          <w:tcPr>
            <w:tcW w:w="1441" w:type="dxa"/>
            <w:vMerge w:val="continue"/>
            <w:noWrap/>
            <w:vAlign w:val="center"/>
          </w:tcPr>
          <w:p>
            <w:pPr>
              <w:spacing w:line="320" w:lineRule="exact"/>
              <w:rPr>
                <w:rFonts w:ascii="仿宋" w:hAnsi="仿宋" w:eastAsia="仿宋" w:cs="仿宋"/>
                <w:sz w:val="28"/>
                <w:szCs w:val="28"/>
              </w:rPr>
            </w:pPr>
          </w:p>
        </w:tc>
        <w:tc>
          <w:tcPr>
            <w:tcW w:w="1662" w:type="dxa"/>
            <w:gridSpan w:val="3"/>
            <w:vMerge w:val="continue"/>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p>
        </w:tc>
        <w:tc>
          <w:tcPr>
            <w:tcW w:w="1521" w:type="dxa"/>
            <w:gridSpan w:val="2"/>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成本指标</w:t>
            </w:r>
          </w:p>
        </w:tc>
        <w:tc>
          <w:tcPr>
            <w:tcW w:w="2662" w:type="dxa"/>
            <w:gridSpan w:val="4"/>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指标：节约行政成本和运行费用</w:t>
            </w:r>
          </w:p>
        </w:tc>
        <w:tc>
          <w:tcPr>
            <w:tcW w:w="2533" w:type="dxa"/>
            <w:gridSpan w:val="6"/>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 w:hAnsi="仿宋" w:eastAsia="仿宋" w:cs="仿宋"/>
                <w:sz w:val="28"/>
                <w:szCs w:val="28"/>
              </w:rPr>
            </w:pPr>
          </w:p>
        </w:tc>
        <w:tc>
          <w:tcPr>
            <w:tcW w:w="1662" w:type="dxa"/>
            <w:gridSpan w:val="3"/>
            <w:vMerge w:val="restart"/>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效益目标</w:t>
            </w:r>
          </w:p>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（预期实现的效益）</w:t>
            </w:r>
          </w:p>
        </w:tc>
        <w:tc>
          <w:tcPr>
            <w:tcW w:w="1521" w:type="dxa"/>
            <w:gridSpan w:val="2"/>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社会效益</w:t>
            </w:r>
          </w:p>
        </w:tc>
        <w:tc>
          <w:tcPr>
            <w:tcW w:w="2662" w:type="dxa"/>
            <w:gridSpan w:val="4"/>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指标1：提升老百姓精神文化生活</w:t>
            </w:r>
          </w:p>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指标2：提高民众艺术审美能力</w:t>
            </w:r>
          </w:p>
        </w:tc>
        <w:tc>
          <w:tcPr>
            <w:tcW w:w="2533" w:type="dxa"/>
            <w:gridSpan w:val="6"/>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按目标完成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 w:hAnsi="仿宋" w:eastAsia="仿宋" w:cs="仿宋"/>
                <w:sz w:val="28"/>
                <w:szCs w:val="28"/>
              </w:rPr>
            </w:pPr>
          </w:p>
        </w:tc>
        <w:tc>
          <w:tcPr>
            <w:tcW w:w="1662" w:type="dxa"/>
            <w:gridSpan w:val="3"/>
            <w:vMerge w:val="continue"/>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p>
        </w:tc>
        <w:tc>
          <w:tcPr>
            <w:tcW w:w="1521" w:type="dxa"/>
            <w:gridSpan w:val="2"/>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经济效益</w:t>
            </w:r>
          </w:p>
        </w:tc>
        <w:tc>
          <w:tcPr>
            <w:tcW w:w="2662" w:type="dxa"/>
            <w:gridSpan w:val="4"/>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无</w:t>
            </w:r>
          </w:p>
        </w:tc>
        <w:tc>
          <w:tcPr>
            <w:tcW w:w="2533" w:type="dxa"/>
            <w:gridSpan w:val="6"/>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 w:hAnsi="仿宋" w:eastAsia="仿宋" w:cs="仿宋"/>
                <w:sz w:val="28"/>
                <w:szCs w:val="28"/>
              </w:rPr>
            </w:pPr>
          </w:p>
        </w:tc>
        <w:tc>
          <w:tcPr>
            <w:tcW w:w="1662" w:type="dxa"/>
            <w:gridSpan w:val="3"/>
            <w:vMerge w:val="continue"/>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p>
        </w:tc>
        <w:tc>
          <w:tcPr>
            <w:tcW w:w="1521" w:type="dxa"/>
            <w:gridSpan w:val="2"/>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生态效益</w:t>
            </w:r>
          </w:p>
        </w:tc>
        <w:tc>
          <w:tcPr>
            <w:tcW w:w="2662" w:type="dxa"/>
            <w:gridSpan w:val="4"/>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指标1：优化场馆环境，提升场馆艺术氛围。</w:t>
            </w:r>
          </w:p>
        </w:tc>
        <w:tc>
          <w:tcPr>
            <w:tcW w:w="2533" w:type="dxa"/>
            <w:gridSpan w:val="6"/>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 w:hAnsi="仿宋" w:eastAsia="仿宋" w:cs="仿宋"/>
                <w:sz w:val="28"/>
                <w:szCs w:val="28"/>
              </w:rPr>
            </w:pPr>
          </w:p>
        </w:tc>
        <w:tc>
          <w:tcPr>
            <w:tcW w:w="1662" w:type="dxa"/>
            <w:gridSpan w:val="3"/>
            <w:vMerge w:val="continue"/>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p>
        </w:tc>
        <w:tc>
          <w:tcPr>
            <w:tcW w:w="1521" w:type="dxa"/>
            <w:gridSpan w:val="2"/>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社会公众或服务对象满意度</w:t>
            </w:r>
          </w:p>
        </w:tc>
        <w:tc>
          <w:tcPr>
            <w:tcW w:w="2662" w:type="dxa"/>
            <w:gridSpan w:val="4"/>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指标：社会公众满意度达93％</w:t>
            </w:r>
          </w:p>
        </w:tc>
        <w:tc>
          <w:tcPr>
            <w:tcW w:w="2533" w:type="dxa"/>
            <w:gridSpan w:val="6"/>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98</w:t>
            </w:r>
            <w:r>
              <w:rPr>
                <w:rFonts w:hint="eastAsia" w:ascii="仿宋" w:hAnsi="仿宋" w:eastAsia="仿宋" w:cs="仿宋"/>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3103" w:type="dxa"/>
            <w:gridSpan w:val="4"/>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绩效自评综合得分</w:t>
            </w:r>
          </w:p>
        </w:tc>
        <w:tc>
          <w:tcPr>
            <w:tcW w:w="6716" w:type="dxa"/>
            <w:gridSpan w:val="12"/>
            <w:noWrap/>
            <w:vAlign w:val="center"/>
          </w:tcPr>
          <w:p>
            <w:pPr>
              <w:autoSpaceDN w:val="0"/>
              <w:spacing w:line="32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9</w:t>
            </w:r>
            <w:r>
              <w:rPr>
                <w:rFonts w:hint="eastAsia" w:ascii="仿宋" w:hAnsi="仿宋" w:eastAsia="仿宋" w:cs="仿宋"/>
                <w:color w:val="000000"/>
                <w:sz w:val="28"/>
                <w:szCs w:val="28"/>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3103" w:type="dxa"/>
            <w:gridSpan w:val="4"/>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评价等次</w:t>
            </w:r>
          </w:p>
        </w:tc>
        <w:tc>
          <w:tcPr>
            <w:tcW w:w="6716" w:type="dxa"/>
            <w:gridSpan w:val="12"/>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19" w:type="dxa"/>
            <w:gridSpan w:val="16"/>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b/>
                <w:bCs/>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姓  名</w:t>
            </w:r>
          </w:p>
        </w:tc>
        <w:tc>
          <w:tcPr>
            <w:tcW w:w="3838" w:type="dxa"/>
            <w:gridSpan w:val="5"/>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职务/职称</w:t>
            </w:r>
          </w:p>
        </w:tc>
        <w:tc>
          <w:tcPr>
            <w:tcW w:w="2134" w:type="dxa"/>
            <w:gridSpan w:val="4"/>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单  位</w:t>
            </w:r>
          </w:p>
        </w:tc>
        <w:tc>
          <w:tcPr>
            <w:tcW w:w="2193" w:type="dxa"/>
            <w:gridSpan w:val="5"/>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刘英</w:t>
            </w:r>
          </w:p>
        </w:tc>
        <w:tc>
          <w:tcPr>
            <w:tcW w:w="3838" w:type="dxa"/>
            <w:gridSpan w:val="5"/>
            <w:noWrap/>
            <w:vAlign w:val="center"/>
          </w:tcPr>
          <w:p>
            <w:pPr>
              <w:autoSpaceDN w:val="0"/>
              <w:spacing w:line="32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副局长</w:t>
            </w:r>
          </w:p>
        </w:tc>
        <w:tc>
          <w:tcPr>
            <w:tcW w:w="2134" w:type="dxa"/>
            <w:gridSpan w:val="4"/>
            <w:noWrap/>
            <w:vAlign w:val="center"/>
          </w:tcPr>
          <w:p>
            <w:pPr>
              <w:autoSpaceDN w:val="0"/>
              <w:spacing w:line="32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岳阳楼区文化旅游广电体育局</w:t>
            </w:r>
          </w:p>
        </w:tc>
        <w:tc>
          <w:tcPr>
            <w:tcW w:w="2193" w:type="dxa"/>
            <w:gridSpan w:val="5"/>
            <w:noWrap/>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邹进文</w:t>
            </w:r>
          </w:p>
        </w:tc>
        <w:tc>
          <w:tcPr>
            <w:tcW w:w="3838" w:type="dxa"/>
            <w:gridSpan w:val="5"/>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馆长</w:t>
            </w:r>
          </w:p>
        </w:tc>
        <w:tc>
          <w:tcPr>
            <w:tcW w:w="2134" w:type="dxa"/>
            <w:gridSpan w:val="4"/>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岳阳楼区文化馆</w:t>
            </w:r>
          </w:p>
        </w:tc>
        <w:tc>
          <w:tcPr>
            <w:tcW w:w="2193" w:type="dxa"/>
            <w:gridSpan w:val="5"/>
            <w:noWrap/>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许天柔</w:t>
            </w:r>
          </w:p>
        </w:tc>
        <w:tc>
          <w:tcPr>
            <w:tcW w:w="3838" w:type="dxa"/>
            <w:gridSpan w:val="5"/>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副馆长</w:t>
            </w:r>
          </w:p>
        </w:tc>
        <w:tc>
          <w:tcPr>
            <w:tcW w:w="2134" w:type="dxa"/>
            <w:gridSpan w:val="4"/>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岳阳楼区文化馆</w:t>
            </w:r>
          </w:p>
        </w:tc>
        <w:tc>
          <w:tcPr>
            <w:tcW w:w="2193" w:type="dxa"/>
            <w:gridSpan w:val="5"/>
            <w:noWrap/>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ind w:firstLine="560" w:firstLineChars="200"/>
              <w:textAlignment w:val="center"/>
              <w:rPr>
                <w:rFonts w:ascii="仿宋" w:hAnsi="仿宋" w:eastAsia="仿宋" w:cs="仿宋"/>
                <w:color w:val="000000"/>
                <w:sz w:val="28"/>
                <w:szCs w:val="28"/>
              </w:rPr>
            </w:pPr>
            <w:r>
              <w:rPr>
                <w:rFonts w:hint="eastAsia" w:ascii="仿宋" w:hAnsi="仿宋" w:eastAsia="仿宋" w:cs="仿宋"/>
                <w:color w:val="000000"/>
                <w:sz w:val="28"/>
                <w:szCs w:val="28"/>
              </w:rPr>
              <w:t>张红梅</w:t>
            </w:r>
          </w:p>
        </w:tc>
        <w:tc>
          <w:tcPr>
            <w:tcW w:w="3838" w:type="dxa"/>
            <w:gridSpan w:val="5"/>
            <w:noWrap/>
            <w:vAlign w:val="center"/>
          </w:tcPr>
          <w:p>
            <w:pPr>
              <w:autoSpaceDN w:val="0"/>
              <w:spacing w:line="320" w:lineRule="exact"/>
              <w:jc w:val="center"/>
              <w:textAlignment w:val="center"/>
              <w:rPr>
                <w:rFonts w:ascii="仿宋" w:hAnsi="仿宋" w:eastAsia="仿宋" w:cs="仿宋"/>
                <w:color w:val="000000"/>
                <w:sz w:val="28"/>
                <w:szCs w:val="28"/>
              </w:rPr>
            </w:pPr>
          </w:p>
        </w:tc>
        <w:tc>
          <w:tcPr>
            <w:tcW w:w="2134" w:type="dxa"/>
            <w:gridSpan w:val="4"/>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岳阳楼区文化馆</w:t>
            </w:r>
          </w:p>
        </w:tc>
        <w:tc>
          <w:tcPr>
            <w:tcW w:w="2193" w:type="dxa"/>
            <w:gridSpan w:val="5"/>
            <w:noWrap/>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67" w:hRule="atLeast"/>
          <w:jc w:val="center"/>
        </w:trPr>
        <w:tc>
          <w:tcPr>
            <w:tcW w:w="9819" w:type="dxa"/>
            <w:gridSpan w:val="16"/>
            <w:noWrap/>
            <w:vAlign w:val="center"/>
          </w:tcPr>
          <w:p>
            <w:pPr>
              <w:autoSpaceDN w:val="0"/>
              <w:spacing w:line="320" w:lineRule="exact"/>
              <w:jc w:val="left"/>
              <w:textAlignment w:val="center"/>
              <w:rPr>
                <w:rFonts w:ascii="仿宋" w:hAnsi="仿宋" w:eastAsia="仿宋" w:cs="仿宋"/>
                <w:color w:val="000000"/>
                <w:sz w:val="28"/>
                <w:szCs w:val="28"/>
              </w:rPr>
            </w:pPr>
            <w:r>
              <w:rPr>
                <w:rFonts w:hint="eastAsia" w:ascii="仿宋" w:hAnsi="仿宋" w:eastAsia="仿宋" w:cs="仿宋"/>
                <w:color w:val="000000"/>
                <w:sz w:val="28"/>
                <w:szCs w:val="28"/>
              </w:rPr>
              <w:t>评价组组长（签字）：</w:t>
            </w:r>
          </w:p>
          <w:p>
            <w:pPr>
              <w:autoSpaceDN w:val="0"/>
              <w:spacing w:line="320" w:lineRule="exact"/>
              <w:jc w:val="left"/>
              <w:textAlignment w:val="center"/>
              <w:rPr>
                <w:rFonts w:ascii="仿宋" w:hAnsi="仿宋" w:eastAsia="仿宋" w:cs="仿宋"/>
                <w:color w:val="000000"/>
                <w:sz w:val="28"/>
                <w:szCs w:val="28"/>
              </w:rPr>
            </w:pPr>
          </w:p>
          <w:p>
            <w:pPr>
              <w:autoSpaceDN w:val="0"/>
              <w:spacing w:line="320" w:lineRule="exact"/>
              <w:jc w:val="left"/>
              <w:textAlignment w:val="center"/>
              <w:rPr>
                <w:rFonts w:ascii="仿宋" w:hAnsi="仿宋" w:eastAsia="仿宋" w:cs="仿宋"/>
                <w:color w:val="000000"/>
                <w:sz w:val="28"/>
                <w:szCs w:val="28"/>
              </w:rPr>
            </w:pPr>
          </w:p>
          <w:p>
            <w:pPr>
              <w:autoSpaceDN w:val="0"/>
              <w:spacing w:line="320" w:lineRule="exact"/>
              <w:jc w:val="left"/>
              <w:textAlignment w:val="center"/>
              <w:rPr>
                <w:rFonts w:ascii="仿宋" w:hAnsi="仿宋" w:eastAsia="仿宋" w:cs="仿宋"/>
                <w:color w:val="000000"/>
                <w:sz w:val="28"/>
                <w:szCs w:val="28"/>
              </w:rPr>
            </w:pPr>
          </w:p>
          <w:p>
            <w:pPr>
              <w:autoSpaceDN w:val="0"/>
              <w:spacing w:line="320" w:lineRule="exact"/>
              <w:jc w:val="left"/>
              <w:textAlignment w:val="center"/>
              <w:rPr>
                <w:rFonts w:ascii="仿宋" w:hAnsi="仿宋" w:eastAsia="仿宋" w:cs="仿宋"/>
                <w:color w:val="000000"/>
                <w:sz w:val="28"/>
                <w:szCs w:val="28"/>
              </w:rPr>
            </w:pPr>
          </w:p>
          <w:p>
            <w:pPr>
              <w:autoSpaceDN w:val="0"/>
              <w:spacing w:line="320" w:lineRule="exact"/>
              <w:jc w:val="left"/>
              <w:textAlignment w:val="center"/>
              <w:rPr>
                <w:rFonts w:ascii="仿宋" w:hAnsi="仿宋" w:eastAsia="仿宋" w:cs="仿宋"/>
                <w:color w:val="000000"/>
                <w:sz w:val="28"/>
                <w:szCs w:val="28"/>
              </w:rPr>
            </w:pPr>
          </w:p>
          <w:p>
            <w:pPr>
              <w:autoSpaceDN w:val="0"/>
              <w:spacing w:line="320" w:lineRule="exact"/>
              <w:jc w:val="left"/>
              <w:textAlignment w:val="center"/>
              <w:rPr>
                <w:rFonts w:ascii="仿宋" w:hAnsi="仿宋" w:eastAsia="仿宋" w:cs="仿宋"/>
                <w:color w:val="000000"/>
                <w:sz w:val="28"/>
                <w:szCs w:val="28"/>
              </w:rPr>
            </w:pPr>
            <w:r>
              <w:rPr>
                <w:rFonts w:hint="eastAsia" w:ascii="仿宋" w:hAnsi="仿宋" w:eastAsia="仿宋" w:cs="仿宋"/>
                <w:color w:val="000000"/>
                <w:sz w:val="28"/>
                <w:szCs w:val="28"/>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92" w:hRule="atLeast"/>
          <w:jc w:val="center"/>
        </w:trPr>
        <w:tc>
          <w:tcPr>
            <w:tcW w:w="9819" w:type="dxa"/>
            <w:gridSpan w:val="16"/>
            <w:noWrap/>
            <w:vAlign w:val="center"/>
          </w:tcPr>
          <w:p>
            <w:pPr>
              <w:autoSpaceDN w:val="0"/>
              <w:spacing w:line="320" w:lineRule="exact"/>
              <w:jc w:val="left"/>
              <w:textAlignment w:val="center"/>
              <w:rPr>
                <w:rFonts w:ascii="仿宋" w:hAnsi="仿宋" w:eastAsia="仿宋" w:cs="仿宋"/>
                <w:color w:val="000000"/>
                <w:sz w:val="28"/>
                <w:szCs w:val="28"/>
              </w:rPr>
            </w:pPr>
            <w:r>
              <w:rPr>
                <w:rFonts w:hint="eastAsia" w:ascii="仿宋" w:hAnsi="仿宋" w:eastAsia="仿宋" w:cs="仿宋"/>
                <w:color w:val="000000"/>
                <w:sz w:val="28"/>
                <w:szCs w:val="28"/>
              </w:rPr>
              <w:t>部门（单位）意见：</w:t>
            </w:r>
          </w:p>
          <w:p>
            <w:pPr>
              <w:autoSpaceDN w:val="0"/>
              <w:spacing w:line="320" w:lineRule="exact"/>
              <w:jc w:val="left"/>
              <w:textAlignment w:val="center"/>
              <w:rPr>
                <w:rFonts w:ascii="仿宋" w:hAnsi="仿宋" w:eastAsia="仿宋" w:cs="仿宋"/>
                <w:color w:val="000000"/>
                <w:sz w:val="28"/>
                <w:szCs w:val="28"/>
              </w:rPr>
            </w:pPr>
          </w:p>
          <w:p>
            <w:pPr>
              <w:autoSpaceDN w:val="0"/>
              <w:spacing w:line="320" w:lineRule="exact"/>
              <w:jc w:val="left"/>
              <w:textAlignment w:val="center"/>
              <w:rPr>
                <w:rFonts w:ascii="仿宋" w:hAnsi="仿宋" w:eastAsia="仿宋" w:cs="仿宋"/>
                <w:color w:val="000000"/>
                <w:sz w:val="28"/>
                <w:szCs w:val="28"/>
              </w:rPr>
            </w:pPr>
          </w:p>
          <w:p>
            <w:pPr>
              <w:autoSpaceDN w:val="0"/>
              <w:spacing w:line="320" w:lineRule="exact"/>
              <w:jc w:val="left"/>
              <w:textAlignment w:val="center"/>
              <w:rPr>
                <w:rFonts w:ascii="仿宋" w:hAnsi="仿宋" w:eastAsia="仿宋" w:cs="仿宋"/>
                <w:color w:val="000000"/>
                <w:sz w:val="28"/>
                <w:szCs w:val="28"/>
              </w:rPr>
            </w:pPr>
          </w:p>
          <w:p>
            <w:pPr>
              <w:autoSpaceDN w:val="0"/>
              <w:spacing w:line="320" w:lineRule="exact"/>
              <w:jc w:val="left"/>
              <w:textAlignment w:val="center"/>
              <w:rPr>
                <w:rFonts w:ascii="仿宋" w:hAnsi="仿宋" w:eastAsia="仿宋" w:cs="仿宋"/>
                <w:color w:val="000000"/>
                <w:sz w:val="28"/>
                <w:szCs w:val="28"/>
              </w:rPr>
            </w:pPr>
          </w:p>
          <w:p>
            <w:pPr>
              <w:autoSpaceDN w:val="0"/>
              <w:spacing w:line="320" w:lineRule="exact"/>
              <w:jc w:val="left"/>
              <w:textAlignment w:val="center"/>
              <w:rPr>
                <w:rFonts w:ascii="仿宋" w:hAnsi="仿宋" w:eastAsia="仿宋" w:cs="仿宋"/>
                <w:color w:val="000000"/>
                <w:sz w:val="28"/>
                <w:szCs w:val="28"/>
              </w:rPr>
            </w:pPr>
            <w:r>
              <w:rPr>
                <w:rFonts w:hint="eastAsia" w:ascii="仿宋" w:hAnsi="仿宋" w:eastAsia="仿宋" w:cs="仿宋"/>
                <w:color w:val="000000"/>
                <w:sz w:val="28"/>
                <w:szCs w:val="28"/>
              </w:rPr>
              <w:t xml:space="preserve">                                         部门（单位）负责人（签章）：</w:t>
            </w:r>
          </w:p>
          <w:p>
            <w:pPr>
              <w:autoSpaceDN w:val="0"/>
              <w:spacing w:line="320" w:lineRule="exact"/>
              <w:jc w:val="left"/>
              <w:textAlignment w:val="center"/>
              <w:rPr>
                <w:rFonts w:ascii="仿宋" w:hAnsi="仿宋" w:eastAsia="仿宋" w:cs="仿宋"/>
                <w:color w:val="000000"/>
                <w:sz w:val="28"/>
                <w:szCs w:val="28"/>
              </w:rPr>
            </w:pPr>
            <w:r>
              <w:rPr>
                <w:rFonts w:hint="eastAsia" w:ascii="仿宋" w:hAnsi="仿宋" w:eastAsia="仿宋" w:cs="仿宋"/>
                <w:color w:val="000000"/>
                <w:sz w:val="28"/>
                <w:szCs w:val="28"/>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332" w:hRule="atLeast"/>
          <w:jc w:val="center"/>
        </w:trPr>
        <w:tc>
          <w:tcPr>
            <w:tcW w:w="9819" w:type="dxa"/>
            <w:gridSpan w:val="16"/>
            <w:noWrap/>
            <w:vAlign w:val="center"/>
          </w:tcPr>
          <w:p>
            <w:pPr>
              <w:spacing w:line="320" w:lineRule="exact"/>
              <w:rPr>
                <w:rFonts w:ascii="仿宋" w:hAnsi="仿宋" w:eastAsia="仿宋" w:cs="仿宋"/>
                <w:sz w:val="28"/>
                <w:szCs w:val="28"/>
              </w:rPr>
            </w:pPr>
            <w:r>
              <w:rPr>
                <w:rFonts w:hint="eastAsia" w:ascii="仿宋" w:hAnsi="仿宋" w:eastAsia="仿宋" w:cs="仿宋"/>
                <w:sz w:val="28"/>
                <w:szCs w:val="28"/>
              </w:rPr>
              <w:t>财政部门归口业务科室意见：</w:t>
            </w:r>
          </w:p>
          <w:p>
            <w:pPr>
              <w:spacing w:line="320" w:lineRule="exact"/>
              <w:rPr>
                <w:rFonts w:ascii="仿宋" w:hAnsi="仿宋" w:eastAsia="仿宋" w:cs="仿宋"/>
                <w:sz w:val="28"/>
                <w:szCs w:val="28"/>
              </w:rPr>
            </w:pPr>
          </w:p>
          <w:p>
            <w:pPr>
              <w:spacing w:line="320" w:lineRule="exact"/>
              <w:rPr>
                <w:rFonts w:ascii="仿宋" w:hAnsi="仿宋" w:eastAsia="仿宋" w:cs="仿宋"/>
                <w:sz w:val="28"/>
                <w:szCs w:val="28"/>
              </w:rPr>
            </w:pPr>
          </w:p>
          <w:p>
            <w:pPr>
              <w:spacing w:line="320" w:lineRule="exact"/>
              <w:rPr>
                <w:rFonts w:ascii="仿宋" w:hAnsi="仿宋" w:eastAsia="仿宋" w:cs="仿宋"/>
                <w:sz w:val="28"/>
                <w:szCs w:val="28"/>
              </w:rPr>
            </w:pPr>
          </w:p>
          <w:p>
            <w:pPr>
              <w:spacing w:line="320" w:lineRule="exact"/>
              <w:rPr>
                <w:rFonts w:ascii="仿宋" w:hAnsi="仿宋" w:eastAsia="仿宋" w:cs="仿宋"/>
                <w:sz w:val="28"/>
                <w:szCs w:val="28"/>
              </w:rPr>
            </w:pPr>
          </w:p>
          <w:p>
            <w:pPr>
              <w:spacing w:line="320" w:lineRule="exact"/>
              <w:rPr>
                <w:rFonts w:ascii="仿宋" w:hAnsi="仿宋" w:eastAsia="仿宋" w:cs="仿宋"/>
                <w:sz w:val="28"/>
                <w:szCs w:val="28"/>
              </w:rPr>
            </w:pPr>
            <w:r>
              <w:rPr>
                <w:rFonts w:hint="eastAsia" w:ascii="仿宋" w:hAnsi="仿宋" w:eastAsia="仿宋" w:cs="仿宋"/>
                <w:sz w:val="28"/>
                <w:szCs w:val="28"/>
              </w:rPr>
              <w:t xml:space="preserve">                                  财政部门归口业务科室负责人（签章）：</w:t>
            </w:r>
          </w:p>
          <w:p>
            <w:pPr>
              <w:autoSpaceDN w:val="0"/>
              <w:spacing w:line="320" w:lineRule="exact"/>
              <w:jc w:val="left"/>
              <w:textAlignment w:val="center"/>
              <w:rPr>
                <w:rFonts w:ascii="仿宋" w:hAnsi="仿宋" w:eastAsia="仿宋" w:cs="仿宋"/>
                <w:color w:val="000000"/>
                <w:sz w:val="28"/>
                <w:szCs w:val="28"/>
              </w:rPr>
            </w:pPr>
            <w:r>
              <w:rPr>
                <w:rFonts w:hint="eastAsia" w:ascii="仿宋" w:hAnsi="仿宋" w:eastAsia="仿宋" w:cs="仿宋"/>
                <w:sz w:val="28"/>
                <w:szCs w:val="28"/>
              </w:rPr>
              <w:t xml:space="preserve">                                                      年    月   日</w:t>
            </w:r>
          </w:p>
        </w:tc>
      </w:tr>
    </w:tbl>
    <w:p>
      <w:pPr>
        <w:rPr>
          <w:rFonts w:ascii="仿宋" w:hAnsi="仿宋" w:eastAsia="仿宋" w:cs="仿宋"/>
          <w:bCs/>
          <w:sz w:val="28"/>
          <w:szCs w:val="28"/>
        </w:rPr>
      </w:pPr>
      <w:r>
        <w:rPr>
          <w:rFonts w:hint="eastAsia" w:ascii="仿宋" w:hAnsi="仿宋" w:eastAsia="仿宋" w:cs="仿宋"/>
          <w:bCs/>
          <w:sz w:val="28"/>
          <w:szCs w:val="28"/>
        </w:rPr>
        <w:t>填报人（签名）：  张红梅                   联系电话：8759880</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9558" w:type="dxa"/>
            <w:noWrap/>
          </w:tcPr>
          <w:p>
            <w:pPr>
              <w:jc w:val="center"/>
              <w:rPr>
                <w:rFonts w:ascii="黑体" w:hAnsi="黑体" w:eastAsia="黑体" w:cs="黑体"/>
                <w:b/>
                <w:sz w:val="28"/>
                <w:szCs w:val="28"/>
              </w:rPr>
            </w:pPr>
            <w:r>
              <w:rPr>
                <w:rFonts w:hint="eastAsia" w:ascii="黑体" w:hAnsi="黑体" w:eastAsia="黑体" w:cs="黑体"/>
                <w:bCs/>
                <w:sz w:val="28"/>
                <w:szCs w:val="28"/>
              </w:rPr>
              <w:t>五、</w:t>
            </w:r>
            <w:r>
              <w:rPr>
                <w:rFonts w:hint="eastAsia" w:ascii="黑体" w:hAnsi="黑体" w:eastAsia="黑体" w:cs="黑体"/>
                <w:b/>
                <w:sz w:val="28"/>
                <w:szCs w:val="28"/>
              </w:rPr>
              <w:t>绩效评价报告综述（文字部分）</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1687" w:firstLineChars="600"/>
              <w:jc w:val="both"/>
              <w:textAlignment w:val="auto"/>
              <w:rPr>
                <w:rFonts w:hint="eastAsia" w:ascii="仿宋" w:hAnsi="仿宋" w:eastAsia="仿宋" w:cs="仿宋"/>
                <w:sz w:val="28"/>
                <w:szCs w:val="28"/>
              </w:rPr>
            </w:pPr>
            <w:r>
              <w:rPr>
                <w:rFonts w:hint="eastAsia" w:ascii="仿宋" w:hAnsi="仿宋" w:eastAsia="仿宋" w:cs="仿宋"/>
                <w:b/>
                <w:bCs/>
                <w:sz w:val="28"/>
                <w:szCs w:val="28"/>
              </w:rPr>
              <w:t>岳阳楼区文化</w:t>
            </w:r>
            <w:r>
              <w:rPr>
                <w:rFonts w:hint="eastAsia" w:ascii="仿宋" w:hAnsi="仿宋" w:eastAsia="仿宋" w:cs="仿宋"/>
                <w:b/>
                <w:bCs/>
                <w:sz w:val="28"/>
                <w:szCs w:val="28"/>
                <w:lang w:eastAsia="zh-CN"/>
              </w:rPr>
              <w:t>馆</w:t>
            </w:r>
            <w:r>
              <w:rPr>
                <w:rFonts w:hint="eastAsia" w:ascii="仿宋" w:hAnsi="仿宋" w:eastAsia="仿宋" w:cs="仿宋"/>
                <w:b/>
                <w:bCs/>
                <w:sz w:val="28"/>
                <w:szCs w:val="28"/>
              </w:rPr>
              <w:t>20</w:t>
            </w:r>
            <w:r>
              <w:rPr>
                <w:rFonts w:hint="eastAsia" w:ascii="仿宋" w:hAnsi="仿宋" w:eastAsia="仿宋" w:cs="仿宋"/>
                <w:b/>
                <w:bCs/>
                <w:sz w:val="28"/>
                <w:szCs w:val="28"/>
                <w:lang w:val="en-US" w:eastAsia="zh-CN"/>
              </w:rPr>
              <w:t>20</w:t>
            </w:r>
            <w:r>
              <w:rPr>
                <w:rFonts w:hint="eastAsia" w:ascii="仿宋" w:hAnsi="仿宋" w:eastAsia="仿宋" w:cs="仿宋"/>
                <w:b/>
                <w:bCs/>
                <w:sz w:val="28"/>
                <w:szCs w:val="28"/>
              </w:rPr>
              <w:t>年整体支出绩效自评</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 w:hAnsi="仿宋" w:eastAsia="仿宋" w:cs="仿宋"/>
                <w:sz w:val="28"/>
                <w:szCs w:val="28"/>
              </w:rPr>
            </w:pPr>
            <w:r>
              <w:rPr>
                <w:rFonts w:hint="eastAsia" w:ascii="仿宋" w:hAnsi="仿宋" w:eastAsia="仿宋" w:cs="仿宋"/>
                <w:b/>
                <w:bCs/>
                <w:sz w:val="28"/>
                <w:szCs w:val="28"/>
              </w:rPr>
              <w:t>一、单位概况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rPr>
              <w:t>（一）单位基本情况。</w:t>
            </w:r>
            <w:r>
              <w:rPr>
                <w:rFonts w:hint="eastAsia" w:ascii="仿宋" w:hAnsi="仿宋" w:eastAsia="仿宋" w:cs="仿宋"/>
                <w:bCs/>
                <w:sz w:val="28"/>
                <w:szCs w:val="28"/>
                <w:lang w:eastAsia="zh-CN"/>
              </w:rPr>
              <w:t>本单位是</w:t>
            </w:r>
            <w:r>
              <w:rPr>
                <w:rFonts w:hint="eastAsia" w:ascii="仿宋" w:hAnsi="仿宋" w:eastAsia="仿宋" w:cs="仿宋"/>
                <w:color w:val="000000"/>
                <w:sz w:val="28"/>
                <w:szCs w:val="28"/>
                <w:lang w:eastAsia="zh-CN"/>
              </w:rPr>
              <w:t>全额拨款</w:t>
            </w:r>
            <w:r>
              <w:rPr>
                <w:rFonts w:hint="eastAsia" w:ascii="仿宋" w:hAnsi="仿宋" w:eastAsia="仿宋" w:cs="仿宋"/>
                <w:color w:val="000000"/>
                <w:sz w:val="28"/>
                <w:szCs w:val="28"/>
              </w:rPr>
              <w:t>事业单位</w:t>
            </w:r>
            <w:r>
              <w:rPr>
                <w:rFonts w:hint="eastAsia" w:ascii="仿宋" w:hAnsi="仿宋" w:eastAsia="仿宋" w:cs="仿宋"/>
                <w:color w:val="000000"/>
                <w:sz w:val="28"/>
                <w:szCs w:val="28"/>
                <w:lang w:eastAsia="zh-CN"/>
              </w:rPr>
              <w:t>编制</w:t>
            </w:r>
            <w:r>
              <w:rPr>
                <w:rFonts w:hint="eastAsia" w:ascii="仿宋" w:hAnsi="仿宋" w:eastAsia="仿宋" w:cs="仿宋"/>
                <w:color w:val="000000"/>
                <w:sz w:val="28"/>
                <w:szCs w:val="28"/>
                <w:lang w:val="en-US" w:eastAsia="zh-CN"/>
              </w:rPr>
              <w:t>16名</w:t>
            </w:r>
            <w:r>
              <w:rPr>
                <w:rFonts w:hint="eastAsia" w:ascii="仿宋" w:hAnsi="仿宋" w:eastAsia="仿宋" w:cs="仿宋"/>
                <w:color w:val="000000"/>
                <w:sz w:val="28"/>
                <w:szCs w:val="28"/>
                <w:lang w:eastAsia="zh-CN"/>
              </w:rPr>
              <w:t>，在职</w:t>
            </w:r>
            <w:r>
              <w:rPr>
                <w:rFonts w:hint="eastAsia" w:ascii="仿宋" w:hAnsi="仿宋" w:eastAsia="仿宋" w:cs="仿宋"/>
                <w:color w:val="000000"/>
                <w:sz w:val="28"/>
                <w:szCs w:val="28"/>
                <w:lang w:val="en-US" w:eastAsia="zh-CN"/>
              </w:rPr>
              <w:t>14名，退休10名，</w:t>
            </w:r>
            <w:r>
              <w:rPr>
                <w:rFonts w:hint="eastAsia" w:ascii="仿宋" w:hAnsi="仿宋" w:eastAsia="仿宋" w:cs="仿宋"/>
                <w:color w:val="000000"/>
                <w:sz w:val="28"/>
                <w:szCs w:val="28"/>
              </w:rPr>
              <w:t>实行独立核算</w:t>
            </w:r>
            <w:r>
              <w:rPr>
                <w:rFonts w:hint="eastAsia" w:ascii="仿宋" w:hAnsi="仿宋" w:eastAsia="仿宋" w:cs="仿宋"/>
                <w:color w:val="000000"/>
                <w:sz w:val="28"/>
                <w:szCs w:val="28"/>
                <w:lang w:eastAsia="zh-CN"/>
              </w:rPr>
              <w:t>单位。</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rPr>
              <w:t>（二）单位整体收入、支出基本情况。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20</w:t>
            </w:r>
            <w:r>
              <w:rPr>
                <w:rFonts w:hint="eastAsia" w:ascii="仿宋" w:hAnsi="仿宋" w:eastAsia="仿宋" w:cs="仿宋"/>
                <w:sz w:val="28"/>
                <w:szCs w:val="28"/>
                <w:lang w:val="en-US" w:eastAsia="zh-CN"/>
              </w:rPr>
              <w:t>20</w:t>
            </w:r>
            <w:r>
              <w:rPr>
                <w:rFonts w:hint="eastAsia" w:ascii="仿宋" w:hAnsi="仿宋" w:eastAsia="仿宋" w:cs="仿宋"/>
                <w:sz w:val="28"/>
                <w:szCs w:val="28"/>
              </w:rPr>
              <w:t>年我</w:t>
            </w:r>
            <w:r>
              <w:rPr>
                <w:rFonts w:hint="eastAsia" w:ascii="仿宋" w:hAnsi="仿宋" w:eastAsia="仿宋" w:cs="仿宋"/>
                <w:sz w:val="28"/>
                <w:szCs w:val="28"/>
                <w:lang w:eastAsia="zh-CN"/>
              </w:rPr>
              <w:t>馆</w:t>
            </w:r>
            <w:r>
              <w:rPr>
                <w:rFonts w:hint="eastAsia" w:ascii="仿宋" w:hAnsi="仿宋" w:eastAsia="仿宋" w:cs="仿宋"/>
                <w:sz w:val="28"/>
                <w:szCs w:val="28"/>
              </w:rPr>
              <w:t>整体收入</w:t>
            </w:r>
            <w:r>
              <w:rPr>
                <w:rFonts w:hint="eastAsia" w:ascii="仿宋" w:hAnsi="仿宋" w:eastAsia="仿宋" w:cs="仿宋"/>
                <w:sz w:val="28"/>
                <w:szCs w:val="28"/>
                <w:lang w:val="en-US" w:eastAsia="zh-CN"/>
              </w:rPr>
              <w:t>334.45</w:t>
            </w:r>
            <w:r>
              <w:rPr>
                <w:rFonts w:hint="eastAsia" w:ascii="仿宋" w:hAnsi="仿宋" w:eastAsia="仿宋" w:cs="仿宋"/>
                <w:sz w:val="28"/>
                <w:szCs w:val="28"/>
              </w:rPr>
              <w:t xml:space="preserve">万元，包括上年结转 </w:t>
            </w:r>
            <w:r>
              <w:rPr>
                <w:rFonts w:hint="eastAsia" w:ascii="仿宋" w:hAnsi="仿宋" w:eastAsia="仿宋" w:cs="仿宋"/>
                <w:sz w:val="28"/>
                <w:szCs w:val="28"/>
                <w:lang w:val="en-US" w:eastAsia="zh-CN"/>
              </w:rPr>
              <w:t>45.86</w:t>
            </w:r>
            <w:r>
              <w:rPr>
                <w:rFonts w:hint="eastAsia" w:ascii="仿宋" w:hAnsi="仿宋" w:eastAsia="仿宋" w:cs="仿宋"/>
                <w:sz w:val="28"/>
                <w:szCs w:val="28"/>
              </w:rPr>
              <w:t>万元，公共财政拨款</w:t>
            </w:r>
            <w:r>
              <w:rPr>
                <w:rFonts w:hint="eastAsia" w:ascii="仿宋" w:hAnsi="仿宋" w:eastAsia="仿宋" w:cs="仿宋"/>
                <w:sz w:val="28"/>
                <w:szCs w:val="28"/>
                <w:lang w:val="en-US" w:eastAsia="zh-CN"/>
              </w:rPr>
              <w:t>269.32</w:t>
            </w:r>
            <w:r>
              <w:rPr>
                <w:rFonts w:hint="eastAsia" w:ascii="仿宋" w:hAnsi="仿宋" w:eastAsia="仿宋" w:cs="仿宋"/>
                <w:sz w:val="28"/>
                <w:szCs w:val="28"/>
              </w:rPr>
              <w:t>万元和其他收入</w:t>
            </w:r>
            <w:r>
              <w:rPr>
                <w:rFonts w:hint="eastAsia" w:ascii="仿宋" w:hAnsi="仿宋" w:eastAsia="仿宋" w:cs="仿宋"/>
                <w:sz w:val="28"/>
                <w:szCs w:val="28"/>
                <w:lang w:val="en-US" w:eastAsia="zh-CN"/>
              </w:rPr>
              <w:t>19.27</w:t>
            </w:r>
            <w:r>
              <w:rPr>
                <w:rFonts w:hint="eastAsia" w:ascii="仿宋" w:hAnsi="仿宋" w:eastAsia="仿宋" w:cs="仿宋"/>
                <w:sz w:val="28"/>
                <w:szCs w:val="28"/>
              </w:rPr>
              <w:t>万元。整体支出</w:t>
            </w:r>
            <w:r>
              <w:rPr>
                <w:rFonts w:hint="eastAsia" w:ascii="仿宋" w:hAnsi="仿宋" w:eastAsia="仿宋" w:cs="仿宋"/>
                <w:sz w:val="28"/>
                <w:szCs w:val="28"/>
                <w:lang w:val="en-US" w:eastAsia="zh-CN"/>
              </w:rPr>
              <w:t>333.04</w:t>
            </w:r>
            <w:r>
              <w:rPr>
                <w:rFonts w:hint="eastAsia" w:ascii="仿宋" w:hAnsi="仿宋" w:eastAsia="仿宋" w:cs="仿宋"/>
                <w:sz w:val="28"/>
                <w:szCs w:val="28"/>
              </w:rPr>
              <w:t>万元，包括人员经费和公用经费支出</w:t>
            </w:r>
            <w:r>
              <w:rPr>
                <w:rFonts w:hint="eastAsia" w:ascii="仿宋" w:hAnsi="仿宋" w:eastAsia="仿宋" w:cs="仿宋"/>
                <w:sz w:val="28"/>
                <w:szCs w:val="28"/>
                <w:lang w:val="en-US" w:eastAsia="zh-CN"/>
              </w:rPr>
              <w:t>257.08</w:t>
            </w:r>
            <w:r>
              <w:rPr>
                <w:rFonts w:hint="eastAsia" w:ascii="仿宋" w:hAnsi="仿宋" w:eastAsia="仿宋" w:cs="仿宋"/>
                <w:sz w:val="28"/>
                <w:szCs w:val="28"/>
              </w:rPr>
              <w:t>万元，项目支出</w:t>
            </w:r>
            <w:r>
              <w:rPr>
                <w:rFonts w:hint="eastAsia" w:ascii="仿宋" w:hAnsi="仿宋" w:eastAsia="仿宋" w:cs="仿宋"/>
                <w:sz w:val="28"/>
                <w:szCs w:val="28"/>
                <w:lang w:val="en-US" w:eastAsia="zh-CN"/>
              </w:rPr>
              <w:t>75.96</w:t>
            </w:r>
            <w:r>
              <w:rPr>
                <w:rFonts w:hint="eastAsia" w:ascii="仿宋" w:hAnsi="仿宋" w:eastAsia="仿宋" w:cs="仿宋"/>
                <w:sz w:val="28"/>
                <w:szCs w:val="28"/>
              </w:rPr>
              <w:t>万元。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二、单位整体支出管理及使用情况</w:t>
            </w:r>
          </w:p>
          <w:p>
            <w:pPr>
              <w:keepNext w:val="0"/>
              <w:keepLines w:val="0"/>
              <w:pageBreakBefore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仿宋"/>
                <w:b/>
                <w:kern w:val="0"/>
                <w:sz w:val="28"/>
                <w:szCs w:val="28"/>
              </w:rPr>
            </w:pPr>
            <w:r>
              <w:rPr>
                <w:rFonts w:hint="eastAsia" w:ascii="仿宋" w:hAnsi="仿宋" w:eastAsia="仿宋" w:cs="仿宋"/>
                <w:sz w:val="28"/>
                <w:szCs w:val="28"/>
              </w:rPr>
              <w:t>（一）20</w:t>
            </w:r>
            <w:r>
              <w:rPr>
                <w:rFonts w:hint="eastAsia" w:ascii="仿宋" w:hAnsi="仿宋" w:eastAsia="仿宋" w:cs="仿宋"/>
                <w:sz w:val="28"/>
                <w:szCs w:val="28"/>
                <w:lang w:val="en-US" w:eastAsia="zh-CN"/>
              </w:rPr>
              <w:t>20</w:t>
            </w:r>
            <w:r>
              <w:rPr>
                <w:rFonts w:hint="eastAsia" w:ascii="仿宋" w:hAnsi="仿宋" w:eastAsia="仿宋" w:cs="仿宋"/>
                <w:sz w:val="28"/>
                <w:szCs w:val="28"/>
              </w:rPr>
              <w:t>年整体支出</w:t>
            </w:r>
            <w:r>
              <w:rPr>
                <w:rFonts w:hint="eastAsia" w:ascii="仿宋" w:hAnsi="仿宋" w:eastAsia="仿宋" w:cs="仿宋"/>
                <w:sz w:val="28"/>
                <w:szCs w:val="28"/>
                <w:lang w:val="en-US" w:eastAsia="zh-CN"/>
              </w:rPr>
              <w:t>333.04</w:t>
            </w:r>
            <w:r>
              <w:rPr>
                <w:rFonts w:hint="eastAsia" w:ascii="仿宋" w:hAnsi="仿宋" w:eastAsia="仿宋" w:cs="仿宋"/>
                <w:sz w:val="28"/>
                <w:szCs w:val="28"/>
              </w:rPr>
              <w:t>万元，其中人员经费</w:t>
            </w:r>
            <w:r>
              <w:rPr>
                <w:rFonts w:hint="eastAsia" w:ascii="仿宋" w:hAnsi="仿宋" w:eastAsia="仿宋" w:cs="仿宋"/>
                <w:sz w:val="28"/>
                <w:szCs w:val="28"/>
                <w:lang w:val="en-US" w:eastAsia="zh-CN"/>
              </w:rPr>
              <w:t>231.46</w:t>
            </w:r>
            <w:r>
              <w:rPr>
                <w:rFonts w:hint="eastAsia" w:ascii="仿宋" w:hAnsi="仿宋" w:eastAsia="仿宋" w:cs="仿宋"/>
                <w:sz w:val="28"/>
                <w:szCs w:val="28"/>
              </w:rPr>
              <w:t>万元，包括在职人员</w:t>
            </w:r>
            <w:r>
              <w:rPr>
                <w:rFonts w:hint="eastAsia" w:ascii="仿宋" w:hAnsi="仿宋" w:eastAsia="仿宋" w:cs="仿宋"/>
                <w:sz w:val="28"/>
                <w:szCs w:val="28"/>
                <w:lang w:val="en-US" w:eastAsia="zh-CN"/>
              </w:rPr>
              <w:t>14</w:t>
            </w:r>
            <w:r>
              <w:rPr>
                <w:rFonts w:hint="eastAsia" w:ascii="仿宋" w:hAnsi="仿宋" w:eastAsia="仿宋" w:cs="仿宋"/>
                <w:sz w:val="28"/>
                <w:szCs w:val="28"/>
              </w:rPr>
              <w:t>人，离、退休人员</w:t>
            </w:r>
            <w:r>
              <w:rPr>
                <w:rFonts w:hint="eastAsia" w:ascii="仿宋" w:hAnsi="仿宋" w:eastAsia="仿宋" w:cs="仿宋"/>
                <w:sz w:val="28"/>
                <w:szCs w:val="28"/>
                <w:lang w:val="en-US" w:eastAsia="zh-CN"/>
              </w:rPr>
              <w:t>10</w:t>
            </w:r>
            <w:r>
              <w:rPr>
                <w:rFonts w:hint="eastAsia" w:ascii="仿宋" w:hAnsi="仿宋" w:eastAsia="仿宋" w:cs="仿宋"/>
                <w:sz w:val="28"/>
                <w:szCs w:val="28"/>
              </w:rPr>
              <w:t>人 .公用支出</w:t>
            </w:r>
            <w:r>
              <w:rPr>
                <w:rFonts w:hint="eastAsia" w:ascii="仿宋" w:hAnsi="仿宋" w:eastAsia="仿宋" w:cs="仿宋"/>
                <w:sz w:val="28"/>
                <w:szCs w:val="28"/>
                <w:lang w:val="en-US" w:eastAsia="zh-CN"/>
              </w:rPr>
              <w:t>25.62</w:t>
            </w:r>
            <w:r>
              <w:rPr>
                <w:rFonts w:hint="eastAsia" w:ascii="仿宋" w:hAnsi="仿宋" w:eastAsia="仿宋" w:cs="仿宋"/>
                <w:sz w:val="28"/>
                <w:szCs w:val="28"/>
              </w:rPr>
              <w:t>万元。本年度工资福利支出严格按照要求进行工资统发或规定的标准发放,不存在多发福利现象</w:t>
            </w:r>
            <w:r>
              <w:rPr>
                <w:rFonts w:hint="eastAsia" w:ascii="仿宋" w:hAnsi="仿宋" w:eastAsia="仿宋" w:cs="仿宋"/>
                <w:sz w:val="28"/>
                <w:szCs w:val="28"/>
                <w:lang w:eastAsia="zh-CN"/>
              </w:rPr>
              <w:t>。</w:t>
            </w:r>
            <w:r>
              <w:rPr>
                <w:rFonts w:hint="eastAsia" w:ascii="仿宋" w:hAnsi="仿宋" w:eastAsia="仿宋" w:cs="仿宋"/>
                <w:sz w:val="28"/>
                <w:szCs w:val="28"/>
              </w:rPr>
              <w:t>三公经费</w:t>
            </w:r>
            <w:r>
              <w:rPr>
                <w:rFonts w:hint="eastAsia" w:ascii="仿宋" w:hAnsi="仿宋" w:eastAsia="仿宋" w:cs="仿宋"/>
                <w:sz w:val="28"/>
                <w:szCs w:val="28"/>
                <w:lang w:val="en-US" w:eastAsia="zh-CN"/>
              </w:rPr>
              <w:t>2.02</w:t>
            </w:r>
            <w:r>
              <w:rPr>
                <w:rFonts w:hint="eastAsia" w:ascii="仿宋" w:hAnsi="仿宋" w:eastAsia="仿宋" w:cs="仿宋"/>
                <w:sz w:val="28"/>
                <w:szCs w:val="28"/>
              </w:rPr>
              <w:t>万元</w:t>
            </w:r>
            <w:r>
              <w:rPr>
                <w:rFonts w:hint="eastAsia" w:ascii="仿宋" w:hAnsi="仿宋" w:eastAsia="仿宋" w:cs="仿宋"/>
                <w:sz w:val="28"/>
                <w:szCs w:val="28"/>
                <w:lang w:eastAsia="zh-CN"/>
              </w:rPr>
              <w:t>，</w:t>
            </w:r>
            <w:r>
              <w:rPr>
                <w:rFonts w:hint="eastAsia" w:ascii="仿宋" w:hAnsi="仿宋" w:eastAsia="仿宋" w:cs="仿宋"/>
                <w:sz w:val="28"/>
                <w:szCs w:val="28"/>
              </w:rPr>
              <w:t>三公经费总支出控制较好超未预算。</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rPr>
              <w:t>（二）专项支出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.为切实规范专项资金管理，保障资金安全、高效运行，发挥资金使用效益，我</w:t>
            </w:r>
            <w:r>
              <w:rPr>
                <w:rFonts w:hint="eastAsia" w:ascii="仿宋" w:hAnsi="仿宋" w:eastAsia="仿宋" w:cs="仿宋"/>
                <w:sz w:val="28"/>
                <w:szCs w:val="28"/>
                <w:lang w:eastAsia="zh-CN"/>
              </w:rPr>
              <w:t>馆</w:t>
            </w:r>
            <w:r>
              <w:rPr>
                <w:rFonts w:hint="eastAsia" w:ascii="仿宋" w:hAnsi="仿宋" w:eastAsia="仿宋" w:cs="仿宋"/>
                <w:sz w:val="28"/>
                <w:szCs w:val="28"/>
              </w:rPr>
              <w:t>制定以下管理制度：</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专项资金实行“专人管理、专账核算、专项使用”。</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资金的拨付本着专款专用的原则，严格执行项目资金批准的使用计划和项目批复内容，不准擅自调项、扩项、缩项，更不准拆借、挪用、挤占和随意扣压；资金拨付动向，按不同专项资金的要求执行，不准任意改变；特殊情况，必须请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严格专项资金初审、审核制度，不准缺项和越程序办理手续，各类专项资金审批程序，以该专项资金审批表所列内容和文件要求为佳。</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专项资金报帐拨付要附真实、有效、合法的凭证。</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加强审计监督，实行单项工程决算审计，整体项目验收审计，年度资金收支审计。</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w:t>
            </w:r>
            <w:r>
              <w:rPr>
                <w:rFonts w:hint="eastAsia" w:ascii="仿宋" w:hAnsi="仿宋" w:eastAsia="仿宋" w:cs="仿宋"/>
                <w:sz w:val="28"/>
                <w:szCs w:val="28"/>
              </w:rPr>
              <w:t>对专项资金要定期或不定期进行督查，确保项目资金专款专用。</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 专项资金支出</w:t>
            </w:r>
            <w:r>
              <w:rPr>
                <w:rFonts w:hint="eastAsia" w:ascii="仿宋" w:hAnsi="仿宋" w:eastAsia="仿宋" w:cs="仿宋"/>
                <w:sz w:val="28"/>
                <w:szCs w:val="28"/>
                <w:lang w:val="en-US" w:eastAsia="zh-CN"/>
              </w:rPr>
              <w:t>75.96</w:t>
            </w:r>
            <w:r>
              <w:rPr>
                <w:rFonts w:hint="eastAsia" w:ascii="仿宋" w:hAnsi="仿宋" w:eastAsia="仿宋" w:cs="仿宋"/>
                <w:sz w:val="28"/>
                <w:szCs w:val="28"/>
              </w:rPr>
              <w:t>万元。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）文化馆免费开放支出</w:t>
            </w:r>
            <w:r>
              <w:rPr>
                <w:rFonts w:hint="eastAsia" w:ascii="仿宋" w:hAnsi="仿宋" w:eastAsia="仿宋" w:cs="仿宋"/>
                <w:sz w:val="28"/>
                <w:szCs w:val="28"/>
                <w:lang w:val="en-US" w:eastAsia="zh-CN"/>
              </w:rPr>
              <w:t>28.38万元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流动舞台运行支出2.97万元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文化活动支出15.73万元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文化培训支出3.42万元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公共文化服务建设支出25.46</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三、单位专项组织实施情况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我</w:t>
            </w:r>
            <w:r>
              <w:rPr>
                <w:rFonts w:hint="eastAsia" w:ascii="仿宋" w:hAnsi="仿宋" w:eastAsia="仿宋" w:cs="仿宋"/>
                <w:sz w:val="28"/>
                <w:szCs w:val="28"/>
                <w:lang w:eastAsia="zh-CN"/>
              </w:rPr>
              <w:t>馆</w:t>
            </w:r>
            <w:r>
              <w:rPr>
                <w:rFonts w:hint="eastAsia" w:ascii="仿宋" w:hAnsi="仿宋" w:eastAsia="仿宋" w:cs="仿宋"/>
                <w:sz w:val="28"/>
                <w:szCs w:val="28"/>
              </w:rPr>
              <w:t>专项严格按照招投标、政府采购原则来实施。</w:t>
            </w:r>
          </w:p>
          <w:p>
            <w:pPr>
              <w:keepNext w:val="0"/>
              <w:keepLines w:val="0"/>
              <w:pageBreakBefore w:val="0"/>
              <w:numPr>
                <w:ilvl w:val="0"/>
                <w:numId w:val="2"/>
              </w:numPr>
              <w:kinsoku/>
              <w:wordWrap/>
              <w:overflowPunct/>
              <w:topLinePunct w:val="0"/>
              <w:autoSpaceDE/>
              <w:autoSpaceDN/>
              <w:bidi w:val="0"/>
              <w:adjustRightInd/>
              <w:snapToGrid/>
              <w:spacing w:line="3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单位整体支出绩效情况</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我</w:t>
            </w:r>
            <w:r>
              <w:rPr>
                <w:rFonts w:hint="eastAsia" w:ascii="仿宋" w:hAnsi="仿宋" w:eastAsia="仿宋" w:cs="仿宋"/>
                <w:sz w:val="28"/>
                <w:szCs w:val="28"/>
                <w:lang w:eastAsia="zh-CN"/>
              </w:rPr>
              <w:t>馆</w:t>
            </w:r>
            <w:r>
              <w:rPr>
                <w:rFonts w:hint="eastAsia" w:ascii="仿宋" w:hAnsi="仿宋" w:eastAsia="仿宋" w:cs="仿宋"/>
                <w:sz w:val="28"/>
                <w:szCs w:val="28"/>
              </w:rPr>
              <w:t>围绕中心工作、重点工作，解放思想、创新举措，扎实推进城乡公共文化设施建设，服务水平和服务效能明显提高。</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（一）</w:t>
            </w:r>
            <w:r>
              <w:rPr>
                <w:rFonts w:hint="eastAsia" w:ascii="仿宋" w:hAnsi="仿宋" w:eastAsia="仿宋" w:cs="仿宋"/>
                <w:b w:val="0"/>
                <w:bCs w:val="0"/>
                <w:sz w:val="28"/>
                <w:szCs w:val="28"/>
              </w:rPr>
              <w:t>文化惠民工作</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是开展文艺创作辅导培训，打造文艺作品精品。我馆组织专业老师对群众创作人员进行专业培训与指导，以岳阳市第四届文化艺术节为平台，征集原创文艺作品30余件，书法、美术、摄影作品176件。最终选送书法、美术、摄影作品90件、舞蹈作品《鼓风》参赛。同时，由我馆打造、区文化志愿者倾情出演，以“精准扶贫”为主题的小戏《老夫聊发少年狂》代表岳阳楼区参加湖南省“欢乐潇湘”精准扶贫优秀文艺作品岳阳专场展演。中秋、国庆期间，我馆主办的文艺惠民系列活动，丰富了市民朋友的节庆生活。同时，和区宣传部共同主办“德耀巴陵”启动仪式，助力楼区精神文明建设。</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搭建公共文化服务平台，开展公益文化艺术辅导培训活动。我馆结合文化指导员制度，派遣文化辅导员到各街道（社区）对群众文艺团队进行艺术指导，同时结合“送文化下乡”文艺汇演等活动平台，为受训团队提供展演机会。截至目前，完成“送文化下乡”文艺汇演活动20场次，启动的全年度公益培训15场，其中“</w:t>
            </w:r>
            <w:r>
              <w:rPr>
                <w:rFonts w:hint="eastAsia" w:ascii="仿宋" w:hAnsi="仿宋" w:eastAsia="仿宋" w:cs="仿宋"/>
                <w:bCs/>
                <w:sz w:val="28"/>
                <w:szCs w:val="28"/>
              </w:rPr>
              <w:t>乡村振兴·文化先行”文艺创作采风活动</w:t>
            </w:r>
            <w:r>
              <w:rPr>
                <w:rFonts w:hint="eastAsia" w:ascii="仿宋" w:hAnsi="仿宋" w:eastAsia="仿宋" w:cs="仿宋"/>
                <w:sz w:val="28"/>
                <w:szCs w:val="28"/>
              </w:rPr>
              <w:t>中，艺术家们共创作文艺作品100余件。除此之外，我馆开展健康养生舞培训4场次、“非遗大课堂”-“巴陵剪纸”技艺传授、展示1场次。在培训系列活动中，接受培训对象达6000余人，专业队伍受训达30人次（部分专业培训多次）。</w:t>
            </w:r>
          </w:p>
          <w:p>
            <w:pPr>
              <w:keepNext w:val="0"/>
              <w:keepLines w:val="0"/>
              <w:pageBreakBefore w:val="0"/>
              <w:numPr>
                <w:ilvl w:val="0"/>
                <w:numId w:val="3"/>
              </w:numPr>
              <w:kinsoku/>
              <w:wordWrap/>
              <w:overflowPunct/>
              <w:topLinePunct w:val="0"/>
              <w:autoSpaceDE/>
              <w:autoSpaceDN/>
              <w:bidi w:val="0"/>
              <w:adjustRightInd/>
              <w:snapToGrid/>
              <w:spacing w:line="360" w:lineRule="exact"/>
              <w:ind w:left="-142" w:leftChars="0" w:firstLine="562"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非遗保护工作</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元旦期间，我馆在汴河街岳舞台举办“欢乐新春•多彩非遗”元旦演出活动，同时参与岳阳市流动非遗馆筹备工作。5月完成《洞庭渔歌》书籍的最后编辑排版，并签订印刷出版合同，完成区人大关于非遗保护工作的议案回复。5月底，九华山小学“洞庭渔歌”传承基地举行“庆六一”渔歌竞赛。6月的“文化和自然遗产日”非遗活动中，我区展区共接待游客约5000人次，参与人数超过120人，共有5项非遗项目参展，全部参展企业直接经济收入44214元，不仅向公众普及了我区的非物质文化遗产，还激活了南湖风光带的夜经济，助力文化企业复工复产。</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三</w:t>
            </w:r>
            <w:r>
              <w:rPr>
                <w:rFonts w:hint="eastAsia" w:ascii="仿宋" w:hAnsi="仿宋" w:eastAsia="仿宋" w:cs="仿宋"/>
                <w:b w:val="0"/>
                <w:bCs w:val="0"/>
                <w:sz w:val="28"/>
                <w:szCs w:val="28"/>
              </w:rPr>
              <w:t>）中老年艺术大学工作</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随着社会老龄化进程不断加速，老年人继续教育的需求越来越大。近一年来，文化馆通过深入市场调研发现，中心城区现有公共文化场馆资源根本满足不了老年人继续教育的需求。在多次走进市老年大学、岳阳县文化馆老年大学（全国文化系统老年大学规范化建设试点单位）学习交流并请他们来我馆进行实地考察指导后决定，充分利用我馆场馆资源，发挥我馆专业干部优势，成立岳阳楼区文化馆中老年艺术大学，开设声乐、舞蹈、国画、油画、书法班，为城区中老年朋友提供学习、交流平台，丰富精神文化生活，提升艺术审美力，为岳阳楼区构建终身教育体系和现代公共文化服务体系起到核心引领作用。</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(四）</w:t>
            </w:r>
            <w:r>
              <w:rPr>
                <w:rFonts w:hint="eastAsia" w:ascii="仿宋" w:hAnsi="仿宋" w:eastAsia="仿宋" w:cs="仿宋"/>
                <w:b w:val="0"/>
                <w:bCs w:val="0"/>
                <w:sz w:val="28"/>
                <w:szCs w:val="28"/>
              </w:rPr>
              <w:t>取得的成绩</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疫情期间我馆向省厅、市局报送抗疫主题创作作品37件，其中巴陵剪纸《春天一定如期而至》、《众志成城》荣获“艺抗疫情·云游湖南”主题活动优秀作品；文学作品《明月何时照你还》荣获湖南省文化馆“最美书信”征文比赛一等奖。国画作品《春满洞庭》、油画作品《社区防护员》、摄影作品《并肩同行》等艺术创作入选市级、省级各类疫情主题线上展览。</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此外，在今年的由岳阳市文化旅游广电局主办的“老城南印记”艺术作品展中，我馆张雯的国画作品《城南春深》获银奖，樊文胜的油画作品《正午》获优秀奖，王静的摄影作品《老城记忆》《魅力湖乡》《余暇》获优秀奖。我馆李海英、张雯双双入选岳阳市“巴陵文艺新闻人才支持计划”，李海英散文《麻布山下花园梦》获岳阳市委宣传部“乡村振兴看岳阳”文艺作品大赛优秀奖，张雯国画作品《林山春望》入选由湖南省文学艺术界联合会主办，湖南省美术家协会、湖南省画院、湖南美术馆共同承办的“决胜脱贫在今朝·丹青共筑中国梦”湖南省美术作品展。</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在岳阳市第四届艺术节中，我馆选送的舞蹈《鼓风》及我馆文学专干李海英编剧的小戏《回家》均荣获金奖；少儿舞蹈《童涟忆趣》、音乐作品《为更年轻的岳阳》获三等奖。</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五、绩效评价和结论</w:t>
            </w:r>
          </w:p>
          <w:p>
            <w:pPr>
              <w:pStyle w:val="8"/>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区文化馆20</w:t>
            </w:r>
            <w:r>
              <w:rPr>
                <w:rFonts w:hint="eastAsia" w:ascii="仿宋" w:hAnsi="仿宋" w:eastAsia="仿宋" w:cs="仿宋"/>
                <w:sz w:val="28"/>
                <w:szCs w:val="28"/>
                <w:lang w:val="en-US" w:eastAsia="zh-CN"/>
              </w:rPr>
              <w:t>20</w:t>
            </w:r>
            <w:r>
              <w:rPr>
                <w:rFonts w:hint="eastAsia" w:ascii="仿宋" w:hAnsi="仿宋" w:eastAsia="仿宋" w:cs="仿宋"/>
                <w:sz w:val="28"/>
                <w:szCs w:val="28"/>
              </w:rPr>
              <w:t>年度部门整体支出取得良好的成效，基本上执行了年初预算，提高工作效率和效益，全程监控财政拨入经费的使用情况，并与工作开展相联系，资金使用与工作执行进度相结合，不断优化资金支出结构，保障资金使用高效益，以达到了保运转，保民生，保安全，促均衡的效果。年初制定的工作任务目标100%按时完成，</w:t>
            </w:r>
            <w:r>
              <w:rPr>
                <w:rFonts w:hint="eastAsia" w:ascii="仿宋" w:hAnsi="仿宋" w:eastAsia="仿宋" w:cs="仿宋"/>
                <w:color w:val="000000"/>
                <w:sz w:val="28"/>
                <w:szCs w:val="28"/>
                <w:shd w:val="clear" w:color="auto" w:fill="FFFFFF"/>
              </w:rPr>
              <w:t>各项工作成效显著，</w:t>
            </w:r>
            <w:r>
              <w:rPr>
                <w:rFonts w:hint="eastAsia" w:ascii="仿宋" w:hAnsi="仿宋" w:eastAsia="仿宋" w:cs="仿宋"/>
                <w:sz w:val="28"/>
                <w:szCs w:val="28"/>
              </w:rPr>
              <w:t>并达到全市同行业高水平，工作成本是节约的，没有出现工作质量不高，工作拖欠的现象。加快了我区文化体育旅游建设步伐，推动文化事业各方面工作更好更快的发展，努力实现我区文化大发展大繁荣的战略目标。</w:t>
            </w:r>
          </w:p>
          <w:p>
            <w:pPr>
              <w:keepNext w:val="0"/>
              <w:keepLines w:val="0"/>
              <w:pageBreakBefore w:val="0"/>
              <w:kinsoku/>
              <w:wordWrap/>
              <w:overflowPunct/>
              <w:topLinePunct w:val="0"/>
              <w:autoSpaceDE/>
              <w:autoSpaceDN/>
              <w:bidi w:val="0"/>
              <w:adjustRightInd/>
              <w:snapToGrid/>
              <w:spacing w:line="3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六、存在的问题</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财政预算文化活动专项资金经费太少，影响到文化活动开展的质量。</w:t>
            </w:r>
          </w:p>
          <w:p>
            <w:pPr>
              <w:keepNext w:val="0"/>
              <w:keepLines w:val="0"/>
              <w:pageBreakBefore w:val="0"/>
              <w:kinsoku/>
              <w:wordWrap/>
              <w:overflowPunct/>
              <w:topLinePunct w:val="0"/>
              <w:autoSpaceDE/>
              <w:autoSpaceDN/>
              <w:bidi w:val="0"/>
              <w:adjustRightInd/>
              <w:snapToGrid/>
              <w:spacing w:line="360" w:lineRule="exact"/>
              <w:ind w:firstLine="562" w:firstLineChars="200"/>
              <w:textAlignment w:val="auto"/>
              <w:rPr>
                <w:rFonts w:hint="eastAsia" w:ascii="仿宋" w:hAnsi="仿宋" w:eastAsia="仿宋" w:cs="仿宋"/>
                <w:bCs/>
                <w:sz w:val="28"/>
                <w:szCs w:val="28"/>
              </w:rPr>
            </w:pPr>
            <w:r>
              <w:rPr>
                <w:rFonts w:hint="eastAsia" w:ascii="仿宋" w:hAnsi="仿宋" w:eastAsia="仿宋" w:cs="仿宋"/>
                <w:b/>
                <w:bCs/>
                <w:sz w:val="28"/>
                <w:szCs w:val="28"/>
              </w:rPr>
              <w:t>七、改进措施和有关建议</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1、坚持厉行节约，促进收支平衡。</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　　将牢固树立“节支也是增收”的观念，切实做到以下两点：一要严格预算约束，做到有预算不超支，无预算不开支；二要大力控制一般性支出，落实中央八项规定，严格控制三公经费等费用并实行零增长。</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２、严格做到专项资金专款专用，杜绝专项资金被挤占、挪用的现象。</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3、为确保我区文化</w:t>
            </w:r>
            <w:r>
              <w:rPr>
                <w:rFonts w:hint="eastAsia" w:ascii="仿宋" w:hAnsi="仿宋" w:eastAsia="仿宋" w:cs="仿宋"/>
                <w:sz w:val="28"/>
                <w:szCs w:val="28"/>
                <w:lang w:eastAsia="zh-CN"/>
              </w:rPr>
              <w:t>馆</w:t>
            </w:r>
            <w:r>
              <w:rPr>
                <w:rFonts w:hint="eastAsia" w:ascii="仿宋" w:hAnsi="仿宋" w:eastAsia="仿宋" w:cs="仿宋"/>
                <w:sz w:val="28"/>
                <w:szCs w:val="28"/>
              </w:rPr>
              <w:t>工作持续发展，希望区政府加大对文化工作的财政专项投入。</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 w:hAnsi="仿宋" w:eastAsia="仿宋" w:cs="仿宋"/>
                <w:sz w:val="28"/>
                <w:szCs w:val="28"/>
              </w:rPr>
            </w:pPr>
          </w:p>
          <w:p>
            <w:pPr>
              <w:rPr>
                <w:rFonts w:ascii="仿宋" w:hAnsi="仿宋" w:eastAsia="仿宋" w:cs="仿宋"/>
                <w:bCs/>
                <w:sz w:val="28"/>
                <w:szCs w:val="28"/>
              </w:rPr>
            </w:pPr>
          </w:p>
        </w:tc>
      </w:tr>
    </w:tbl>
    <w:p>
      <w:pPr>
        <w:spacing w:line="348" w:lineRule="auto"/>
        <w:rPr>
          <w:rFonts w:ascii="仿宋" w:hAnsi="仿宋" w:eastAsia="仿宋" w:cs="仿宋"/>
          <w:bCs/>
          <w:sz w:val="28"/>
          <w:szCs w:val="28"/>
        </w:rPr>
      </w:pPr>
    </w:p>
    <w:p>
      <w:pPr>
        <w:spacing w:line="348" w:lineRule="auto"/>
        <w:rPr>
          <w:rFonts w:hint="eastAsia" w:ascii="仿宋" w:hAnsi="仿宋" w:eastAsia="仿宋" w:cs="仿宋"/>
          <w:bCs/>
          <w:sz w:val="28"/>
          <w:szCs w:val="28"/>
        </w:rPr>
      </w:pPr>
    </w:p>
    <w:p>
      <w:pPr>
        <w:spacing w:line="348" w:lineRule="auto"/>
        <w:rPr>
          <w:rFonts w:hint="eastAsia" w:ascii="仿宋" w:hAnsi="仿宋" w:eastAsia="仿宋" w:cs="仿宋"/>
          <w:bCs/>
          <w:sz w:val="28"/>
          <w:szCs w:val="28"/>
        </w:rPr>
      </w:pPr>
    </w:p>
    <w:p>
      <w:pPr>
        <w:spacing w:line="348" w:lineRule="auto"/>
        <w:rPr>
          <w:rFonts w:ascii="仿宋" w:hAnsi="仿宋" w:eastAsia="仿宋" w:cs="仿宋"/>
          <w:bCs/>
          <w:sz w:val="28"/>
          <w:szCs w:val="28"/>
        </w:rPr>
      </w:pPr>
      <w:r>
        <w:rPr>
          <w:rFonts w:hint="eastAsia" w:ascii="仿宋" w:hAnsi="仿宋" w:eastAsia="仿宋" w:cs="仿宋"/>
          <w:bCs/>
          <w:sz w:val="28"/>
          <w:szCs w:val="28"/>
        </w:rPr>
        <w:t>附件3-2</w:t>
      </w:r>
    </w:p>
    <w:p>
      <w:pPr>
        <w:spacing w:beforeLines="100" w:afterLines="100"/>
        <w:jc w:val="center"/>
        <w:rPr>
          <w:rFonts w:ascii="仿宋" w:hAnsi="仿宋" w:eastAsia="仿宋" w:cs="仿宋"/>
          <w:sz w:val="24"/>
        </w:rPr>
      </w:pPr>
      <w:r>
        <w:rPr>
          <w:rFonts w:hint="eastAsia" w:ascii="仿宋" w:hAnsi="仿宋" w:eastAsia="仿宋" w:cs="仿宋"/>
          <w:sz w:val="24"/>
        </w:rPr>
        <w:t>部门整体支出绩效评价评分表</w:t>
      </w:r>
    </w:p>
    <w:tbl>
      <w:tblPr>
        <w:tblStyle w:val="5"/>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一级指标</w:t>
            </w:r>
          </w:p>
        </w:tc>
        <w:tc>
          <w:tcPr>
            <w:tcW w:w="93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二级指标</w:t>
            </w: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三级指标</w:t>
            </w:r>
          </w:p>
        </w:tc>
        <w:tc>
          <w:tcPr>
            <w:tcW w:w="417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评分标准</w:t>
            </w:r>
          </w:p>
        </w:tc>
        <w:tc>
          <w:tcPr>
            <w:tcW w:w="61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b/>
                <w:bCs/>
                <w:spacing w:val="-10"/>
                <w:kern w:val="0"/>
                <w:sz w:val="24"/>
              </w:rPr>
            </w:pPr>
            <w:r>
              <w:rPr>
                <w:rFonts w:hint="eastAsia" w:ascii="仿宋" w:hAnsi="仿宋" w:eastAsia="仿宋" w:cs="仿宋"/>
                <w:b/>
                <w:bCs/>
                <w:spacing w:val="-10"/>
                <w:kern w:val="0"/>
                <w:sz w:val="24"/>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投  入</w:t>
            </w:r>
            <w:r>
              <w:rPr>
                <w:rFonts w:hint="eastAsia" w:ascii="仿宋" w:hAnsi="仿宋" w:eastAsia="仿宋" w:cs="仿宋"/>
                <w:kern w:val="0"/>
                <w:sz w:val="24"/>
              </w:rPr>
              <w:br w:type="textWrapping"/>
            </w:r>
            <w:r>
              <w:rPr>
                <w:rFonts w:hint="eastAsia" w:ascii="仿宋" w:hAnsi="仿宋" w:eastAsia="仿宋" w:cs="仿宋"/>
                <w:kern w:val="0"/>
                <w:sz w:val="24"/>
              </w:rPr>
              <w:t>（15分）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预算配置</w:t>
            </w:r>
            <w:r>
              <w:rPr>
                <w:rFonts w:hint="eastAsia" w:ascii="仿宋" w:hAnsi="仿宋" w:eastAsia="仿宋" w:cs="仿宋"/>
                <w:kern w:val="0"/>
                <w:sz w:val="24"/>
              </w:rPr>
              <w:br w:type="textWrapping"/>
            </w:r>
            <w:r>
              <w:rPr>
                <w:rFonts w:hint="eastAsia" w:ascii="仿宋" w:hAnsi="仿宋" w:eastAsia="仿宋" w:cs="仿宋"/>
                <w:kern w:val="0"/>
                <w:sz w:val="24"/>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财政供养人员</w:t>
            </w:r>
          </w:p>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以100%为标准。在职人员控制率≦100%，计5分；每超过一个百分点扣0.5分，扣完为止。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 w:hAnsi="仿宋" w:eastAsia="仿宋" w:cs="仿宋"/>
                <w:color w:val="000000"/>
                <w:kern w:val="0"/>
                <w:sz w:val="24"/>
              </w:rPr>
            </w:pPr>
            <w:r>
              <w:rPr>
                <w:rFonts w:hint="eastAsia" w:ascii="仿宋" w:hAnsi="仿宋" w:eastAsia="仿宋" w:cs="仿宋"/>
                <w:color w:val="000000"/>
                <w:kern w:val="0"/>
                <w:sz w:val="24"/>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 w:hAnsi="仿宋" w:eastAsia="仿宋" w:cs="仿宋"/>
                <w:color w:val="000000"/>
                <w:kern w:val="0"/>
                <w:sz w:val="24"/>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“三公经费”</w:t>
            </w:r>
            <w:r>
              <w:rPr>
                <w:rFonts w:hint="eastAsia" w:ascii="仿宋" w:hAnsi="仿宋" w:eastAsia="仿宋" w:cs="仿宋"/>
                <w:kern w:val="0"/>
                <w:sz w:val="24"/>
              </w:rPr>
              <w:br w:type="textWrapping"/>
            </w:r>
            <w:r>
              <w:rPr>
                <w:rFonts w:hint="eastAsia" w:ascii="仿宋" w:hAnsi="仿宋" w:eastAsia="仿宋" w:cs="仿宋"/>
                <w:kern w:val="0"/>
                <w:sz w:val="24"/>
              </w:rPr>
              <w:t>变动率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“三公经费”变动率≦0,计5分；</w:t>
            </w:r>
            <w:r>
              <w:rPr>
                <w:rFonts w:hint="eastAsia" w:ascii="仿宋" w:hAnsi="仿宋" w:eastAsia="仿宋" w:cs="仿宋"/>
                <w:kern w:val="0"/>
                <w:sz w:val="24"/>
              </w:rPr>
              <w:br w:type="textWrapping"/>
            </w:r>
            <w:r>
              <w:rPr>
                <w:rFonts w:hint="eastAsia" w:ascii="仿宋" w:hAnsi="仿宋" w:eastAsia="仿宋" w:cs="仿宋"/>
                <w:kern w:val="0"/>
                <w:sz w:val="24"/>
              </w:rPr>
              <w:t>“三公经费”＞0，每超过一个百分点扣0.5分，扣完为止。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 w:hAnsi="仿宋" w:eastAsia="仿宋" w:cs="仿宋"/>
                <w:color w:val="000000"/>
                <w:kern w:val="0"/>
                <w:sz w:val="24"/>
              </w:rPr>
            </w:pPr>
            <w:r>
              <w:rPr>
                <w:rFonts w:hint="eastAsia" w:ascii="仿宋" w:hAnsi="仿宋" w:eastAsia="仿宋" w:cs="仿宋"/>
                <w:color w:val="000000"/>
                <w:kern w:val="0"/>
                <w:sz w:val="24"/>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 w:hAnsi="仿宋" w:eastAsia="仿宋" w:cs="仿宋"/>
                <w:color w:val="000000"/>
                <w:kern w:val="0"/>
                <w:sz w:val="24"/>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重点支出</w:t>
            </w:r>
            <w:r>
              <w:rPr>
                <w:rFonts w:hint="eastAsia" w:ascii="仿宋" w:hAnsi="仿宋" w:eastAsia="仿宋" w:cs="仿宋"/>
                <w:kern w:val="0"/>
                <w:sz w:val="24"/>
              </w:rPr>
              <w:br w:type="textWrapping"/>
            </w:r>
            <w:r>
              <w:rPr>
                <w:rFonts w:hint="eastAsia" w:ascii="仿宋" w:hAnsi="仿宋" w:eastAsia="仿宋" w:cs="仿宋"/>
                <w:kern w:val="0"/>
                <w:sz w:val="24"/>
              </w:rPr>
              <w:t>安排率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 w:hAnsi="仿宋" w:eastAsia="仿宋" w:cs="仿宋"/>
                <w:color w:val="000000"/>
                <w:kern w:val="0"/>
                <w:sz w:val="24"/>
              </w:rPr>
            </w:pPr>
            <w:r>
              <w:rPr>
                <w:rFonts w:hint="eastAsia" w:ascii="仿宋" w:hAnsi="仿宋" w:eastAsia="仿宋" w:cs="仿宋"/>
                <w:color w:val="000000"/>
                <w:kern w:val="0"/>
                <w:sz w:val="24"/>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 w:hAnsi="仿宋" w:eastAsia="仿宋" w:cs="仿宋"/>
                <w:color w:val="000000"/>
                <w:kern w:val="0"/>
                <w:sz w:val="24"/>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过  程</w:t>
            </w:r>
            <w:r>
              <w:rPr>
                <w:rFonts w:hint="eastAsia" w:ascii="仿宋" w:hAnsi="仿宋" w:eastAsia="仿宋" w:cs="仿宋"/>
                <w:kern w:val="0"/>
                <w:sz w:val="24"/>
              </w:rPr>
              <w:br w:type="textWrapping"/>
            </w:r>
            <w:r>
              <w:rPr>
                <w:rFonts w:hint="eastAsia" w:ascii="仿宋" w:hAnsi="仿宋" w:eastAsia="仿宋" w:cs="仿宋"/>
                <w:kern w:val="0"/>
                <w:sz w:val="24"/>
              </w:rPr>
              <w:t>（40分）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预算执行</w:t>
            </w:r>
            <w:r>
              <w:rPr>
                <w:rFonts w:hint="eastAsia" w:ascii="仿宋" w:hAnsi="仿宋" w:eastAsia="仿宋" w:cs="仿宋"/>
                <w:kern w:val="0"/>
                <w:sz w:val="24"/>
              </w:rPr>
              <w:br w:type="textWrapping"/>
            </w:r>
            <w:r>
              <w:rPr>
                <w:rFonts w:hint="eastAsia" w:ascii="仿宋" w:hAnsi="仿宋" w:eastAsia="仿宋" w:cs="仿宋"/>
                <w:kern w:val="0"/>
                <w:sz w:val="24"/>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预算调整率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预算调整率=0，计3分；0-10%（含），计2分；10-20%（含），计1分；20-30%（含），计0.5分；大于30%不得分。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color w:val="000000"/>
                <w:kern w:val="0"/>
                <w:sz w:val="24"/>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支付进度</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春节前下达全部专项资金的50%；6月底前所有专项资金指标全部下达完。</w:t>
            </w:r>
            <w:r>
              <w:rPr>
                <w:rFonts w:hint="eastAsia" w:ascii="仿宋" w:hAnsi="仿宋" w:eastAsia="仿宋" w:cs="仿宋"/>
                <w:kern w:val="0"/>
                <w:sz w:val="24"/>
              </w:rPr>
              <w:br w:type="textWrapping"/>
            </w:r>
            <w:r>
              <w:rPr>
                <w:rFonts w:hint="eastAsia" w:ascii="仿宋" w:hAnsi="仿宋" w:eastAsia="仿宋" w:cs="仿宋"/>
                <w:kern w:val="0"/>
                <w:sz w:val="24"/>
              </w:rPr>
              <w:t>每出现一个专项未按进度完成资金下达扣0.5分，扣完为止。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2</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没按进度完成</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资金结余</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color w:val="000000"/>
                <w:kern w:val="0"/>
                <w:sz w:val="24"/>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“三公经费”</w:t>
            </w:r>
            <w:r>
              <w:rPr>
                <w:rFonts w:hint="eastAsia" w:ascii="仿宋" w:hAnsi="仿宋" w:eastAsia="仿宋" w:cs="仿宋"/>
                <w:kern w:val="0"/>
                <w:sz w:val="24"/>
              </w:rPr>
              <w:br w:type="textWrapping"/>
            </w:r>
            <w:r>
              <w:rPr>
                <w:rFonts w:hint="eastAsia" w:ascii="仿宋" w:hAnsi="仿宋" w:eastAsia="仿宋" w:cs="仿宋"/>
                <w:kern w:val="0"/>
                <w:sz w:val="24"/>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以100%为标准。三公经费控制率≦100%，计6分；</w:t>
            </w:r>
            <w:r>
              <w:rPr>
                <w:rFonts w:hint="eastAsia" w:ascii="仿宋" w:hAnsi="仿宋" w:eastAsia="仿宋" w:cs="仿宋"/>
                <w:kern w:val="0"/>
                <w:sz w:val="24"/>
              </w:rPr>
              <w:br w:type="textWrapping"/>
            </w:r>
            <w:r>
              <w:rPr>
                <w:rFonts w:hint="eastAsia" w:ascii="仿宋" w:hAnsi="仿宋" w:eastAsia="仿宋" w:cs="仿宋"/>
                <w:kern w:val="0"/>
                <w:sz w:val="24"/>
              </w:rPr>
              <w:t>每超过一个百分点扣1分，扣完为止。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6</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6</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color w:val="000000"/>
                <w:kern w:val="0"/>
                <w:sz w:val="24"/>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预算管理</w:t>
            </w:r>
            <w:r>
              <w:rPr>
                <w:rFonts w:hint="eastAsia" w:ascii="仿宋" w:hAnsi="仿宋" w:eastAsia="仿宋" w:cs="仿宋"/>
                <w:kern w:val="0"/>
                <w:sz w:val="24"/>
              </w:rPr>
              <w:br w:type="textWrapping"/>
            </w:r>
            <w:r>
              <w:rPr>
                <w:rFonts w:hint="eastAsia" w:ascii="仿宋" w:hAnsi="仿宋" w:eastAsia="仿宋" w:cs="仿宋"/>
                <w:kern w:val="0"/>
                <w:sz w:val="24"/>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管理制度</w:t>
            </w:r>
            <w:r>
              <w:rPr>
                <w:rFonts w:hint="eastAsia" w:ascii="仿宋" w:hAnsi="仿宋" w:eastAsia="仿宋" w:cs="仿宋"/>
                <w:kern w:val="0"/>
                <w:sz w:val="24"/>
              </w:rPr>
              <w:br w:type="textWrapping"/>
            </w:r>
            <w:r>
              <w:rPr>
                <w:rFonts w:hint="eastAsia" w:ascii="仿宋" w:hAnsi="仿宋" w:eastAsia="仿宋" w:cs="仿宋"/>
                <w:kern w:val="0"/>
                <w:sz w:val="24"/>
              </w:rPr>
              <w:t>健全性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①已制定或具有预算资金管理办法，内部财务管理制度、会计核算制度等管理制度，1分；</w:t>
            </w:r>
            <w:r>
              <w:rPr>
                <w:rFonts w:hint="eastAsia" w:ascii="仿宋" w:hAnsi="仿宋" w:eastAsia="仿宋" w:cs="仿宋"/>
                <w:kern w:val="0"/>
                <w:sz w:val="24"/>
              </w:rPr>
              <w:br w:type="textWrapping"/>
            </w:r>
            <w:r>
              <w:rPr>
                <w:rFonts w:hint="eastAsia" w:ascii="仿宋" w:hAnsi="仿宋" w:eastAsia="仿宋" w:cs="仿宋"/>
                <w:kern w:val="0"/>
                <w:sz w:val="24"/>
              </w:rPr>
              <w:t>②相关管理制度合法、合规、完整，1分；</w:t>
            </w:r>
            <w:r>
              <w:rPr>
                <w:rFonts w:hint="eastAsia" w:ascii="仿宋" w:hAnsi="仿宋" w:eastAsia="仿宋" w:cs="仿宋"/>
                <w:kern w:val="0"/>
                <w:sz w:val="24"/>
              </w:rPr>
              <w:br w:type="textWrapping"/>
            </w:r>
            <w:r>
              <w:rPr>
                <w:rFonts w:hint="eastAsia" w:ascii="仿宋" w:hAnsi="仿宋" w:eastAsia="仿宋" w:cs="仿宋"/>
                <w:kern w:val="0"/>
                <w:sz w:val="24"/>
              </w:rPr>
              <w:t>③相关管理制度得到有效执行，1分。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color w:val="000000"/>
                <w:kern w:val="0"/>
                <w:sz w:val="24"/>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资金使用</w:t>
            </w:r>
            <w:r>
              <w:rPr>
                <w:rFonts w:hint="eastAsia" w:ascii="仿宋" w:hAnsi="仿宋" w:eastAsia="仿宋" w:cs="仿宋"/>
                <w:kern w:val="0"/>
                <w:sz w:val="24"/>
              </w:rPr>
              <w:br w:type="textWrapping"/>
            </w:r>
            <w:r>
              <w:rPr>
                <w:rFonts w:hint="eastAsia" w:ascii="仿宋" w:hAnsi="仿宋" w:eastAsia="仿宋" w:cs="仿宋"/>
                <w:kern w:val="0"/>
                <w:sz w:val="24"/>
              </w:rPr>
              <w:t>合规性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①支出符合国家财经法规和财务管理制度规定以及有关专项资金管理办法的规定；</w:t>
            </w:r>
            <w:r>
              <w:rPr>
                <w:rFonts w:hint="eastAsia" w:ascii="仿宋" w:hAnsi="仿宋" w:eastAsia="仿宋" w:cs="仿宋"/>
                <w:kern w:val="0"/>
                <w:sz w:val="24"/>
              </w:rPr>
              <w:br w:type="textWrapping"/>
            </w:r>
            <w:r>
              <w:rPr>
                <w:rFonts w:hint="eastAsia" w:ascii="仿宋" w:hAnsi="仿宋" w:eastAsia="仿宋" w:cs="仿宋"/>
                <w:kern w:val="0"/>
                <w:sz w:val="24"/>
              </w:rPr>
              <w:t>②资金拨付有完整的审批程序和手续；</w:t>
            </w:r>
            <w:r>
              <w:rPr>
                <w:rFonts w:hint="eastAsia" w:ascii="仿宋" w:hAnsi="仿宋" w:eastAsia="仿宋" w:cs="仿宋"/>
                <w:kern w:val="0"/>
                <w:sz w:val="24"/>
              </w:rPr>
              <w:br w:type="textWrapping"/>
            </w:r>
            <w:r>
              <w:rPr>
                <w:rFonts w:hint="eastAsia" w:ascii="仿宋" w:hAnsi="仿宋" w:eastAsia="仿宋" w:cs="仿宋"/>
                <w:kern w:val="0"/>
                <w:sz w:val="24"/>
              </w:rPr>
              <w:t>③项目支出按规定经过评估论证；</w:t>
            </w:r>
            <w:r>
              <w:rPr>
                <w:rFonts w:hint="eastAsia" w:ascii="仿宋" w:hAnsi="仿宋" w:eastAsia="仿宋" w:cs="仿宋"/>
                <w:kern w:val="0"/>
                <w:sz w:val="24"/>
              </w:rPr>
              <w:br w:type="textWrapping"/>
            </w:r>
            <w:r>
              <w:rPr>
                <w:rFonts w:hint="eastAsia" w:ascii="仿宋" w:hAnsi="仿宋" w:eastAsia="仿宋" w:cs="仿宋"/>
                <w:kern w:val="0"/>
                <w:sz w:val="24"/>
              </w:rPr>
              <w:t>④支出符合部门预算批复的用途；</w:t>
            </w:r>
            <w:r>
              <w:rPr>
                <w:rFonts w:hint="eastAsia" w:ascii="仿宋" w:hAnsi="仿宋" w:eastAsia="仿宋" w:cs="仿宋"/>
                <w:kern w:val="0"/>
                <w:sz w:val="24"/>
              </w:rPr>
              <w:br w:type="textWrapping"/>
            </w:r>
            <w:r>
              <w:rPr>
                <w:rFonts w:hint="eastAsia" w:ascii="仿宋" w:hAnsi="仿宋" w:eastAsia="仿宋" w:cs="仿宋"/>
                <w:spacing w:val="-6"/>
                <w:kern w:val="0"/>
                <w:sz w:val="24"/>
              </w:rPr>
              <w:t>⑤资金使用无截留、挤占、挪用、虚列支出等情况。</w:t>
            </w:r>
            <w:r>
              <w:rPr>
                <w:rFonts w:hint="eastAsia" w:ascii="仿宋" w:hAnsi="仿宋" w:eastAsia="仿宋" w:cs="仿宋"/>
                <w:spacing w:val="-6"/>
                <w:kern w:val="0"/>
                <w:sz w:val="24"/>
              </w:rPr>
              <w:br w:type="textWrapping"/>
            </w:r>
            <w:r>
              <w:rPr>
                <w:rFonts w:hint="eastAsia" w:ascii="仿宋" w:hAnsi="仿宋" w:eastAsia="仿宋" w:cs="仿宋"/>
                <w:spacing w:val="-6"/>
                <w:kern w:val="0"/>
                <w:sz w:val="24"/>
              </w:rPr>
              <w:t>以上情况每出现一例不符合要求的扣1分，扣完为止。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color w:val="000000"/>
                <w:kern w:val="0"/>
                <w:sz w:val="24"/>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预决算信息公开性和完善性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①按规定内容公开预决算信息，1分；</w:t>
            </w:r>
            <w:r>
              <w:rPr>
                <w:rFonts w:hint="eastAsia" w:ascii="仿宋" w:hAnsi="仿宋" w:eastAsia="仿宋" w:cs="仿宋"/>
                <w:kern w:val="0"/>
                <w:sz w:val="24"/>
              </w:rPr>
              <w:br w:type="textWrapping"/>
            </w:r>
            <w:r>
              <w:rPr>
                <w:rFonts w:hint="eastAsia" w:ascii="仿宋" w:hAnsi="仿宋" w:eastAsia="仿宋" w:cs="仿宋"/>
                <w:kern w:val="0"/>
                <w:sz w:val="24"/>
              </w:rPr>
              <w:t>②按规定时限公开预决算信息，0.5分；</w:t>
            </w:r>
            <w:r>
              <w:rPr>
                <w:rFonts w:hint="eastAsia" w:ascii="仿宋" w:hAnsi="仿宋" w:eastAsia="仿宋" w:cs="仿宋"/>
                <w:kern w:val="0"/>
                <w:sz w:val="24"/>
              </w:rPr>
              <w:br w:type="textWrapping"/>
            </w:r>
            <w:r>
              <w:rPr>
                <w:rFonts w:hint="eastAsia" w:ascii="仿宋" w:hAnsi="仿宋" w:eastAsia="仿宋" w:cs="仿宋"/>
                <w:kern w:val="0"/>
                <w:sz w:val="24"/>
              </w:rPr>
              <w:t>③基础数据信息和会计信息资料真实，0.5分；</w:t>
            </w:r>
            <w:r>
              <w:rPr>
                <w:rFonts w:hint="eastAsia" w:ascii="仿宋" w:hAnsi="仿宋" w:eastAsia="仿宋" w:cs="仿宋"/>
                <w:kern w:val="0"/>
                <w:sz w:val="24"/>
              </w:rPr>
              <w:br w:type="textWrapping"/>
            </w:r>
            <w:r>
              <w:rPr>
                <w:rFonts w:hint="eastAsia" w:ascii="仿宋" w:hAnsi="仿宋" w:eastAsia="仿宋" w:cs="仿宋"/>
                <w:kern w:val="0"/>
                <w:sz w:val="24"/>
              </w:rPr>
              <w:t>④基础数据信息和会计信息资料完整，0.5分；</w:t>
            </w:r>
            <w:r>
              <w:rPr>
                <w:rFonts w:hint="eastAsia" w:ascii="仿宋" w:hAnsi="仿宋" w:eastAsia="仿宋" w:cs="仿宋"/>
                <w:kern w:val="0"/>
                <w:sz w:val="24"/>
              </w:rPr>
              <w:br w:type="textWrapping"/>
            </w:r>
            <w:r>
              <w:rPr>
                <w:rFonts w:hint="eastAsia" w:ascii="仿宋" w:hAnsi="仿宋" w:eastAsia="仿宋" w:cs="仿宋"/>
                <w:kern w:val="0"/>
                <w:sz w:val="24"/>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93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　</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政府采购</w:t>
            </w:r>
          </w:p>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执行率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政府采购执行率等于100%的，得3分；</w:t>
            </w:r>
            <w:r>
              <w:rPr>
                <w:rFonts w:hint="eastAsia" w:ascii="仿宋" w:hAnsi="仿宋" w:eastAsia="仿宋" w:cs="仿宋"/>
                <w:kern w:val="0"/>
                <w:sz w:val="24"/>
              </w:rPr>
              <w:br w:type="textWrapping"/>
            </w:r>
            <w:r>
              <w:rPr>
                <w:rFonts w:hint="eastAsia" w:ascii="仿宋" w:hAnsi="仿宋" w:eastAsia="仿宋" w:cs="仿宋"/>
                <w:kern w:val="0"/>
                <w:sz w:val="24"/>
              </w:rPr>
              <w:t>每减少一个百分点，扣0.2分，扣完为止。</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公务卡刷卡率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公务卡刷卡率达50％以上的，得3分。</w:t>
            </w:r>
            <w:r>
              <w:rPr>
                <w:rFonts w:hint="eastAsia" w:ascii="仿宋" w:hAnsi="仿宋" w:eastAsia="仿宋" w:cs="仿宋"/>
                <w:kern w:val="0"/>
                <w:sz w:val="24"/>
              </w:rPr>
              <w:br w:type="textWrapping"/>
            </w:r>
            <w:r>
              <w:rPr>
                <w:rFonts w:hint="eastAsia" w:ascii="仿宋" w:hAnsi="仿宋" w:eastAsia="仿宋" w:cs="仿宋"/>
                <w:kern w:val="0"/>
                <w:sz w:val="24"/>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93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资产管理</w:t>
            </w:r>
            <w:r>
              <w:rPr>
                <w:rFonts w:hint="eastAsia" w:ascii="仿宋" w:hAnsi="仿宋" w:eastAsia="仿宋" w:cs="仿宋"/>
                <w:kern w:val="0"/>
                <w:sz w:val="24"/>
              </w:rPr>
              <w:br w:type="textWrapping"/>
            </w:r>
            <w:r>
              <w:rPr>
                <w:rFonts w:hint="eastAsia" w:ascii="仿宋" w:hAnsi="仿宋" w:eastAsia="仿宋" w:cs="仿宋"/>
                <w:kern w:val="0"/>
                <w:sz w:val="24"/>
              </w:rPr>
              <w:t>（10分）</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管理制度</w:t>
            </w:r>
            <w:r>
              <w:rPr>
                <w:rFonts w:hint="eastAsia" w:ascii="仿宋" w:hAnsi="仿宋" w:eastAsia="仿宋" w:cs="仿宋"/>
                <w:kern w:val="0"/>
                <w:sz w:val="24"/>
              </w:rPr>
              <w:br w:type="textWrapping"/>
            </w:r>
            <w:r>
              <w:rPr>
                <w:rFonts w:hint="eastAsia" w:ascii="仿宋" w:hAnsi="仿宋" w:eastAsia="仿宋" w:cs="仿宋"/>
                <w:kern w:val="0"/>
                <w:sz w:val="24"/>
              </w:rPr>
              <w:t>健全性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①已制定或具有资产管理制度，且相关资产管理制度合法、合规、完整，2分；</w:t>
            </w:r>
            <w:r>
              <w:rPr>
                <w:rFonts w:hint="eastAsia" w:ascii="仿宋" w:hAnsi="仿宋" w:eastAsia="仿宋" w:cs="仿宋"/>
                <w:kern w:val="0"/>
                <w:sz w:val="24"/>
              </w:rPr>
              <w:br w:type="textWrapping"/>
            </w:r>
            <w:r>
              <w:rPr>
                <w:rFonts w:hint="eastAsia" w:ascii="仿宋" w:hAnsi="仿宋" w:eastAsia="仿宋" w:cs="仿宋"/>
                <w:kern w:val="0"/>
                <w:sz w:val="24"/>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p>
        </w:tc>
      </w:tr>
    </w:tbl>
    <w:p>
      <w:pPr>
        <w:rPr>
          <w:rFonts w:ascii="仿宋" w:hAnsi="仿宋" w:eastAsia="仿宋" w:cs="仿宋"/>
          <w:sz w:val="24"/>
        </w:rPr>
      </w:pP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二级指标</w:t>
            </w: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三级指标</w:t>
            </w:r>
          </w:p>
        </w:tc>
        <w:tc>
          <w:tcPr>
            <w:tcW w:w="417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评分标准</w:t>
            </w:r>
          </w:p>
        </w:tc>
        <w:tc>
          <w:tcPr>
            <w:tcW w:w="61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b/>
                <w:bCs/>
                <w:spacing w:val="-12"/>
                <w:kern w:val="0"/>
                <w:sz w:val="24"/>
              </w:rPr>
            </w:pPr>
            <w:r>
              <w:rPr>
                <w:rFonts w:hint="eastAsia" w:ascii="仿宋" w:hAnsi="仿宋" w:eastAsia="仿宋" w:cs="仿宋"/>
                <w:b/>
                <w:bCs/>
                <w:spacing w:val="-12"/>
                <w:kern w:val="0"/>
                <w:sz w:val="24"/>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过  程</w:t>
            </w:r>
          </w:p>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资产管理</w:t>
            </w:r>
            <w:r>
              <w:rPr>
                <w:rFonts w:hint="eastAsia" w:ascii="仿宋" w:hAnsi="仿宋" w:eastAsia="仿宋" w:cs="仿宋"/>
                <w:kern w:val="0"/>
                <w:sz w:val="24"/>
              </w:rPr>
              <w:br w:type="textWrapping"/>
            </w:r>
            <w:r>
              <w:rPr>
                <w:rFonts w:hint="eastAsia" w:ascii="仿宋" w:hAnsi="仿宋" w:eastAsia="仿宋" w:cs="仿宋"/>
                <w:kern w:val="0"/>
                <w:sz w:val="24"/>
              </w:rPr>
              <w:t>（10分）</w:t>
            </w: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资产管理</w:t>
            </w:r>
            <w:r>
              <w:rPr>
                <w:rFonts w:hint="eastAsia" w:ascii="仿宋" w:hAnsi="仿宋" w:eastAsia="仿宋" w:cs="仿宋"/>
                <w:kern w:val="0"/>
                <w:sz w:val="24"/>
              </w:rPr>
              <w:br w:type="textWrapping"/>
            </w:r>
            <w:r>
              <w:rPr>
                <w:rFonts w:hint="eastAsia" w:ascii="仿宋" w:hAnsi="仿宋" w:eastAsia="仿宋" w:cs="仿宋"/>
                <w:kern w:val="0"/>
                <w:sz w:val="24"/>
              </w:rPr>
              <w:t>安全性</w:t>
            </w:r>
          </w:p>
        </w:tc>
        <w:tc>
          <w:tcPr>
            <w:tcW w:w="417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①资产保存完整；</w:t>
            </w:r>
            <w:r>
              <w:rPr>
                <w:rFonts w:hint="eastAsia" w:ascii="仿宋" w:hAnsi="仿宋" w:eastAsia="仿宋" w:cs="仿宋"/>
                <w:kern w:val="0"/>
                <w:sz w:val="24"/>
              </w:rPr>
              <w:br w:type="textWrapping"/>
            </w:r>
            <w:r>
              <w:rPr>
                <w:rFonts w:hint="eastAsia" w:ascii="仿宋" w:hAnsi="仿宋" w:eastAsia="仿宋" w:cs="仿宋"/>
                <w:kern w:val="0"/>
                <w:sz w:val="24"/>
              </w:rPr>
              <w:t>②资产配置合理；</w:t>
            </w:r>
            <w:r>
              <w:rPr>
                <w:rFonts w:hint="eastAsia" w:ascii="仿宋" w:hAnsi="仿宋" w:eastAsia="仿宋" w:cs="仿宋"/>
                <w:kern w:val="0"/>
                <w:sz w:val="24"/>
              </w:rPr>
              <w:br w:type="textWrapping"/>
            </w:r>
            <w:r>
              <w:rPr>
                <w:rFonts w:hint="eastAsia" w:ascii="仿宋" w:hAnsi="仿宋" w:eastAsia="仿宋" w:cs="仿宋"/>
                <w:kern w:val="0"/>
                <w:sz w:val="24"/>
              </w:rPr>
              <w:t xml:space="preserve">③资产处置规范； </w:t>
            </w:r>
            <w:r>
              <w:rPr>
                <w:rFonts w:hint="eastAsia" w:ascii="仿宋" w:hAnsi="仿宋" w:eastAsia="仿宋" w:cs="仿宋"/>
                <w:kern w:val="0"/>
                <w:sz w:val="24"/>
              </w:rPr>
              <w:br w:type="textWrapping"/>
            </w:r>
            <w:r>
              <w:rPr>
                <w:rFonts w:hint="eastAsia" w:ascii="仿宋" w:hAnsi="仿宋" w:eastAsia="仿宋" w:cs="仿宋"/>
                <w:kern w:val="0"/>
                <w:sz w:val="24"/>
              </w:rPr>
              <w:t>④资产账务管理合规，帐实相符；</w:t>
            </w:r>
            <w:r>
              <w:rPr>
                <w:rFonts w:hint="eastAsia" w:ascii="仿宋" w:hAnsi="仿宋" w:eastAsia="仿宋" w:cs="仿宋"/>
                <w:kern w:val="0"/>
                <w:sz w:val="24"/>
              </w:rPr>
              <w:br w:type="textWrapping"/>
            </w:r>
            <w:r>
              <w:rPr>
                <w:rFonts w:hint="eastAsia" w:ascii="仿宋" w:hAnsi="仿宋" w:eastAsia="仿宋" w:cs="仿宋"/>
                <w:kern w:val="0"/>
                <w:sz w:val="24"/>
              </w:rPr>
              <w:t>⑤资产有偿使用及处置收入及时足额上缴；</w:t>
            </w:r>
            <w:r>
              <w:rPr>
                <w:rFonts w:hint="eastAsia" w:ascii="仿宋" w:hAnsi="仿宋" w:eastAsia="仿宋" w:cs="仿宋"/>
                <w:kern w:val="0"/>
                <w:sz w:val="24"/>
              </w:rPr>
              <w:br w:type="textWrapping"/>
            </w:r>
            <w:r>
              <w:rPr>
                <w:rFonts w:hint="eastAsia" w:ascii="仿宋" w:hAnsi="仿宋" w:eastAsia="仿宋" w:cs="仿宋"/>
                <w:kern w:val="0"/>
                <w:sz w:val="24"/>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4</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4</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固定资产</w:t>
            </w:r>
            <w:r>
              <w:rPr>
                <w:rFonts w:hint="eastAsia" w:ascii="仿宋" w:hAnsi="仿宋" w:eastAsia="仿宋" w:cs="仿宋"/>
                <w:kern w:val="0"/>
                <w:sz w:val="24"/>
              </w:rPr>
              <w:br w:type="textWrapping"/>
            </w:r>
            <w:r>
              <w:rPr>
                <w:rFonts w:hint="eastAsia" w:ascii="仿宋" w:hAnsi="仿宋" w:eastAsia="仿宋" w:cs="仿宋"/>
                <w:kern w:val="0"/>
                <w:sz w:val="24"/>
              </w:rPr>
              <w:t>利用率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职责履行</w:t>
            </w:r>
            <w:r>
              <w:rPr>
                <w:rFonts w:hint="eastAsia" w:ascii="仿宋" w:hAnsi="仿宋" w:eastAsia="仿宋" w:cs="仿宋"/>
                <w:kern w:val="0"/>
                <w:sz w:val="24"/>
              </w:rPr>
              <w:br w:type="textWrapping"/>
            </w:r>
            <w:r>
              <w:rPr>
                <w:rFonts w:hint="eastAsia" w:ascii="仿宋" w:hAnsi="仿宋" w:eastAsia="仿宋" w:cs="仿宋"/>
                <w:kern w:val="0"/>
                <w:sz w:val="24"/>
              </w:rPr>
              <w:t>（25分）</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此项指标根据区综合绩效考核领导小组办公室2018年对各部门的部门工作实绩考核分数折算考核内容设置。</w:t>
            </w:r>
            <w:r>
              <w:rPr>
                <w:rFonts w:hint="eastAsia" w:ascii="仿宋" w:hAnsi="仿宋" w:eastAsia="仿宋" w:cs="仿宋"/>
                <w:kern w:val="0"/>
                <w:sz w:val="24"/>
              </w:rPr>
              <w:br w:type="textWrapping"/>
            </w:r>
            <w:r>
              <w:rPr>
                <w:rFonts w:hint="eastAsia" w:ascii="仿宋" w:hAnsi="仿宋" w:eastAsia="仿宋" w:cs="仿宋"/>
                <w:kern w:val="0"/>
                <w:sz w:val="24"/>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7</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7</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省市区民生实事完成情况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2</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2</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省市区重点工程和重大项目建设完成情况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2</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2</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4</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4</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效  果</w:t>
            </w:r>
            <w:r>
              <w:rPr>
                <w:rFonts w:hint="eastAsia" w:ascii="仿宋" w:hAnsi="仿宋" w:eastAsia="仿宋" w:cs="仿宋"/>
                <w:kern w:val="0"/>
                <w:sz w:val="24"/>
              </w:rPr>
              <w:br w:type="textWrapping"/>
            </w:r>
            <w:r>
              <w:rPr>
                <w:rFonts w:hint="eastAsia" w:ascii="仿宋" w:hAnsi="仿宋" w:eastAsia="仿宋" w:cs="仿宋"/>
                <w:kern w:val="0"/>
                <w:sz w:val="24"/>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履职效益</w:t>
            </w:r>
            <w:r>
              <w:rPr>
                <w:rFonts w:hint="eastAsia" w:ascii="仿宋" w:hAnsi="仿宋" w:eastAsia="仿宋" w:cs="仿宋"/>
                <w:kern w:val="0"/>
                <w:sz w:val="24"/>
              </w:rPr>
              <w:br w:type="textWrapping"/>
            </w:r>
            <w:r>
              <w:rPr>
                <w:rFonts w:hint="eastAsia" w:ascii="仿宋" w:hAnsi="仿宋" w:eastAsia="仿宋" w:cs="仿宋"/>
                <w:kern w:val="0"/>
                <w:sz w:val="24"/>
              </w:rPr>
              <w:t>（20分）</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此三项指标为设置部门整体支出绩效评价指标时必须考虑的共性要素。</w:t>
            </w:r>
          </w:p>
          <w:p>
            <w:pPr>
              <w:widowControl/>
              <w:spacing w:line="240" w:lineRule="exact"/>
              <w:jc w:val="left"/>
              <w:rPr>
                <w:rFonts w:ascii="仿宋" w:hAnsi="仿宋" w:eastAsia="仿宋" w:cs="仿宋"/>
                <w:kern w:val="0"/>
                <w:sz w:val="24"/>
              </w:rPr>
            </w:pPr>
            <w:r>
              <w:rPr>
                <w:rFonts w:hint="eastAsia" w:ascii="仿宋" w:hAnsi="仿宋" w:eastAsia="仿宋" w:cs="仿宋"/>
                <w:kern w:val="0"/>
                <w:sz w:val="24"/>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15</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hint="eastAsia" w:ascii="仿宋" w:hAnsi="仿宋" w:eastAsia="仿宋" w:cs="仿宋"/>
                <w:kern w:val="0"/>
                <w:sz w:val="24"/>
                <w:lang w:val="en-US" w:eastAsia="zh-CN"/>
              </w:rPr>
            </w:pPr>
            <w:r>
              <w:rPr>
                <w:rFonts w:hint="eastAsia" w:ascii="仿宋" w:hAnsi="仿宋" w:eastAsia="仿宋" w:cs="仿宋"/>
                <w:kern w:val="0"/>
                <w:sz w:val="24"/>
              </w:rPr>
              <w:t>1</w:t>
            </w:r>
            <w:r>
              <w:rPr>
                <w:rFonts w:hint="eastAsia" w:ascii="仿宋" w:hAnsi="仿宋" w:eastAsia="仿宋" w:cs="仿宋"/>
                <w:kern w:val="0"/>
                <w:sz w:val="24"/>
                <w:lang w:val="en-US" w:eastAsia="zh-CN"/>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61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61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社会公众或服务对象满意度</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95%（含）以上计5分；</w:t>
            </w:r>
          </w:p>
          <w:p>
            <w:pPr>
              <w:widowControl/>
              <w:spacing w:line="240" w:lineRule="exact"/>
              <w:jc w:val="left"/>
              <w:rPr>
                <w:rFonts w:ascii="仿宋" w:hAnsi="仿宋" w:eastAsia="仿宋" w:cs="仿宋"/>
                <w:kern w:val="0"/>
                <w:sz w:val="24"/>
              </w:rPr>
            </w:pPr>
            <w:r>
              <w:rPr>
                <w:rFonts w:hint="eastAsia" w:ascii="仿宋" w:hAnsi="仿宋" w:eastAsia="仿宋" w:cs="仿宋"/>
                <w:kern w:val="0"/>
                <w:sz w:val="24"/>
              </w:rPr>
              <w:t>85%（含）-95%，计3分；</w:t>
            </w:r>
          </w:p>
          <w:p>
            <w:pPr>
              <w:widowControl/>
              <w:spacing w:line="240" w:lineRule="exact"/>
              <w:jc w:val="left"/>
              <w:rPr>
                <w:rFonts w:ascii="仿宋" w:hAnsi="仿宋" w:eastAsia="仿宋" w:cs="仿宋"/>
                <w:kern w:val="0"/>
                <w:sz w:val="24"/>
              </w:rPr>
            </w:pPr>
            <w:r>
              <w:rPr>
                <w:rFonts w:hint="eastAsia" w:ascii="仿宋" w:hAnsi="仿宋" w:eastAsia="仿宋" w:cs="仿宋"/>
                <w:kern w:val="0"/>
                <w:sz w:val="24"/>
              </w:rPr>
              <w:t>75%（含）-85%，计1分；</w:t>
            </w:r>
          </w:p>
          <w:p>
            <w:pPr>
              <w:widowControl/>
              <w:spacing w:line="240" w:lineRule="exact"/>
              <w:jc w:val="left"/>
              <w:rPr>
                <w:rFonts w:ascii="仿宋" w:hAnsi="仿宋" w:eastAsia="仿宋" w:cs="仿宋"/>
                <w:kern w:val="0"/>
                <w:sz w:val="24"/>
              </w:rPr>
            </w:pPr>
            <w:r>
              <w:rPr>
                <w:rFonts w:hint="eastAsia" w:ascii="仿宋" w:hAnsi="仿宋" w:eastAsia="仿宋" w:cs="仿宋"/>
                <w:kern w:val="0"/>
                <w:sz w:val="24"/>
              </w:rPr>
              <w:t>低于75%计0分。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总 分</w:t>
            </w:r>
          </w:p>
        </w:tc>
        <w:tc>
          <w:tcPr>
            <w:tcW w:w="93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kern w:val="0"/>
                <w:sz w:val="24"/>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kern w:val="0"/>
                <w:sz w:val="24"/>
              </w:rPr>
            </w:pPr>
          </w:p>
        </w:tc>
        <w:tc>
          <w:tcPr>
            <w:tcW w:w="4171"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kern w:val="0"/>
                <w:sz w:val="24"/>
              </w:rPr>
            </w:pP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8"/>
                <w:kern w:val="0"/>
                <w:sz w:val="24"/>
              </w:rPr>
            </w:pPr>
            <w:r>
              <w:rPr>
                <w:rFonts w:hint="eastAsia" w:ascii="仿宋" w:hAnsi="仿宋" w:eastAsia="仿宋" w:cs="仿宋"/>
                <w:b/>
                <w:bCs/>
                <w:spacing w:val="-8"/>
                <w:kern w:val="0"/>
                <w:sz w:val="24"/>
              </w:rPr>
              <w:t>100</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kern w:val="0"/>
                <w:sz w:val="24"/>
              </w:rPr>
            </w:pP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kern w:val="0"/>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sz w:val="24"/>
      </w:rPr>
    </w:pPr>
    <w:r>
      <w:rPr>
        <w:rStyle w:val="7"/>
        <w:rFonts w:hint="eastAsia"/>
        <w:sz w:val="24"/>
      </w:rPr>
      <w:t xml:space="preserve">— </w:t>
    </w:r>
    <w:r>
      <w:rPr>
        <w:sz w:val="24"/>
      </w:rPr>
      <w:fldChar w:fldCharType="begin"/>
    </w:r>
    <w:r>
      <w:rPr>
        <w:rStyle w:val="7"/>
        <w:sz w:val="24"/>
      </w:rPr>
      <w:instrText xml:space="preserve">PAGE  </w:instrText>
    </w:r>
    <w:r>
      <w:rPr>
        <w:sz w:val="24"/>
      </w:rPr>
      <w:fldChar w:fldCharType="separate"/>
    </w:r>
    <w:r>
      <w:rPr>
        <w:rStyle w:val="7"/>
        <w:sz w:val="24"/>
      </w:rPr>
      <w:t>11</w:t>
    </w:r>
    <w:r>
      <w:rPr>
        <w:sz w:val="24"/>
      </w:rPr>
      <w:fldChar w:fldCharType="end"/>
    </w:r>
    <w:r>
      <w:rPr>
        <w:rStyle w:val="7"/>
        <w:rFonts w:hint="eastAsia"/>
        <w:sz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AAB1CA"/>
    <w:multiLevelType w:val="singleLevel"/>
    <w:tmpl w:val="96AAB1CA"/>
    <w:lvl w:ilvl="0" w:tentative="0">
      <w:start w:val="2"/>
      <w:numFmt w:val="chineseCounting"/>
      <w:suff w:val="nothing"/>
      <w:lvlText w:val="（%1）"/>
      <w:lvlJc w:val="left"/>
      <w:pPr>
        <w:ind w:left="-142"/>
      </w:pPr>
      <w:rPr>
        <w:rFonts w:hint="eastAsia"/>
      </w:rPr>
    </w:lvl>
  </w:abstractNum>
  <w:abstractNum w:abstractNumId="1">
    <w:nsid w:val="0B00CA76"/>
    <w:multiLevelType w:val="singleLevel"/>
    <w:tmpl w:val="0B00CA76"/>
    <w:lvl w:ilvl="0" w:tentative="0">
      <w:start w:val="4"/>
      <w:numFmt w:val="chineseCounting"/>
      <w:suff w:val="nothing"/>
      <w:lvlText w:val="%1、"/>
      <w:lvlJc w:val="left"/>
      <w:rPr>
        <w:rFonts w:hint="eastAsia"/>
      </w:rPr>
    </w:lvl>
  </w:abstractNum>
  <w:abstractNum w:abstractNumId="2">
    <w:nsid w:val="7ECA5995"/>
    <w:multiLevelType w:val="multilevel"/>
    <w:tmpl w:val="7ECA599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2563A"/>
    <w:rsid w:val="001031B3"/>
    <w:rsid w:val="00222FC1"/>
    <w:rsid w:val="003A5234"/>
    <w:rsid w:val="003F0BB1"/>
    <w:rsid w:val="004C598B"/>
    <w:rsid w:val="004D7367"/>
    <w:rsid w:val="00666A2B"/>
    <w:rsid w:val="007740A6"/>
    <w:rsid w:val="008550D6"/>
    <w:rsid w:val="00903841"/>
    <w:rsid w:val="009133D1"/>
    <w:rsid w:val="009C5281"/>
    <w:rsid w:val="00A51B33"/>
    <w:rsid w:val="00BD5691"/>
    <w:rsid w:val="00C2563A"/>
    <w:rsid w:val="00D0173F"/>
    <w:rsid w:val="00D15780"/>
    <w:rsid w:val="0EB42613"/>
    <w:rsid w:val="18E84EB4"/>
    <w:rsid w:val="1BC74AA0"/>
    <w:rsid w:val="1C362B39"/>
    <w:rsid w:val="1E345575"/>
    <w:rsid w:val="2022029F"/>
    <w:rsid w:val="209D49C6"/>
    <w:rsid w:val="2D8D5F71"/>
    <w:rsid w:val="2E046856"/>
    <w:rsid w:val="3A272724"/>
    <w:rsid w:val="6C286289"/>
    <w:rsid w:val="720A6CAA"/>
    <w:rsid w:val="7B3440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page number"/>
    <w:qFormat/>
    <w:uiPriority w:val="0"/>
  </w:style>
  <w:style w:type="paragraph" w:styleId="8">
    <w:name w:val="No Spacing"/>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1054</Words>
  <Characters>6013</Characters>
  <Lines>50</Lines>
  <Paragraphs>14</Paragraphs>
  <TotalTime>7</TotalTime>
  <ScaleCrop>false</ScaleCrop>
  <LinksUpToDate>false</LinksUpToDate>
  <CharactersWithSpaces>7053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2020-10-19T04:37:00Z</dcterms:created>
  <dc:creator>Administrator</dc:creator>
  <cp:lastModifiedBy>Administrator</cp:lastModifiedBy>
  <cp:lastPrinted>2021-06-30T02:19:01Z</cp:lastPrinted>
  <dcterms:modified xsi:type="dcterms:W3CDTF">2021-06-30T02:21:40Z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C39388BB6ABE45429B8B4AD2C374E61D</vt:lpwstr>
  </property>
</Properties>
</file>