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中共区委统战部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106021</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28</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38"/>
        <w:gridCol w:w="212"/>
        <w:gridCol w:w="46"/>
        <w:gridCol w:w="1077"/>
        <w:gridCol w:w="210"/>
        <w:gridCol w:w="1142"/>
        <w:gridCol w:w="272"/>
        <w:gridCol w:w="806"/>
        <w:gridCol w:w="1475"/>
        <w:gridCol w:w="226"/>
        <w:gridCol w:w="196"/>
        <w:gridCol w:w="258"/>
        <w:gridCol w:w="1078"/>
        <w:gridCol w:w="264"/>
        <w:gridCol w:w="139"/>
        <w:gridCol w:w="315"/>
        <w:gridCol w:w="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5"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5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吴晶净</w:t>
            </w:r>
          </w:p>
        </w:tc>
        <w:tc>
          <w:tcPr>
            <w:tcW w:w="147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2"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13975009007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0"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5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w:t>
            </w:r>
          </w:p>
        </w:tc>
        <w:tc>
          <w:tcPr>
            <w:tcW w:w="147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2"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3"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30"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主要负责联系各民主党派</w:t>
            </w:r>
            <w:r>
              <w:rPr>
                <w:rFonts w:hint="eastAsia" w:ascii="仿宋_GB2312" w:hAnsi="仿宋_GB2312" w:eastAsia="仿宋_GB2312" w:cs="仿宋_GB2312"/>
                <w:color w:val="000000"/>
                <w:sz w:val="24"/>
                <w:lang w:eastAsia="zh-CN"/>
              </w:rPr>
              <w:t>驻区</w:t>
            </w:r>
            <w:r>
              <w:rPr>
                <w:rFonts w:hint="eastAsia" w:ascii="仿宋_GB2312" w:hAnsi="仿宋_GB2312" w:eastAsia="仿宋_GB2312" w:cs="仿宋_GB2312"/>
                <w:color w:val="000000"/>
                <w:sz w:val="24"/>
              </w:rPr>
              <w:t>，并及时通报情况，负责调查研究有关民族、宗教</w:t>
            </w:r>
            <w:r>
              <w:rPr>
                <w:rFonts w:hint="eastAsia" w:ascii="仿宋_GB2312" w:hAnsi="仿宋_GB2312" w:eastAsia="仿宋_GB2312" w:cs="仿宋_GB2312"/>
                <w:color w:val="000000"/>
                <w:sz w:val="24"/>
                <w:lang w:eastAsia="zh-CN"/>
              </w:rPr>
              <w:t>、侨务</w:t>
            </w:r>
            <w:r>
              <w:rPr>
                <w:rFonts w:hint="eastAsia" w:ascii="仿宋_GB2312" w:hAnsi="仿宋_GB2312" w:eastAsia="仿宋_GB2312" w:cs="仿宋_GB2312"/>
                <w:color w:val="000000"/>
                <w:sz w:val="24"/>
              </w:rPr>
              <w:t>工作的重大方针、政策问题，</w:t>
            </w:r>
            <w:r>
              <w:rPr>
                <w:rFonts w:hint="eastAsia" w:ascii="仿宋_GB2312" w:hAnsi="仿宋_GB2312" w:eastAsia="仿宋_GB2312" w:cs="仿宋_GB2312"/>
                <w:color w:val="000000"/>
                <w:sz w:val="24"/>
                <w:lang w:eastAsia="zh-CN"/>
              </w:rPr>
              <w:t>做好非公有制经济联络工作，</w:t>
            </w:r>
            <w:r>
              <w:rPr>
                <w:rFonts w:hint="eastAsia" w:ascii="仿宋_GB2312" w:hAnsi="仿宋_GB2312" w:eastAsia="仿宋_GB2312" w:cs="仿宋_GB2312"/>
                <w:color w:val="000000"/>
                <w:sz w:val="24"/>
              </w:rPr>
              <w:t>并完成区委交办的其他任务。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3" w:hRule="atLeast"/>
          <w:jc w:val="center"/>
        </w:trPr>
        <w:tc>
          <w:tcPr>
            <w:tcW w:w="1650"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30"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1：按要求开展统一战线专题活动；</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2：聚集统战力量，服务“</w:t>
            </w:r>
            <w:r>
              <w:rPr>
                <w:rFonts w:hint="eastAsia" w:ascii="仿宋_GB2312" w:hAnsi="仿宋_GB2312" w:eastAsia="仿宋_GB2312" w:cs="仿宋_GB2312"/>
                <w:color w:val="000000"/>
                <w:sz w:val="24"/>
                <w:lang w:eastAsia="zh-CN"/>
              </w:rPr>
              <w:t>十</w:t>
            </w:r>
            <w:r>
              <w:rPr>
                <w:rFonts w:hint="eastAsia" w:ascii="仿宋_GB2312" w:hAnsi="仿宋_GB2312" w:eastAsia="仿宋_GB2312" w:cs="仿宋_GB2312"/>
                <w:color w:val="000000"/>
                <w:sz w:val="24"/>
              </w:rPr>
              <w:t>三五”</w:t>
            </w:r>
            <w:r>
              <w:rPr>
                <w:rFonts w:hint="eastAsia" w:ascii="仿宋_GB2312" w:hAnsi="仿宋_GB2312" w:eastAsia="仿宋_GB2312" w:cs="仿宋_GB2312"/>
                <w:color w:val="000000"/>
                <w:sz w:val="24"/>
                <w:lang w:eastAsia="zh-CN"/>
              </w:rPr>
              <w:t>建设</w:t>
            </w:r>
            <w:r>
              <w:rPr>
                <w:rFonts w:hint="eastAsia" w:ascii="仿宋_GB2312" w:hAnsi="仿宋_GB2312" w:eastAsia="仿宋_GB2312" w:cs="仿宋_GB2312"/>
                <w:color w:val="000000"/>
                <w:sz w:val="24"/>
              </w:rPr>
              <w:t>；</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3：加强党外代表人士队伍建设；</w:t>
            </w:r>
          </w:p>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rPr>
              <w:t>4：认真做好民族宗教工作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354"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30" w:type="dxa"/>
            <w:gridSpan w:val="15"/>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向区委常委会汇报工作3次，区委统一战线工作领导小组下发文件4个。开展“不忘合作初心、继续携手前行”主题教育。组织党外人士参加市委党校培训。</w:t>
            </w:r>
            <w:r>
              <w:rPr>
                <w:rFonts w:hint="eastAsia" w:ascii="仿宋_GB2312" w:hAnsi="仿宋_GB2312" w:eastAsia="仿宋_GB2312" w:cs="仿宋_GB2312"/>
                <w:color w:val="000000"/>
                <w:sz w:val="24"/>
                <w:lang w:eastAsia="zh-CN"/>
              </w:rPr>
              <w:t>确定了由24名区级领导、24个责任单位结对帮扶24家重点民营企业。开展“民企大走访、同心促发展”活动，走访企业300多家。开展为期1个月的专题调研，形成《岳阳楼区优化营商环境情况调研报告》。在10个社区建设了民主党派社会服务实践基地，开展各类服务活动</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lang w:eastAsia="zh-CN"/>
              </w:rPr>
              <w:t>余次。对</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lang w:eastAsia="zh-CN"/>
              </w:rPr>
              <w:t>名归侨、困难侨眷、侨属进行了慰问，为</w:t>
            </w:r>
            <w:r>
              <w:rPr>
                <w:rFonts w:hint="eastAsia" w:ascii="仿宋_GB2312" w:hAnsi="仿宋_GB2312" w:eastAsia="仿宋_GB2312" w:cs="仿宋_GB2312"/>
                <w:color w:val="000000"/>
                <w:sz w:val="24"/>
                <w:lang w:val="en-US" w:eastAsia="zh-CN"/>
              </w:rPr>
              <w:t>6名老年归侨办理了归侨补贴。</w:t>
            </w:r>
            <w:r>
              <w:rPr>
                <w:rFonts w:hint="eastAsia" w:ascii="仿宋_GB2312" w:hAnsi="仿宋_GB2312" w:eastAsia="仿宋_GB2312" w:cs="仿宋_GB2312"/>
                <w:color w:val="000000"/>
                <w:sz w:val="24"/>
                <w:lang w:eastAsia="zh-CN"/>
              </w:rPr>
              <w:t>在湖南人和人律师事务所揭牌成立全区新的社会阶层人士统</w:t>
            </w:r>
            <w:bookmarkStart w:id="0" w:name="_GoBack"/>
            <w:bookmarkEnd w:id="0"/>
            <w:r>
              <w:rPr>
                <w:rFonts w:hint="eastAsia" w:ascii="仿宋_GB2312" w:hAnsi="仿宋_GB2312" w:eastAsia="仿宋_GB2312" w:cs="仿宋_GB2312"/>
                <w:color w:val="000000"/>
                <w:sz w:val="24"/>
                <w:lang w:eastAsia="zh-CN"/>
              </w:rPr>
              <w:t>战工作实践创新基地。</w:t>
            </w:r>
            <w:r>
              <w:rPr>
                <w:rFonts w:hint="eastAsia" w:ascii="仿宋_GB2312" w:hAnsi="仿宋_GB2312" w:eastAsia="仿宋_GB2312" w:cs="仿宋_GB2312"/>
                <w:color w:val="000000"/>
                <w:sz w:val="24"/>
                <w:lang w:val="en-US" w:eastAsia="zh-CN"/>
              </w:rPr>
              <w:t>取缔2处韩国新天地教会窝点，对4名非法传教人员进行了训诫。督促基督教岳阳堂对受洗学生全部进行了清退。12个宗教活动场所和2个宗教团体对公账户全部办理完成。</w:t>
            </w:r>
            <w:r>
              <w:rPr>
                <w:rFonts w:hint="eastAsia" w:ascii="仿宋_GB2312" w:hAnsi="仿宋_GB2312" w:eastAsia="仿宋_GB2312" w:cs="仿宋_GB2312"/>
                <w:color w:val="000000"/>
                <w:sz w:val="24"/>
                <w:lang w:eastAsia="zh-CN"/>
              </w:rPr>
              <w:t>为8名流动少数民族儿童解决就近入学，调解流动少数民族居民与本地居民纠纷</w:t>
            </w:r>
            <w:r>
              <w:rPr>
                <w:rFonts w:hint="eastAsia" w:ascii="仿宋_GB2312" w:hAnsi="仿宋_GB2312" w:eastAsia="仿宋_GB2312" w:cs="仿宋_GB2312"/>
                <w:color w:val="000000"/>
                <w:sz w:val="24"/>
                <w:lang w:val="en-US" w:eastAsia="zh-CN"/>
              </w:rPr>
              <w:t>11起</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4"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7"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9" w:hRule="atLeast"/>
          <w:jc w:val="center"/>
        </w:trPr>
        <w:tc>
          <w:tcPr>
            <w:tcW w:w="1696"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7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07"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8" w:hRule="atLeast"/>
          <w:jc w:val="center"/>
        </w:trPr>
        <w:tc>
          <w:tcPr>
            <w:tcW w:w="1696"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79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3" w:hRule="atLeast"/>
          <w:jc w:val="center"/>
        </w:trPr>
        <w:tc>
          <w:tcPr>
            <w:tcW w:w="1696"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区委统战部</w:t>
            </w:r>
          </w:p>
        </w:tc>
        <w:tc>
          <w:tcPr>
            <w:tcW w:w="1077"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293.63</w:t>
            </w:r>
          </w:p>
        </w:tc>
        <w:tc>
          <w:tcPr>
            <w:tcW w:w="1352"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78"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293.63</w:t>
            </w:r>
          </w:p>
        </w:tc>
        <w:tc>
          <w:tcPr>
            <w:tcW w:w="1701"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96"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1"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8" w:hRule="atLeast"/>
          <w:jc w:val="center"/>
        </w:trPr>
        <w:tc>
          <w:tcPr>
            <w:tcW w:w="1696"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7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63"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4"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1" w:hRule="atLeast"/>
          <w:jc w:val="center"/>
        </w:trPr>
        <w:tc>
          <w:tcPr>
            <w:tcW w:w="1696"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2"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33"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78"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18"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6"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696"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2"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5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78"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18"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6"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8" w:hRule="atLeast"/>
          <w:jc w:val="center"/>
        </w:trPr>
        <w:tc>
          <w:tcPr>
            <w:tcW w:w="1696" w:type="dxa"/>
            <w:gridSpan w:val="3"/>
            <w:noWrap w:val="0"/>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区委统战部</w:t>
            </w:r>
          </w:p>
        </w:tc>
        <w:tc>
          <w:tcPr>
            <w:tcW w:w="107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293.63</w:t>
            </w:r>
          </w:p>
        </w:tc>
        <w:tc>
          <w:tcPr>
            <w:tcW w:w="135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193.13</w:t>
            </w:r>
          </w:p>
        </w:tc>
        <w:tc>
          <w:tcPr>
            <w:tcW w:w="107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148.18</w:t>
            </w:r>
          </w:p>
        </w:tc>
        <w:tc>
          <w:tcPr>
            <w:tcW w:w="2155"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44.95</w:t>
            </w:r>
          </w:p>
        </w:tc>
        <w:tc>
          <w:tcPr>
            <w:tcW w:w="1078"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100.52</w:t>
            </w:r>
          </w:p>
        </w:tc>
        <w:tc>
          <w:tcPr>
            <w:tcW w:w="718"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6"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3" w:hRule="atLeast"/>
          <w:jc w:val="center"/>
        </w:trPr>
        <w:tc>
          <w:tcPr>
            <w:tcW w:w="1696"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7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07"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6" w:hRule="atLeast"/>
          <w:jc w:val="center"/>
        </w:trPr>
        <w:tc>
          <w:tcPr>
            <w:tcW w:w="1696"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2"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5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3" w:hRule="atLeast"/>
          <w:jc w:val="center"/>
        </w:trPr>
        <w:tc>
          <w:tcPr>
            <w:tcW w:w="1696" w:type="dxa"/>
            <w:gridSpan w:val="3"/>
            <w:noWrap w:val="0"/>
            <w:vAlign w:val="center"/>
          </w:tcPr>
          <w:p>
            <w:pPr>
              <w:spacing w:line="32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区委统战部</w:t>
            </w:r>
          </w:p>
        </w:tc>
        <w:tc>
          <w:tcPr>
            <w:tcW w:w="107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w:t>
            </w:r>
          </w:p>
        </w:tc>
        <w:tc>
          <w:tcPr>
            <w:tcW w:w="1352"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w:t>
            </w:r>
          </w:p>
        </w:tc>
        <w:tc>
          <w:tcPr>
            <w:tcW w:w="10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55"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8" w:hRule="atLeast"/>
          <w:jc w:val="center"/>
        </w:trPr>
        <w:tc>
          <w:tcPr>
            <w:tcW w:w="1696"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77"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66"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0" w:hRule="atLeast"/>
          <w:jc w:val="center"/>
        </w:trPr>
        <w:tc>
          <w:tcPr>
            <w:tcW w:w="1696"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77"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0"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36"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8" w:hRule="atLeast"/>
          <w:jc w:val="center"/>
        </w:trPr>
        <w:tc>
          <w:tcPr>
            <w:tcW w:w="1696"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区委统战部</w:t>
            </w:r>
          </w:p>
        </w:tc>
        <w:tc>
          <w:tcPr>
            <w:tcW w:w="107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12.38</w:t>
            </w:r>
          </w:p>
        </w:tc>
        <w:tc>
          <w:tcPr>
            <w:tcW w:w="2430"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12.38</w:t>
            </w:r>
          </w:p>
        </w:tc>
        <w:tc>
          <w:tcPr>
            <w:tcW w:w="363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4"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 w:hRule="atLeast"/>
          <w:jc w:val="center"/>
        </w:trPr>
        <w:tc>
          <w:tcPr>
            <w:tcW w:w="1438"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65"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77"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36"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3765"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目标1：按要求开展统战专题活动；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目标2：聚集统战力量，服务“一三五”基本思路；</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目标3：加强党外代表人士队伍建设；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目标4：认真做好民族宗教工作。</w:t>
            </w:r>
          </w:p>
        </w:tc>
        <w:tc>
          <w:tcPr>
            <w:tcW w:w="4577"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3" w:hRule="atLeast"/>
          <w:jc w:val="center"/>
        </w:trPr>
        <w:tc>
          <w:tcPr>
            <w:tcW w:w="1438"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0"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3"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召开统战工作领导小组会议不少于2次</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7"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深入开展“同心美丽社区”创建，全面完成创建任务</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8"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深入贯彻落实“非公十条”，完成非公经济发展增速目标</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4"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按上级要求党外干部配备到位，完成上级调训任务</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0"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大力打击非法宗教活动，妥善处置民族宗教领域突发事件</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13"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统战“大调研、大扶贫、大招商”活动有成效</w:t>
            </w:r>
            <w:r>
              <w:rPr>
                <w:rFonts w:hint="eastAsia" w:ascii="仿宋_GB2312" w:hAnsi="仿宋_GB2312" w:eastAsia="仿宋_GB2312" w:cs="仿宋_GB2312"/>
                <w:color w:val="000000"/>
                <w:sz w:val="24"/>
                <w:lang w:eastAsia="zh-CN"/>
              </w:rPr>
              <w:t>，进一步优化营商环境，非公经济健康快速发展</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6"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党外代表人士队伍进一步发展</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0" w:hRule="atLeast"/>
          <w:jc w:val="center"/>
        </w:trPr>
        <w:tc>
          <w:tcPr>
            <w:tcW w:w="1438" w:type="dxa"/>
            <w:vMerge w:val="continue"/>
            <w:noWrap w:val="0"/>
            <w:vAlign w:val="center"/>
          </w:tcPr>
          <w:p>
            <w:pPr>
              <w:spacing w:line="320" w:lineRule="exact"/>
              <w:rPr>
                <w:rFonts w:hint="eastAsia" w:ascii="仿宋_GB2312" w:hAnsi="仿宋_GB2312" w:eastAsia="仿宋_GB2312" w:cs="仿宋_GB2312"/>
                <w:sz w:val="24"/>
              </w:rPr>
            </w:pPr>
          </w:p>
        </w:tc>
        <w:tc>
          <w:tcPr>
            <w:tcW w:w="1545"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rPr>
              <w:t>民族宗教领域和谐稳定</w:t>
            </w:r>
          </w:p>
        </w:tc>
        <w:tc>
          <w:tcPr>
            <w:tcW w:w="268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298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797"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6" w:hRule="atLeast"/>
          <w:jc w:val="center"/>
        </w:trPr>
        <w:tc>
          <w:tcPr>
            <w:tcW w:w="298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797"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978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3"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5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2"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1650"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周上青</w:t>
            </w:r>
          </w:p>
        </w:tc>
        <w:tc>
          <w:tcPr>
            <w:tcW w:w="3553"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常务副部长</w:t>
            </w:r>
          </w:p>
        </w:tc>
        <w:tc>
          <w:tcPr>
            <w:tcW w:w="1475"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区委统战部</w:t>
            </w:r>
          </w:p>
        </w:tc>
        <w:tc>
          <w:tcPr>
            <w:tcW w:w="3102"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1650"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吴晶净</w:t>
            </w:r>
          </w:p>
        </w:tc>
        <w:tc>
          <w:tcPr>
            <w:tcW w:w="3553"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民主党派办主任</w:t>
            </w:r>
          </w:p>
        </w:tc>
        <w:tc>
          <w:tcPr>
            <w:tcW w:w="1475" w:type="dxa"/>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区委统战部</w:t>
            </w:r>
          </w:p>
        </w:tc>
        <w:tc>
          <w:tcPr>
            <w:tcW w:w="3102"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5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2"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165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53"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2"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70" w:hRule="atLeast"/>
          <w:jc w:val="center"/>
        </w:trPr>
        <w:tc>
          <w:tcPr>
            <w:tcW w:w="978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70" w:hRule="atLeast"/>
          <w:jc w:val="center"/>
        </w:trPr>
        <w:tc>
          <w:tcPr>
            <w:tcW w:w="978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0" w:hRule="atLeast"/>
          <w:jc w:val="center"/>
        </w:trPr>
        <w:tc>
          <w:tcPr>
            <w:tcW w:w="978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（一）部门（单位）基本情况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eastAsia="zh-CN"/>
              </w:rPr>
            </w:pPr>
            <w:r>
              <w:rPr>
                <w:rFonts w:hint="eastAsia" w:ascii="仿宋_GB2312" w:hAnsi="黑体" w:eastAsia="仿宋_GB2312" w:cs="黑体"/>
                <w:bCs/>
                <w:sz w:val="24"/>
                <w:lang w:eastAsia="zh-CN"/>
              </w:rPr>
              <w:t>主要负责联系各民主党派驻区，并及时通报情况，负责调查研究有关民族、宗教、侨务工作的重大方针、政策问题，做好非公有制经济联络工作，并完成区委交办的其他任务。现有人数</w:t>
            </w:r>
            <w:r>
              <w:rPr>
                <w:rFonts w:hint="eastAsia" w:ascii="仿宋_GB2312" w:hAnsi="黑体" w:eastAsia="仿宋_GB2312" w:cs="黑体"/>
                <w:bCs/>
                <w:sz w:val="24"/>
                <w:lang w:val="en-US" w:eastAsia="zh-CN"/>
              </w:rPr>
              <w:t>17</w:t>
            </w:r>
            <w:r>
              <w:rPr>
                <w:rFonts w:hint="eastAsia" w:ascii="仿宋_GB2312" w:hAnsi="黑体" w:eastAsia="仿宋_GB2312" w:cs="黑体"/>
                <w:bCs/>
                <w:sz w:val="24"/>
                <w:lang w:eastAsia="zh-CN"/>
              </w:rPr>
              <w:t>人，其中：在职全额编制</w:t>
            </w:r>
            <w:r>
              <w:rPr>
                <w:rFonts w:hint="eastAsia" w:ascii="仿宋_GB2312" w:hAnsi="黑体" w:eastAsia="仿宋_GB2312" w:cs="黑体"/>
                <w:bCs/>
                <w:sz w:val="24"/>
                <w:lang w:val="en-US" w:eastAsia="zh-CN"/>
              </w:rPr>
              <w:t>7</w:t>
            </w:r>
            <w:r>
              <w:rPr>
                <w:rFonts w:hint="eastAsia" w:ascii="仿宋_GB2312" w:hAnsi="黑体" w:eastAsia="仿宋_GB2312" w:cs="黑体"/>
                <w:bCs/>
                <w:sz w:val="24"/>
                <w:lang w:eastAsia="zh-CN"/>
              </w:rPr>
              <w:t>人；离退休</w:t>
            </w:r>
            <w:r>
              <w:rPr>
                <w:rFonts w:hint="eastAsia" w:ascii="仿宋_GB2312" w:hAnsi="黑体" w:eastAsia="仿宋_GB2312" w:cs="黑体"/>
                <w:bCs/>
                <w:sz w:val="24"/>
                <w:lang w:val="en-US" w:eastAsia="zh-CN"/>
              </w:rPr>
              <w:t>10</w:t>
            </w:r>
            <w:r>
              <w:rPr>
                <w:rFonts w:hint="eastAsia" w:ascii="仿宋_GB2312" w:hAnsi="黑体" w:eastAsia="仿宋_GB2312" w:cs="黑体"/>
                <w:bCs/>
                <w:sz w:val="24"/>
                <w:lang w:eastAsia="zh-CN"/>
              </w:rPr>
              <w:t>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bCs/>
                <w:sz w:val="28"/>
                <w:szCs w:val="28"/>
              </w:rPr>
            </w:pPr>
            <w:r>
              <w:rPr>
                <w:rFonts w:hint="eastAsia" w:ascii="仿宋_GB2312" w:hAnsi="黑体" w:eastAsia="仿宋_GB2312" w:cs="黑体"/>
                <w:bCs/>
                <w:sz w:val="24"/>
                <w:lang w:eastAsia="zh-CN"/>
              </w:rPr>
              <w:t>（二）部门（单位）整体支出规模、使用方向和主要内容、涉及范围等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rPr>
            </w:pPr>
            <w:r>
              <w:rPr>
                <w:rFonts w:hint="eastAsia" w:ascii="仿宋_GB2312" w:hAnsi="黑体" w:eastAsia="仿宋_GB2312" w:cs="黑体"/>
                <w:bCs/>
                <w:sz w:val="24"/>
              </w:rPr>
              <w:t>主要用</w:t>
            </w:r>
            <w:r>
              <w:rPr>
                <w:rFonts w:hint="eastAsia" w:ascii="仿宋_GB2312" w:hAnsi="黑体" w:eastAsia="仿宋_GB2312" w:cs="黑体"/>
                <w:bCs/>
                <w:sz w:val="24"/>
                <w:lang w:eastAsia="zh-CN"/>
              </w:rPr>
              <w:t>于</w:t>
            </w:r>
            <w:r>
              <w:rPr>
                <w:rFonts w:hint="eastAsia" w:ascii="仿宋_GB2312" w:hAnsi="黑体" w:eastAsia="仿宋_GB2312" w:cs="黑体"/>
                <w:bCs/>
                <w:sz w:val="24"/>
              </w:rPr>
              <w:t>人员工资</w:t>
            </w:r>
            <w:r>
              <w:rPr>
                <w:rFonts w:hint="eastAsia" w:ascii="仿宋_GB2312" w:hAnsi="黑体" w:eastAsia="仿宋_GB2312" w:cs="黑体"/>
                <w:bCs/>
                <w:sz w:val="24"/>
                <w:lang w:eastAsia="zh-CN"/>
              </w:rPr>
              <w:t>、</w:t>
            </w:r>
            <w:r>
              <w:rPr>
                <w:rFonts w:hint="eastAsia" w:ascii="仿宋_GB2312" w:hAnsi="黑体" w:eastAsia="仿宋_GB2312" w:cs="黑体"/>
                <w:bCs/>
                <w:sz w:val="24"/>
              </w:rPr>
              <w:t>社保激纳</w:t>
            </w:r>
            <w:r>
              <w:rPr>
                <w:rFonts w:hint="eastAsia" w:ascii="仿宋_GB2312" w:hAnsi="黑体" w:eastAsia="仿宋_GB2312" w:cs="黑体"/>
                <w:bCs/>
                <w:sz w:val="24"/>
                <w:lang w:eastAsia="zh-CN"/>
              </w:rPr>
              <w:t>以及全区统一战线事业发展</w:t>
            </w:r>
            <w:r>
              <w:rPr>
                <w:rFonts w:hint="eastAsia" w:ascii="仿宋_GB2312" w:hAnsi="黑体" w:eastAsia="仿宋_GB2312" w:cs="黑体"/>
                <w:bCs/>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（一）基本支出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基本支出193.13万元，其中人员经148.18万元，主要用于人员工资及社保障激纳等，公用支出44.95万元，主要用于日常办公开支，项目支出100.52万元。</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1.专项资金安排落实、总投入等情况分析：在专项资金预算中我单位分别为民主党派和党外干部工作经费20万元，民族、宗教、对台事务工作经费10 万元，新的社会阶层人士、党外知识分子工作经费18万元，预算专项资金及时足额的拨付到了位，确保了专项工作的正常开展。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2、专项资金实际使用情况分析：在实际专项工作开展中，我单位的专项经费基本能保证正常工作的开展，但近年来宗教事务的管理经费压力越来越大。</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3、专项资金管理情况分析：我单位为报账制，对于专项经费的管理主要是统筹安排，专项专用。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（一）专项组织情况分析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各项目资金都安排责任人，按专项资金的用途专款专用。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（二）专项管理情况分析</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lang w:val="en-US" w:eastAsia="zh-CN"/>
              </w:rPr>
            </w:pPr>
            <w:r>
              <w:rPr>
                <w:rFonts w:hint="eastAsia" w:ascii="仿宋_GB2312" w:hAnsi="黑体" w:eastAsia="仿宋_GB2312" w:cs="黑体"/>
                <w:bCs/>
                <w:sz w:val="24"/>
                <w:lang w:val="en-US" w:eastAsia="zh-CN"/>
              </w:rPr>
              <w:t>在使用项目资金时，严格执行项目资金使用制度和财务制度，同时对各项目资金的使用流程进行监督，定时查看财务表报检查专项资金使用情况。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黑体" w:hAnsi="黑体" w:eastAsia="黑体" w:cs="黑体"/>
                <w:bCs/>
                <w:sz w:val="28"/>
                <w:szCs w:val="28"/>
              </w:rPr>
            </w:pPr>
            <w:r>
              <w:rPr>
                <w:rFonts w:hint="eastAsia" w:ascii="仿宋_GB2312" w:hAnsi="黑体" w:eastAsia="仿宋_GB2312" w:cs="黑体"/>
                <w:bCs/>
                <w:sz w:val="24"/>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黑体" w:eastAsia="仿宋_GB2312" w:cs="黑体"/>
                <w:bCs/>
                <w:sz w:val="24"/>
              </w:rPr>
            </w:pPr>
            <w:r>
              <w:rPr>
                <w:rFonts w:hint="eastAsia" w:ascii="仿宋_GB2312" w:hAnsi="黑体" w:eastAsia="仿宋_GB2312" w:cs="黑体"/>
                <w:bCs/>
                <w:sz w:val="24"/>
              </w:rPr>
              <w:t>在日常财务工作中存在着一定程度的“重分配、轻管理、重支出、轻绩效”的情况，单位绩效目标编制仍有缺失，需要进一步加强对资金绩效管理的重视程度。</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eastAsia="楷体_GB2312"/>
                <w:bCs/>
                <w:sz w:val="28"/>
                <w:szCs w:val="28"/>
              </w:rPr>
            </w:pPr>
            <w:r>
              <w:rPr>
                <w:rFonts w:hint="eastAsia" w:ascii="仿宋_GB2312" w:hAnsi="黑体" w:eastAsia="仿宋_GB2312" w:cs="黑体"/>
                <w:bCs/>
                <w:sz w:val="24"/>
              </w:rPr>
              <w:t>突出资金使用绩效，做到“花钱必问效”，按照绩效评价原则，开展资金安全性、规范性的监督，确保专项资金的使用符合绩效管理要求。</w:t>
            </w: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649C0"/>
    <w:rsid w:val="1CA649C0"/>
    <w:rsid w:val="34E76CE0"/>
    <w:rsid w:val="4B447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2021-06-28T06:40:00Z</dcterms:created>
  <dc:creator>知秋一叶</dc:creator>
  <cp:lastModifiedBy>知秋一叶</cp:lastModifiedBy>
  <cp:lastPrinted>2021-06-29T06:34:31Z</cp:lastPrinted>
  <dcterms:modified xsi:type="dcterms:W3CDTF">2021-06-29T06:47:05Z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842CB82C5C094237BEF69D3922A35A00</vt:lpwstr>
  </property>
</Properties>
</file>