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hint="eastAsia" w:ascii="黑体" w:hAnsi="黑体" w:eastAsia="黑体"/>
          <w:sz w:val="32"/>
          <w:szCs w:val="32"/>
        </w:rPr>
        <w:t>附件4-1</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岳阳楼区财政支出项目绩效评价自评报告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ascii="仿宋" w:hAnsi="仿宋" w:eastAsia="仿宋" w:cs="仿宋"/>
          <w:kern w:val="0"/>
          <w:sz w:val="32"/>
          <w:szCs w:val="32"/>
          <w:u w:val="thick"/>
        </w:rPr>
        <w:t>城乡医疗救助</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岳阳楼区医疗保障局</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岳阳楼区政府</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2021  年   6月28   日</w:t>
      </w:r>
    </w:p>
    <w:p>
      <w:pPr>
        <w:spacing w:line="348" w:lineRule="auto"/>
        <w:jc w:val="center"/>
        <w:rPr>
          <w:rFonts w:eastAsia="仿宋_GB2312"/>
          <w:sz w:val="32"/>
        </w:rPr>
      </w:pPr>
      <w:r>
        <w:rPr>
          <w:rFonts w:hint="eastAsia" w:eastAsia="仿宋_GB2312"/>
          <w:sz w:val="32"/>
        </w:rPr>
        <w:t>岳阳楼区财政局（制）</w:t>
      </w:r>
    </w:p>
    <w:p>
      <w:pPr>
        <w:spacing w:line="100" w:lineRule="exact"/>
        <w:jc w:val="center"/>
        <w:rPr>
          <w:rFonts w:eastAsia="仿宋_GB2312"/>
          <w:sz w:val="32"/>
        </w:rPr>
      </w:pPr>
    </w:p>
    <w:tbl>
      <w:tblPr>
        <w:tblStyle w:val="5"/>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662" w:type="dxa"/>
            <w:gridSpan w:val="2"/>
            <w:vAlign w:val="center"/>
          </w:tcPr>
          <w:p>
            <w:pPr>
              <w:jc w:val="center"/>
              <w:rPr>
                <w:rFonts w:eastAsia="仿宋_GB2312"/>
                <w:sz w:val="24"/>
              </w:rPr>
            </w:pPr>
            <w:r>
              <w:rPr>
                <w:rFonts w:hint="eastAsia" w:eastAsia="仿宋_GB2312"/>
                <w:sz w:val="24"/>
              </w:rPr>
              <w:t>项目负责人</w:t>
            </w:r>
          </w:p>
        </w:tc>
        <w:tc>
          <w:tcPr>
            <w:tcW w:w="3240" w:type="dxa"/>
            <w:gridSpan w:val="6"/>
            <w:vAlign w:val="center"/>
          </w:tcPr>
          <w:p>
            <w:pPr>
              <w:jc w:val="center"/>
              <w:rPr>
                <w:rFonts w:eastAsia="仿宋_GB2312"/>
                <w:sz w:val="24"/>
              </w:rPr>
            </w:pPr>
            <w:r>
              <w:rPr>
                <w:rFonts w:hint="eastAsia" w:eastAsia="仿宋_GB2312"/>
                <w:sz w:val="24"/>
              </w:rPr>
              <w:t>瞿源</w:t>
            </w:r>
          </w:p>
        </w:tc>
        <w:tc>
          <w:tcPr>
            <w:tcW w:w="1347" w:type="dxa"/>
            <w:gridSpan w:val="2"/>
            <w:vAlign w:val="center"/>
          </w:tcPr>
          <w:p>
            <w:pPr>
              <w:jc w:val="cente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r>
              <w:rPr>
                <w:rFonts w:hint="eastAsia" w:eastAsia="仿宋_GB2312"/>
                <w:sz w:val="24"/>
              </w:rPr>
              <w:t>8269229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662" w:type="dxa"/>
            <w:gridSpan w:val="2"/>
            <w:vAlign w:val="center"/>
          </w:tcPr>
          <w:p>
            <w:pPr>
              <w:jc w:val="center"/>
              <w:rPr>
                <w:rFonts w:eastAsia="仿宋_GB2312"/>
                <w:sz w:val="24"/>
              </w:rPr>
            </w:pPr>
            <w:r>
              <w:rPr>
                <w:rFonts w:hint="eastAsia" w:eastAsia="仿宋_GB2312"/>
                <w:sz w:val="24"/>
              </w:rPr>
              <w:t>项目地址</w:t>
            </w:r>
          </w:p>
        </w:tc>
        <w:tc>
          <w:tcPr>
            <w:tcW w:w="3240" w:type="dxa"/>
            <w:gridSpan w:val="6"/>
            <w:vAlign w:val="center"/>
          </w:tcPr>
          <w:p>
            <w:pPr>
              <w:jc w:val="center"/>
              <w:rPr>
                <w:rFonts w:eastAsia="仿宋_GB2312"/>
                <w:sz w:val="24"/>
              </w:rPr>
            </w:pPr>
            <w:r>
              <w:rPr>
                <w:rFonts w:hint="eastAsia" w:eastAsia="仿宋_GB2312"/>
                <w:sz w:val="24"/>
              </w:rPr>
              <w:t>岳阳楼区</w:t>
            </w:r>
          </w:p>
        </w:tc>
        <w:tc>
          <w:tcPr>
            <w:tcW w:w="1347" w:type="dxa"/>
            <w:gridSpan w:val="2"/>
            <w:vAlign w:val="center"/>
          </w:tcPr>
          <w:p>
            <w:pPr>
              <w:jc w:val="cente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r>
              <w:rPr>
                <w:rFonts w:hint="eastAsia" w:eastAsia="仿宋_GB2312"/>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2020年   1    月起至 2020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300</w:t>
            </w: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300</w:t>
            </w: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300</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300</w:t>
            </w:r>
          </w:p>
        </w:tc>
        <w:tc>
          <w:tcPr>
            <w:tcW w:w="1800" w:type="dxa"/>
            <w:tcBorders>
              <w:bottom w:val="single" w:color="auto" w:sz="4" w:space="0"/>
            </w:tcBorders>
            <w:vAlign w:val="center"/>
          </w:tcPr>
          <w:p>
            <w:pPr>
              <w:rPr>
                <w:rFonts w:eastAsia="仿宋_GB2312"/>
                <w:sz w:val="24"/>
              </w:rPr>
            </w:pPr>
            <w:r>
              <w:rPr>
                <w:rFonts w:hint="eastAsia" w:eastAsia="仿宋_GB2312"/>
                <w:sz w:val="24"/>
              </w:rPr>
              <w:t>区财政</w:t>
            </w:r>
          </w:p>
        </w:tc>
        <w:tc>
          <w:tcPr>
            <w:tcW w:w="720" w:type="dxa"/>
            <w:gridSpan w:val="3"/>
            <w:tcBorders>
              <w:bottom w:val="single" w:color="auto" w:sz="4" w:space="0"/>
            </w:tcBorders>
            <w:vAlign w:val="center"/>
          </w:tcPr>
          <w:p>
            <w:pPr>
              <w:rPr>
                <w:rFonts w:eastAsia="仿宋_GB2312"/>
                <w:sz w:val="24"/>
              </w:rPr>
            </w:pPr>
            <w:r>
              <w:rPr>
                <w:rFonts w:hint="eastAsia" w:eastAsia="仿宋_GB2312"/>
                <w:sz w:val="24"/>
              </w:rPr>
              <w:t>300</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区财政</w:t>
            </w:r>
          </w:p>
        </w:tc>
        <w:tc>
          <w:tcPr>
            <w:tcW w:w="720" w:type="dxa"/>
            <w:tcBorders>
              <w:bottom w:val="single" w:color="auto" w:sz="4" w:space="0"/>
            </w:tcBorders>
            <w:vAlign w:val="center"/>
          </w:tcPr>
          <w:p>
            <w:pPr>
              <w:rPr>
                <w:rFonts w:eastAsia="仿宋_GB2312"/>
                <w:sz w:val="24"/>
              </w:rPr>
            </w:pPr>
            <w:r>
              <w:rPr>
                <w:rFonts w:hint="eastAsia" w:eastAsia="仿宋_GB2312"/>
                <w:sz w:val="24"/>
              </w:rPr>
              <w:t>300</w:t>
            </w:r>
          </w:p>
        </w:tc>
        <w:tc>
          <w:tcPr>
            <w:tcW w:w="1620" w:type="dxa"/>
            <w:tcBorders>
              <w:bottom w:val="single" w:color="auto" w:sz="4" w:space="0"/>
            </w:tcBorders>
            <w:vAlign w:val="center"/>
          </w:tcPr>
          <w:p>
            <w:pPr>
              <w:rPr>
                <w:rFonts w:eastAsia="仿宋_GB2312"/>
                <w:sz w:val="24"/>
              </w:rPr>
            </w:pPr>
            <w:r>
              <w:rPr>
                <w:rFonts w:hint="eastAsia" w:eastAsia="仿宋_GB2312"/>
                <w:sz w:val="24"/>
              </w:rPr>
              <w:t>区财政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rPr>
              <w:t>支付医疗救助</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300万元</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5月2号凭证</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r>
              <w:rPr>
                <w:rFonts w:hint="eastAsia" w:eastAsia="仿宋_GB2312"/>
                <w:b/>
                <w:sz w:val="24"/>
              </w:rPr>
              <w:t>300万元</w:t>
            </w: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预  期 目 标</w:t>
            </w: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
                <w:sz w:val="24"/>
              </w:rPr>
            </w:pPr>
            <w:r>
              <w:rPr>
                <w:rFonts w:hint="eastAsia" w:eastAsia="仿宋_GB2312"/>
                <w:b/>
                <w:sz w:val="24"/>
              </w:rPr>
              <w:t>对岳阳楼区患病的贫困人员进行医疗救助</w:t>
            </w: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对我区贫困患病人员实施救助达到96%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救助人数</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14000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13960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救助人次</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1700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受理时间</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 xml:space="preserve">30个工作日 </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许界殊</w:t>
            </w:r>
          </w:p>
        </w:tc>
        <w:tc>
          <w:tcPr>
            <w:tcW w:w="233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书记</w:t>
            </w:r>
          </w:p>
        </w:tc>
        <w:tc>
          <w:tcPr>
            <w:tcW w:w="1950" w:type="dxa"/>
            <w:gridSpan w:val="4"/>
            <w:vAlign w:val="center"/>
          </w:tcPr>
          <w:p>
            <w:pPr>
              <w:rPr>
                <w:rFonts w:eastAsia="仿宋_GB2312"/>
                <w:sz w:val="24"/>
              </w:rPr>
            </w:pPr>
            <w:r>
              <w:rPr>
                <w:rFonts w:hint="eastAsia" w:eastAsia="仿宋_GB2312"/>
                <w:sz w:val="24"/>
              </w:rPr>
              <w:t>楼区医保局</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胡勇</w:t>
            </w:r>
          </w:p>
        </w:tc>
        <w:tc>
          <w:tcPr>
            <w:tcW w:w="233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局长</w:t>
            </w:r>
          </w:p>
        </w:tc>
        <w:tc>
          <w:tcPr>
            <w:tcW w:w="1950" w:type="dxa"/>
            <w:gridSpan w:val="4"/>
            <w:vAlign w:val="center"/>
          </w:tcPr>
          <w:p>
            <w:pPr>
              <w:rPr>
                <w:rFonts w:eastAsia="仿宋_GB2312"/>
                <w:sz w:val="24"/>
              </w:rPr>
            </w:pPr>
            <w:r>
              <w:rPr>
                <w:rFonts w:hint="eastAsia" w:eastAsia="仿宋_GB2312"/>
                <w:sz w:val="24"/>
              </w:rPr>
              <w:t>楼区医保局</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刘蒙</w:t>
            </w:r>
          </w:p>
        </w:tc>
        <w:tc>
          <w:tcPr>
            <w:tcW w:w="233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副局长</w:t>
            </w:r>
          </w:p>
        </w:tc>
        <w:tc>
          <w:tcPr>
            <w:tcW w:w="1950" w:type="dxa"/>
            <w:gridSpan w:val="4"/>
            <w:vAlign w:val="center"/>
          </w:tcPr>
          <w:p>
            <w:pPr>
              <w:rPr>
                <w:rFonts w:eastAsia="仿宋_GB2312"/>
                <w:sz w:val="24"/>
              </w:rPr>
            </w:pPr>
            <w:r>
              <w:rPr>
                <w:rFonts w:hint="eastAsia" w:eastAsia="仿宋_GB2312"/>
                <w:sz w:val="24"/>
              </w:rPr>
              <w:t>楼区医保局</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杨燕云</w:t>
            </w:r>
          </w:p>
        </w:tc>
        <w:tc>
          <w:tcPr>
            <w:tcW w:w="233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副局长</w:t>
            </w:r>
          </w:p>
        </w:tc>
        <w:tc>
          <w:tcPr>
            <w:tcW w:w="1950" w:type="dxa"/>
            <w:gridSpan w:val="4"/>
            <w:vAlign w:val="center"/>
          </w:tcPr>
          <w:p>
            <w:pPr>
              <w:rPr>
                <w:rFonts w:eastAsia="仿宋_GB2312"/>
                <w:sz w:val="24"/>
              </w:rPr>
            </w:pPr>
            <w:r>
              <w:rPr>
                <w:rFonts w:hint="eastAsia" w:eastAsia="仿宋_GB2312"/>
                <w:sz w:val="24"/>
              </w:rPr>
              <w:t>楼区医保局</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numPr>
                <w:ilvl w:val="0"/>
                <w:numId w:val="1"/>
              </w:numPr>
              <w:spacing w:line="560" w:lineRule="exact"/>
              <w:ind w:firstLine="600" w:firstLineChars="200"/>
              <w:rPr>
                <w:rFonts w:hint="eastAsia" w:eastAsia="仿宋_GB2312"/>
                <w:sz w:val="30"/>
                <w:szCs w:val="30"/>
              </w:rPr>
            </w:pPr>
            <w:r>
              <w:rPr>
                <w:rFonts w:hint="eastAsia" w:ascii="仿宋" w:hAnsi="仿宋" w:eastAsia="仿宋"/>
                <w:sz w:val="30"/>
                <w:szCs w:val="30"/>
              </w:rPr>
              <w:t>项目基本概</w:t>
            </w:r>
            <w:r>
              <w:rPr>
                <w:rFonts w:hint="eastAsia" w:eastAsia="仿宋_GB2312"/>
                <w:sz w:val="30"/>
                <w:szCs w:val="30"/>
              </w:rPr>
              <w:t>况</w:t>
            </w:r>
          </w:p>
          <w:p>
            <w:pPr>
              <w:spacing w:line="560" w:lineRule="exact"/>
              <w:ind w:left="600"/>
              <w:rPr>
                <w:rFonts w:ascii="仿宋" w:hAnsi="仿宋" w:eastAsia="仿宋"/>
                <w:sz w:val="28"/>
                <w:szCs w:val="28"/>
              </w:rPr>
            </w:pPr>
            <w:r>
              <w:rPr>
                <w:rFonts w:hint="eastAsia" w:ascii="仿宋" w:hAnsi="仿宋" w:eastAsia="仿宋"/>
                <w:sz w:val="28"/>
                <w:szCs w:val="28"/>
              </w:rPr>
              <w:t>本项资金是专门用于岳阳楼区城乡</w:t>
            </w:r>
            <w:r>
              <w:rPr>
                <w:rFonts w:hint="eastAsia" w:ascii="仿宋" w:hAnsi="仿宋" w:eastAsia="仿宋" w:cs="仿宋"/>
                <w:sz w:val="28"/>
                <w:szCs w:val="28"/>
              </w:rPr>
              <w:t>低保对象、特困供养人员患病住院；其他特殊困难人员患儿童先天性心脏病、儿童白血病、乳腺癌、宫颈癌、肝移植、肾移植、恶性肿瘤、重性精神病（精神分裂、分裂性感情障碍、偏执性精神障碍、双相情感障碍、癫痫所致的精神障碍、严重精神发育迟滞)、艾滋病机会性感染等疾病导致家庭困难的。</w:t>
            </w:r>
          </w:p>
          <w:p>
            <w:pPr>
              <w:numPr>
                <w:ilvl w:val="0"/>
                <w:numId w:val="1"/>
              </w:numPr>
              <w:spacing w:line="560" w:lineRule="exact"/>
              <w:ind w:firstLine="600" w:firstLineChars="200"/>
              <w:rPr>
                <w:rFonts w:eastAsia="仿宋_GB2312"/>
                <w:sz w:val="30"/>
                <w:szCs w:val="30"/>
              </w:rPr>
            </w:pPr>
            <w:r>
              <w:rPr>
                <w:rFonts w:hint="eastAsia" w:eastAsia="仿宋_GB2312"/>
                <w:sz w:val="30"/>
                <w:szCs w:val="30"/>
              </w:rPr>
              <w:t>项目资金使用及管理情况</w:t>
            </w:r>
          </w:p>
          <w:p>
            <w:pPr>
              <w:spacing w:line="560" w:lineRule="exact"/>
              <w:ind w:left="420" w:leftChars="200" w:firstLine="280" w:firstLineChars="100"/>
              <w:rPr>
                <w:rFonts w:ascii="仿宋" w:hAnsi="仿宋" w:eastAsia="仿宋"/>
                <w:sz w:val="28"/>
                <w:szCs w:val="28"/>
              </w:rPr>
            </w:pPr>
            <w:r>
              <w:rPr>
                <w:rFonts w:hint="eastAsia" w:ascii="仿宋" w:hAnsi="仿宋" w:eastAsia="仿宋"/>
                <w:sz w:val="28"/>
                <w:szCs w:val="28"/>
              </w:rPr>
              <w:t>按照“保基本、保重点、收支平衡、略有结余”的原则，我局医疗救助工作主要分为两大块。一是对救助对象参加城乡居民基本医疗保险的个人缴费部分给予补贴，让救助对象都能够享受国家基本医疗保险。二是对救助对象经基本医疗保险、大病保险和其他补充医疗保险支付后，个人家庭难以承担符合规定的医疗自付费用给予救助</w:t>
            </w:r>
          </w:p>
          <w:p>
            <w:pPr>
              <w:numPr>
                <w:ilvl w:val="0"/>
                <w:numId w:val="1"/>
              </w:numPr>
              <w:spacing w:line="560" w:lineRule="exact"/>
              <w:ind w:firstLine="600" w:firstLineChars="200"/>
              <w:rPr>
                <w:rFonts w:eastAsia="仿宋_GB2312"/>
                <w:sz w:val="30"/>
                <w:szCs w:val="30"/>
              </w:rPr>
            </w:pPr>
            <w:r>
              <w:rPr>
                <w:rFonts w:hint="eastAsia" w:eastAsia="仿宋_GB2312"/>
                <w:sz w:val="30"/>
                <w:szCs w:val="30"/>
              </w:rPr>
              <w:t>项目组织实施情况</w:t>
            </w:r>
          </w:p>
          <w:p>
            <w:pPr>
              <w:spacing w:line="560" w:lineRule="exact"/>
              <w:ind w:left="-105" w:leftChars="-50" w:right="-105" w:rightChars="-50" w:firstLine="700" w:firstLineChars="250"/>
              <w:rPr>
                <w:rFonts w:ascii="仿宋" w:hAnsi="仿宋" w:eastAsia="仿宋" w:cs="仿宋"/>
                <w:sz w:val="28"/>
                <w:szCs w:val="28"/>
              </w:rPr>
            </w:pPr>
            <w:r>
              <w:rPr>
                <w:rFonts w:hint="eastAsia" w:ascii="仿宋" w:hAnsi="仿宋" w:eastAsia="仿宋"/>
                <w:sz w:val="28"/>
                <w:szCs w:val="28"/>
              </w:rPr>
              <w:t>2020年资助救助对象参保13960人;</w:t>
            </w:r>
            <w:r>
              <w:rPr>
                <w:rFonts w:hint="eastAsia" w:ascii="仿宋" w:hAnsi="仿宋" w:eastAsia="仿宋" w:cs="仿宋"/>
                <w:sz w:val="28"/>
                <w:szCs w:val="28"/>
              </w:rPr>
              <w:t>实施医疗救助1682人次；事后救助人数958人，事前救助人数714人，救助康复医院精准扶贫对象10人。</w:t>
            </w:r>
          </w:p>
          <w:p>
            <w:pPr>
              <w:numPr>
                <w:ilvl w:val="0"/>
                <w:numId w:val="1"/>
              </w:numPr>
              <w:spacing w:line="560" w:lineRule="exact"/>
              <w:ind w:firstLine="600" w:firstLineChars="200"/>
              <w:rPr>
                <w:rFonts w:eastAsia="仿宋_GB2312"/>
                <w:sz w:val="30"/>
                <w:szCs w:val="30"/>
              </w:rPr>
            </w:pPr>
            <w:r>
              <w:rPr>
                <w:rFonts w:hint="eastAsia" w:eastAsia="仿宋_GB2312"/>
                <w:sz w:val="30"/>
                <w:szCs w:val="30"/>
              </w:rPr>
              <w:t>综合评价情况及评价结论</w:t>
            </w:r>
          </w:p>
          <w:p>
            <w:pPr>
              <w:spacing w:line="560" w:lineRule="exact"/>
              <w:ind w:left="-105" w:leftChars="-50" w:right="-105" w:rightChars="-50" w:firstLine="560" w:firstLineChars="200"/>
              <w:rPr>
                <w:rFonts w:ascii="仿宋" w:hAnsi="仿宋" w:eastAsia="仿宋" w:cs="仿宋"/>
                <w:sz w:val="28"/>
                <w:szCs w:val="28"/>
              </w:rPr>
            </w:pPr>
            <w:r>
              <w:rPr>
                <w:rFonts w:hint="eastAsia" w:ascii="仿宋" w:hAnsi="仿宋" w:eastAsia="仿宋" w:cs="仿宋"/>
                <w:sz w:val="28"/>
                <w:szCs w:val="28"/>
              </w:rPr>
              <w:t>扎实做好健康扶贫工作。继续实施健康扶贫三年行动计划，确保贫困人口应保尽保、按政策规定享受医保待遇。坚持健康扶贫与乡村振兴战略有机衔接、与健康岳阳建设融合推进，持续推进减贫工作。</w:t>
            </w:r>
          </w:p>
          <w:p>
            <w:pPr>
              <w:numPr>
                <w:ilvl w:val="0"/>
                <w:numId w:val="1"/>
              </w:numPr>
              <w:spacing w:line="560" w:lineRule="exact"/>
              <w:ind w:firstLine="600" w:firstLineChars="200"/>
              <w:rPr>
                <w:rFonts w:eastAsia="仿宋_GB2312"/>
                <w:sz w:val="30"/>
                <w:szCs w:val="30"/>
              </w:rPr>
            </w:pPr>
            <w:r>
              <w:rPr>
                <w:rFonts w:hint="eastAsia" w:eastAsia="仿宋_GB2312"/>
                <w:sz w:val="30"/>
                <w:szCs w:val="30"/>
              </w:rPr>
              <w:t>项目主要绩效情况分析</w:t>
            </w:r>
          </w:p>
          <w:p>
            <w:pPr>
              <w:spacing w:line="560" w:lineRule="exact"/>
              <w:ind w:left="-105" w:leftChars="-50" w:right="-105" w:rightChars="-50"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加强对医疗救助对象的“一站式”结算住院资料、家庭收入情况、家庭困难程度救助评议公示情况的检查。通过调阅医疗救助信息、住院资料、走访入户等形式，进一步核实医疗救助具体信息，进一步确保医疗救助公开、公平、公正，实施精准救助。</w:t>
            </w:r>
          </w:p>
          <w:p>
            <w:pPr>
              <w:numPr>
                <w:ilvl w:val="0"/>
                <w:numId w:val="1"/>
              </w:numPr>
              <w:spacing w:line="560" w:lineRule="exact"/>
              <w:ind w:firstLine="600" w:firstLineChars="200"/>
              <w:rPr>
                <w:rFonts w:hint="eastAsia" w:eastAsia="仿宋_GB2312"/>
                <w:sz w:val="30"/>
                <w:szCs w:val="30"/>
              </w:rPr>
            </w:pPr>
            <w:r>
              <w:rPr>
                <w:rFonts w:hint="eastAsia" w:eastAsia="仿宋_GB2312"/>
                <w:sz w:val="30"/>
                <w:szCs w:val="30"/>
              </w:rPr>
              <w:t>主要经验及做法、存在问题和建议</w:t>
            </w:r>
          </w:p>
          <w:p>
            <w:pPr>
              <w:ind w:firstLine="700" w:firstLineChars="250"/>
              <w:rPr>
                <w:rFonts w:hint="eastAsia" w:ascii="仿宋" w:hAnsi="仿宋" w:eastAsia="仿宋" w:cs="仿宋"/>
                <w:sz w:val="28"/>
                <w:szCs w:val="28"/>
              </w:rPr>
            </w:pPr>
            <w:r>
              <w:rPr>
                <w:rFonts w:hint="eastAsia" w:ascii="仿宋" w:hAnsi="仿宋" w:eastAsia="仿宋" w:cs="仿宋"/>
                <w:sz w:val="28"/>
                <w:szCs w:val="28"/>
              </w:rPr>
              <w:t>通过规范救助流程、接受群众监督，打造阳光救助、精准救助，确保医疗救助的公平、公正和公开。</w:t>
            </w:r>
            <w:r>
              <w:rPr>
                <w:rFonts w:hint="eastAsia" w:ascii="仿宋" w:hAnsi="仿宋" w:eastAsia="仿宋"/>
                <w:kern w:val="0"/>
                <w:sz w:val="28"/>
                <w:szCs w:val="28"/>
              </w:rPr>
              <w:t>为方便群众就近申办医疗救助，由社区（村）、街道（乡）受理、初审。经入户调查、民主评议、张榜公示无异议后，进行集中审批。</w:t>
            </w:r>
          </w:p>
          <w:p>
            <w:pPr>
              <w:ind w:firstLine="700" w:firstLineChars="250"/>
              <w:rPr>
                <w:rFonts w:ascii="仿宋" w:hAnsi="仿宋" w:eastAsia="仿宋" w:cs="仿宋"/>
                <w:sz w:val="28"/>
                <w:szCs w:val="28"/>
              </w:rPr>
            </w:pPr>
            <w:r>
              <w:rPr>
                <w:rFonts w:hint="eastAsia" w:ascii="仿宋" w:hAnsi="仿宋" w:eastAsia="仿宋"/>
                <w:kern w:val="0"/>
                <w:sz w:val="28"/>
                <w:szCs w:val="28"/>
              </w:rPr>
              <w:t>通过与定点医院签订协议，建立城乡医疗救助“一站式”即时结算服务平台。对符合条件的医疗救助对象，</w:t>
            </w:r>
            <w:r>
              <w:rPr>
                <w:rFonts w:hint="eastAsia" w:ascii="仿宋" w:hAnsi="仿宋" w:eastAsia="仿宋" w:cs="仿宋"/>
                <w:sz w:val="28"/>
                <w:szCs w:val="28"/>
              </w:rPr>
              <w:t>实行先诊疗后付费</w:t>
            </w:r>
            <w:r>
              <w:rPr>
                <w:rFonts w:hint="eastAsia" w:ascii="仿宋" w:hAnsi="仿宋" w:eastAsia="仿宋"/>
                <w:kern w:val="0"/>
                <w:sz w:val="28"/>
                <w:szCs w:val="28"/>
              </w:rPr>
              <w:t>，由医院在基本医疗保险报销后，对个人自付部分进行垫付，再由医院与我局进行费用结算，大大减轻了病人无钱就医、往返报销的烦恼。</w:t>
            </w:r>
          </w:p>
          <w:p>
            <w:pPr>
              <w:spacing w:line="600" w:lineRule="exact"/>
              <w:ind w:firstLine="840" w:firstLineChars="300"/>
              <w:rPr>
                <w:rFonts w:ascii="仿宋" w:hAnsi="仿宋" w:eastAsia="仿宋" w:cs="仿宋"/>
                <w:b/>
                <w:sz w:val="28"/>
                <w:szCs w:val="28"/>
              </w:rPr>
            </w:pPr>
            <w:r>
              <w:rPr>
                <w:rFonts w:hint="eastAsia" w:ascii="仿宋" w:hAnsi="仿宋" w:eastAsia="仿宋" w:cs="仿宋"/>
                <w:color w:val="010101"/>
                <w:kern w:val="0"/>
                <w:sz w:val="28"/>
                <w:szCs w:val="28"/>
              </w:rPr>
              <w:t>医疗救助规范化管理存在漏洞。</w:t>
            </w:r>
            <w:r>
              <w:rPr>
                <w:rFonts w:hint="eastAsia" w:ascii="仿宋" w:hAnsi="仿宋" w:eastAsia="仿宋" w:cs="仿宋"/>
                <w:spacing w:val="6"/>
                <w:sz w:val="28"/>
                <w:szCs w:val="28"/>
              </w:rPr>
              <w:t>由于特困供养人员在定点医院住院不用负担医药费，加之医院的住院条件较好、设施齐全，</w:t>
            </w:r>
            <w:r>
              <w:rPr>
                <w:rFonts w:hint="eastAsia" w:ascii="仿宋" w:hAnsi="仿宋" w:eastAsia="仿宋" w:cs="仿宋"/>
                <w:color w:val="010101"/>
                <w:kern w:val="0"/>
                <w:sz w:val="28"/>
                <w:szCs w:val="28"/>
              </w:rPr>
              <w:t>导致少数</w:t>
            </w:r>
            <w:r>
              <w:rPr>
                <w:rFonts w:hint="eastAsia" w:ascii="仿宋" w:hAnsi="仿宋" w:eastAsia="仿宋" w:cs="仿宋"/>
                <w:spacing w:val="6"/>
                <w:sz w:val="28"/>
                <w:szCs w:val="28"/>
              </w:rPr>
              <w:t>特困供养人员利用管理上的难度和漏洞，长期住在医院或赖在医院不肯走，造成过度医疗或医疗资源浪费。</w:t>
            </w:r>
            <w:r>
              <w:rPr>
                <w:rFonts w:hint="eastAsia" w:ascii="仿宋" w:hAnsi="仿宋" w:eastAsia="仿宋" w:cs="仿宋"/>
                <w:color w:val="000000"/>
                <w:sz w:val="28"/>
                <w:szCs w:val="28"/>
              </w:rPr>
              <w:t>强化监督检查，</w:t>
            </w:r>
            <w:r>
              <w:rPr>
                <w:rFonts w:hint="eastAsia" w:ascii="仿宋" w:hAnsi="仿宋" w:eastAsia="仿宋" w:cs="仿宋"/>
                <w:sz w:val="28"/>
                <w:szCs w:val="28"/>
              </w:rPr>
              <w:t>进一步完善医疗救助政策，加大医疗救助力度。</w:t>
            </w:r>
          </w:p>
          <w:p>
            <w:pPr>
              <w:spacing w:line="560" w:lineRule="exact"/>
              <w:ind w:firstLine="600"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
      <w:pPr>
        <w:spacing w:beforeLines="50"/>
        <w:rPr>
          <w:rFonts w:ascii="黑体" w:hAnsi="黑体" w:eastAsia="黑体"/>
          <w:sz w:val="32"/>
          <w:szCs w:val="32"/>
        </w:rPr>
      </w:pPr>
      <w:r>
        <w:rPr>
          <w:rFonts w:hint="eastAsia" w:ascii="黑体" w:hAnsi="黑体" w:eastAsia="黑体"/>
          <w:sz w:val="32"/>
          <w:szCs w:val="32"/>
        </w:rPr>
        <w:t>附件4-2</w:t>
      </w:r>
    </w:p>
    <w:p>
      <w:pPr>
        <w:spacing w:beforeLines="100" w:afterLines="100" w:line="160" w:lineRule="exact"/>
        <w:jc w:val="center"/>
        <w:rPr>
          <w:rFonts w:ascii="方正小标宋简体" w:eastAsia="方正小标宋简体"/>
          <w:sz w:val="44"/>
          <w:szCs w:val="44"/>
        </w:rPr>
      </w:pPr>
      <w:r>
        <w:rPr>
          <w:rFonts w:hint="eastAsia" w:ascii="方正小标宋简体" w:eastAsia="方正小标宋简体"/>
          <w:sz w:val="44"/>
          <w:szCs w:val="44"/>
        </w:rPr>
        <w:t>项目支出绩效评价评分表</w:t>
      </w:r>
    </w:p>
    <w:tbl>
      <w:tblPr>
        <w:tblStyle w:val="5"/>
        <w:tblW w:w="10002" w:type="dxa"/>
        <w:jc w:val="center"/>
        <w:tblInd w:w="0" w:type="dxa"/>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tblPrEx>
          <w:tblLayout w:type="fixed"/>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Layout w:type="fixed"/>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Layout w:type="fixed"/>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Layout w:type="fixed"/>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Layout w:type="fixed"/>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Layout w:type="fixed"/>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Layout w:type="fixed"/>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Layout w:type="fixed"/>
          <w:tblCellMar>
            <w:top w:w="0" w:type="dxa"/>
            <w:left w:w="108" w:type="dxa"/>
            <w:bottom w:w="0" w:type="dxa"/>
            <w:right w:w="108" w:type="dxa"/>
          </w:tblCellMar>
        </w:tblPrEx>
        <w:trPr>
          <w:trHeight w:val="126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Layout w:type="fixed"/>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Layout w:type="fixed"/>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Layout w:type="fixed"/>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Layout w:type="fixed"/>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Layout w:type="fixed"/>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Layout w:type="fixed"/>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Layout w:type="fixed"/>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Layout w:type="fixed"/>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r>
              <w:rPr>
                <w:rFonts w:hint="eastAsia" w:ascii="宋体" w:hAnsi="宋体" w:cs="宋体"/>
                <w:kern w:val="0"/>
                <w:sz w:val="24"/>
              </w:rPr>
              <w:t>8</w:t>
            </w:r>
          </w:p>
        </w:tc>
      </w:tr>
      <w:tr>
        <w:tblPrEx>
          <w:tblLayout w:type="fixed"/>
          <w:tblCellMar>
            <w:top w:w="0" w:type="dxa"/>
            <w:left w:w="108" w:type="dxa"/>
            <w:bottom w:w="0" w:type="dxa"/>
            <w:right w:w="108" w:type="dxa"/>
          </w:tblCellMar>
        </w:tblPrEx>
        <w:trPr>
          <w:trHeight w:val="774" w:hRule="atLeast"/>
          <w:jc w:val="center"/>
        </w:trPr>
        <w:tc>
          <w:tcPr>
            <w:tcW w:w="720"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99</w:t>
            </w:r>
          </w:p>
        </w:tc>
      </w:tr>
    </w:tbl>
    <w:p>
      <w:pPr>
        <w:adjustRightInd w:val="0"/>
        <w:snapToGrid w:val="0"/>
        <w:spacing w:beforeLines="50"/>
        <w:contextualSpacing/>
        <w:rPr>
          <w:rFonts w:ascii="仿宋_GB2312" w:eastAsia="仿宋_GB2312"/>
        </w:rPr>
      </w:pPr>
    </w:p>
    <w:p>
      <w:pPr>
        <w:adjustRightInd w:val="0"/>
        <w:snapToGrid w:val="0"/>
        <w:spacing w:beforeLines="50"/>
        <w:contextualSpacing/>
      </w:pPr>
      <w:r>
        <w:rPr>
          <w:rFonts w:hint="eastAsia" w:ascii="仿宋_GB2312" w:eastAsia="仿宋_GB2312"/>
        </w:rPr>
        <w:t>备注：部门（单位）根据项目实际，在《项目支出绩效评价指标体系（参考样表）》上进一步完善、量化、细化个性指标，形成本项目的指标体系。</w:t>
      </w:r>
    </w:p>
    <w:p/>
    <w:p/>
    <w:sectPr>
      <w:headerReference r:id="rId3" w:type="default"/>
      <w:footerReference r:id="rId4"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799B5"/>
    <w:multiLevelType w:val="singleLevel"/>
    <w:tmpl w:val="1C6799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E24CD"/>
    <w:rsid w:val="000D1C36"/>
    <w:rsid w:val="003912DA"/>
    <w:rsid w:val="008A79BE"/>
    <w:rsid w:val="00CE20F2"/>
    <w:rsid w:val="00F179C5"/>
    <w:rsid w:val="0BBE24CD"/>
    <w:rsid w:val="24D5660B"/>
    <w:rsid w:val="3DE86B3F"/>
    <w:rsid w:val="55896239"/>
    <w:rsid w:val="575F3891"/>
    <w:rsid w:val="6D535020"/>
    <w:rsid w:val="7E5623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8</Pages>
  <Words>674</Words>
  <Characters>3845</Characters>
  <Lines>32</Lines>
  <Paragraphs>9</Paragraphs>
  <TotalTime>21</TotalTime>
  <ScaleCrop>false</ScaleCrop>
  <LinksUpToDate>false</LinksUpToDate>
  <CharactersWithSpaces>4510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2021-06-29T07:11:00Z</dcterms:created>
  <dc:creator>Administrator</dc:creator>
  <cp:lastModifiedBy>Administrator</cp:lastModifiedBy>
  <cp:lastPrinted>2021-06-30T02:17:00Z</cp:lastPrinted>
  <dcterms:modified xsi:type="dcterms:W3CDTF">2021-06-30T03:11:58Z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