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岳阳楼区20</w:t>
      </w:r>
      <w:r>
        <w:rPr>
          <w:rFonts w:hint="eastAsia" w:eastAsia="方正小标宋简体"/>
          <w:bCs/>
          <w:sz w:val="46"/>
          <w:szCs w:val="46"/>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lang w:eastAsia="zh-CN"/>
        </w:rPr>
        <w:t>岳阳楼区东风湖新区建设工作部</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402001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25</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2"/>
        <w:tblW w:w="10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071"/>
        <w:gridCol w:w="412"/>
        <w:gridCol w:w="2"/>
        <w:gridCol w:w="1018"/>
        <w:gridCol w:w="248"/>
        <w:gridCol w:w="1007"/>
        <w:gridCol w:w="95"/>
        <w:gridCol w:w="777"/>
        <w:gridCol w:w="1814"/>
        <w:gridCol w:w="250"/>
        <w:gridCol w:w="325"/>
        <w:gridCol w:w="356"/>
        <w:gridCol w:w="1080"/>
        <w:gridCol w:w="404"/>
        <w:gridCol w:w="316"/>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0067"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48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14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彭雅丽</w:t>
            </w:r>
          </w:p>
        </w:tc>
        <w:tc>
          <w:tcPr>
            <w:tcW w:w="206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373"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18569540708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48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14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p>
        </w:tc>
        <w:tc>
          <w:tcPr>
            <w:tcW w:w="206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373"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6" w:hRule="atLeast"/>
          <w:jc w:val="center"/>
        </w:trPr>
        <w:tc>
          <w:tcPr>
            <w:tcW w:w="148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582" w:type="dxa"/>
            <w:gridSpan w:val="13"/>
            <w:noWrap w:val="0"/>
            <w:vAlign w:val="bottom"/>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负责做好东风湖新区范围内的拆迁、控违和涉及地方事务协调等工作</w:t>
            </w:r>
            <w:r>
              <w:rPr>
                <w:rFonts w:hint="eastAsia" w:ascii="仿宋_GB2312" w:hAnsi="仿宋_GB2312" w:eastAsia="仿宋_GB2312" w:cs="仿宋_GB2312"/>
                <w:color w:val="000000"/>
                <w:sz w:val="24"/>
                <w:lang w:eastAsia="zh-CN"/>
              </w:rPr>
              <w:t>。</w:t>
            </w: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55" w:hRule="atLeast"/>
          <w:jc w:val="center"/>
        </w:trPr>
        <w:tc>
          <w:tcPr>
            <w:tcW w:w="148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582" w:type="dxa"/>
            <w:gridSpan w:val="1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任务1：加强对接协调工作，配合推动棚改项目清零、招商服务、项目建设工作；</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任务2：对接协调市城投、项目部和属地街道，全力服务东风湖新区工程建设，推进东风湖新区项目建设，制定新区重大项目服务清单，根据项目进展动态情况；</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任务3：高效保障新区开发建设环境，扩大宣传氛围，强化禁违力度，维护施工环境；</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任务4：工作部积极与市城投对接，并与属地街道、项目部衔接，全力服务东风湖新区配套路网建设，全力提高辖区百姓生活品质。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301" w:hRule="atLeast"/>
          <w:jc w:val="center"/>
        </w:trPr>
        <w:tc>
          <w:tcPr>
            <w:tcW w:w="148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582" w:type="dxa"/>
            <w:gridSpan w:val="1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年，东风湖新区建设工作部在区委、区政府的坚强领导下，紧扣中心工作，以新区开发建设为己任，各项工作顺利</w:t>
            </w:r>
            <w:r>
              <w:rPr>
                <w:rFonts w:hint="eastAsia" w:ascii="仿宋_GB2312" w:hAnsi="仿宋_GB2312" w:eastAsia="仿宋_GB2312" w:cs="仿宋_GB2312"/>
                <w:color w:val="000000"/>
                <w:sz w:val="24"/>
                <w:lang w:eastAsia="zh-CN"/>
              </w:rPr>
              <w:t>全面</w:t>
            </w:r>
            <w:r>
              <w:rPr>
                <w:rFonts w:hint="eastAsia" w:ascii="仿宋_GB2312" w:hAnsi="仿宋_GB2312" w:eastAsia="仿宋_GB2312" w:cs="仿宋_GB2312"/>
                <w:color w:val="000000"/>
                <w:sz w:val="24"/>
              </w:rPr>
              <w:t>展开。</w:t>
            </w:r>
            <w:r>
              <w:rPr>
                <w:rFonts w:hint="eastAsia" w:ascii="仿宋_GB2312" w:hAnsi="仿宋_GB2312" w:eastAsia="仿宋_GB2312" w:cs="仿宋_GB2312"/>
                <w:color w:val="000000"/>
                <w:sz w:val="24"/>
                <w:lang w:eastAsia="zh-CN"/>
              </w:rPr>
              <w:t>主要成绩有以下几个方面</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一、抓进度促征拆，棚改项目全面清零</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工作部紧盯目标任务不放松，助推各项目部始终坚持问题导向，用好用活“一事一策”、司法助拆等务实举措，凝心聚力、真抓实干，把握重要环节和关键时间节点大干一百天，夺取棚改项目清零交地和成本结算全面胜利。目前2017年至2018年启动的8个棚改项目涉及征拆5608户，已拆除5514户。涉及公产征拆的项目，七里山棚改项目同联药业已签约，正进行房屋概算，可实现腾地约343亩；德胜北路延伸线两侧棚改项目仅剩塑料一厂未拆除，可实现腾地约290亩。</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二、立当前助发展，项目建设全面拉开</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工作部制定了新区重大项目服务清单，根据项目进展动态情况，做问题的加减法。为快速推进金茂·洞庭生态创新城产业项目建设，今年来，工作部与区直部门单位、街道通力配合，对接金茂集团20余次，协调组织召开专题会议、联席会议10余次，有效解决了项目推进过程中的13个问题，目前，金茂项目一期主体工程正在全面施工，已售房屋1500套。同时，为推进基础设施项目建设，工作部调处各类纠纷30余起，配合项目部征收鱼池140亩、菜地253亩，拆除房屋80多栋，棚亭20余个，东风湖生态公园已于10月1日全线开园。</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三、抓治理保目标，环境治理务实有效</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工作部会同属地街道、项目部主动对接协调市城投集团、三峡集团，重新调整了环境治理工程工作任务清单，确保三峡集团实施的东风湖水环境治理一期工程建设顺利推进。目前三峡集团东风湖底泥清淤及调蓄池建设工程正全面施工，月均清淤约13万方。同时，根据岳阳楼区委《关于加强推进东风湖生态环境综合治理工作的会议纪要》（岳楼阅〔2020〕17号）文件精神，为贯彻落实区委、区政府决策部署，全力以赴推进东风湖生态环境综合治理工作，工作部制定了《东风湖生态环境综合治理巡查工作实施方案》，明确相关部门单位职能分工，建立了常态化巡查监管工作机制，对发现的问题实行“及时交办、挂图作战、销号管理”，确保东风湖生态环境综合治理工作网格化、常态化、精细化，实现东风湖水质和片区人居环境持续改善、稳定达标。</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四、强合作促建设，区间路网高效连通</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工作部积极与市城投对接，并与属地街道、项目部衔接，全力服务东风湖新区配套路网建设，成立了延寿寺路提质改造工作小组，1名区级领导担任组长，施工人员50余人，具体负责延寿寺路提质改造工作，目前延寿寺路已全面完成建设。丽珠路、外滩三路、建设北路北段、建设北路中段、新岳西路和沿湖北路道路工程建设正有序进行。东风湖新区将不断完善交通路网，构建科学合理的城区交通体系，打通交通大动脉，全力提高辖区百姓生活品质。</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7" w:hRule="atLeast"/>
          <w:jc w:val="center"/>
        </w:trPr>
        <w:tc>
          <w:tcPr>
            <w:tcW w:w="10067"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7" w:hRule="atLeast"/>
          <w:jc w:val="center"/>
        </w:trPr>
        <w:tc>
          <w:tcPr>
            <w:tcW w:w="10067"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1" w:hRule="atLeast"/>
          <w:jc w:val="center"/>
        </w:trPr>
        <w:tc>
          <w:tcPr>
            <w:tcW w:w="1483"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268" w:type="dxa"/>
            <w:gridSpan w:val="3"/>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316" w:type="dxa"/>
            <w:gridSpan w:val="11"/>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84" w:hRule="atLeast"/>
          <w:jc w:val="center"/>
        </w:trPr>
        <w:tc>
          <w:tcPr>
            <w:tcW w:w="1483"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68" w:type="dxa"/>
            <w:gridSpan w:val="3"/>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07"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872"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238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4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0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6" w:hRule="atLeast"/>
          <w:jc w:val="center"/>
        </w:trPr>
        <w:tc>
          <w:tcPr>
            <w:tcW w:w="148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68"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159.66</w:t>
            </w:r>
          </w:p>
        </w:tc>
        <w:tc>
          <w:tcPr>
            <w:tcW w:w="1007" w:type="dxa"/>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872"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159.66</w:t>
            </w:r>
          </w:p>
        </w:tc>
        <w:tc>
          <w:tcPr>
            <w:tcW w:w="2389"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4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08"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6" w:hRule="atLeast"/>
          <w:jc w:val="center"/>
        </w:trPr>
        <w:tc>
          <w:tcPr>
            <w:tcW w:w="10067"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5" w:hRule="atLeast"/>
          <w:jc w:val="center"/>
        </w:trPr>
        <w:tc>
          <w:tcPr>
            <w:tcW w:w="1483" w:type="dxa"/>
            <w:gridSpan w:val="2"/>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8" w:type="dxa"/>
            <w:gridSpan w:val="3"/>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704" w:type="dxa"/>
            <w:gridSpan w:val="8"/>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612" w:type="dxa"/>
            <w:gridSpan w:val="3"/>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1" w:hRule="atLeast"/>
          <w:jc w:val="center"/>
        </w:trPr>
        <w:tc>
          <w:tcPr>
            <w:tcW w:w="1483" w:type="dxa"/>
            <w:gridSpan w:val="2"/>
            <w:vMerge w:val="continue"/>
            <w:noWrap w:val="0"/>
            <w:vAlign w:val="center"/>
          </w:tcPr>
          <w:p>
            <w:pPr>
              <w:spacing w:line="320" w:lineRule="exact"/>
              <w:jc w:val="center"/>
              <w:rPr>
                <w:rFonts w:hint="eastAsia" w:ascii="仿宋_GB2312" w:hAnsi="仿宋_GB2312" w:eastAsia="仿宋_GB2312" w:cs="仿宋_GB2312"/>
                <w:sz w:val="24"/>
              </w:rPr>
            </w:pPr>
          </w:p>
        </w:tc>
        <w:tc>
          <w:tcPr>
            <w:tcW w:w="1268" w:type="dxa"/>
            <w:gridSpan w:val="3"/>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07"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617"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2"/>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892"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483" w:type="dxa"/>
            <w:gridSpan w:val="2"/>
            <w:vMerge w:val="continue"/>
            <w:noWrap w:val="0"/>
            <w:vAlign w:val="center"/>
          </w:tcPr>
          <w:p>
            <w:pPr>
              <w:spacing w:line="320" w:lineRule="exact"/>
              <w:jc w:val="center"/>
              <w:rPr>
                <w:rFonts w:hint="eastAsia" w:ascii="仿宋_GB2312" w:hAnsi="仿宋_GB2312" w:eastAsia="仿宋_GB2312" w:cs="仿宋_GB2312"/>
                <w:sz w:val="24"/>
              </w:rPr>
            </w:pPr>
          </w:p>
        </w:tc>
        <w:tc>
          <w:tcPr>
            <w:tcW w:w="1268" w:type="dxa"/>
            <w:gridSpan w:val="3"/>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07"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72"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745"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2"/>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92"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8" w:hRule="atLeast"/>
          <w:jc w:val="center"/>
        </w:trPr>
        <w:tc>
          <w:tcPr>
            <w:tcW w:w="1483" w:type="dxa"/>
            <w:gridSpan w:val="2"/>
            <w:noWrap w:val="0"/>
            <w:vAlign w:val="center"/>
          </w:tcPr>
          <w:p>
            <w:pPr>
              <w:spacing w:line="320" w:lineRule="exact"/>
              <w:jc w:val="left"/>
              <w:rPr>
                <w:rFonts w:hint="eastAsia" w:ascii="仿宋_GB2312" w:hAnsi="仿宋_GB2312" w:eastAsia="仿宋_GB2312" w:cs="仿宋_GB2312"/>
                <w:sz w:val="24"/>
              </w:rPr>
            </w:pPr>
          </w:p>
        </w:tc>
        <w:tc>
          <w:tcPr>
            <w:tcW w:w="1268"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159.66</w:t>
            </w:r>
          </w:p>
        </w:tc>
        <w:tc>
          <w:tcPr>
            <w:tcW w:w="1007"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121.66</w:t>
            </w:r>
          </w:p>
        </w:tc>
        <w:tc>
          <w:tcPr>
            <w:tcW w:w="872"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83.26</w:t>
            </w:r>
          </w:p>
        </w:tc>
        <w:tc>
          <w:tcPr>
            <w:tcW w:w="2745"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38.4</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w:t>
            </w:r>
          </w:p>
        </w:tc>
        <w:tc>
          <w:tcPr>
            <w:tcW w:w="720"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892"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3" w:hRule="atLeast"/>
          <w:jc w:val="center"/>
        </w:trPr>
        <w:tc>
          <w:tcPr>
            <w:tcW w:w="1483" w:type="dxa"/>
            <w:gridSpan w:val="2"/>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8" w:type="dxa"/>
            <w:gridSpan w:val="3"/>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316" w:type="dxa"/>
            <w:gridSpan w:val="11"/>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83" w:type="dxa"/>
            <w:gridSpan w:val="2"/>
            <w:vMerge w:val="continue"/>
            <w:noWrap w:val="0"/>
            <w:vAlign w:val="center"/>
          </w:tcPr>
          <w:p>
            <w:pPr>
              <w:spacing w:line="320" w:lineRule="exact"/>
              <w:jc w:val="center"/>
              <w:rPr>
                <w:rFonts w:hint="eastAsia" w:ascii="仿宋_GB2312" w:hAnsi="仿宋_GB2312" w:eastAsia="仿宋_GB2312" w:cs="仿宋_GB2312"/>
                <w:sz w:val="24"/>
              </w:rPr>
            </w:pPr>
          </w:p>
        </w:tc>
        <w:tc>
          <w:tcPr>
            <w:tcW w:w="1268" w:type="dxa"/>
            <w:gridSpan w:val="3"/>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07"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872"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745"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69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60" w:hRule="atLeast"/>
          <w:jc w:val="center"/>
        </w:trPr>
        <w:tc>
          <w:tcPr>
            <w:tcW w:w="1483" w:type="dxa"/>
            <w:gridSpan w:val="2"/>
            <w:noWrap w:val="0"/>
            <w:vAlign w:val="center"/>
          </w:tcPr>
          <w:p>
            <w:pPr>
              <w:spacing w:line="320" w:lineRule="exact"/>
              <w:jc w:val="left"/>
              <w:rPr>
                <w:rFonts w:hint="eastAsia" w:ascii="仿宋_GB2312" w:hAnsi="仿宋_GB2312" w:eastAsia="仿宋_GB2312" w:cs="仿宋_GB2312"/>
                <w:sz w:val="24"/>
              </w:rPr>
            </w:pPr>
          </w:p>
        </w:tc>
        <w:tc>
          <w:tcPr>
            <w:tcW w:w="1268"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1.84</w:t>
            </w:r>
          </w:p>
        </w:tc>
        <w:tc>
          <w:tcPr>
            <w:tcW w:w="1007"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1.84</w:t>
            </w:r>
          </w:p>
        </w:tc>
        <w:tc>
          <w:tcPr>
            <w:tcW w:w="872"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45"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9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1" w:hRule="atLeast"/>
          <w:jc w:val="center"/>
        </w:trPr>
        <w:tc>
          <w:tcPr>
            <w:tcW w:w="1483" w:type="dxa"/>
            <w:gridSpan w:val="2"/>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8" w:type="dxa"/>
            <w:gridSpan w:val="3"/>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108" w:type="dxa"/>
            <w:gridSpan w:val="9"/>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08"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85" w:hRule="atLeast"/>
          <w:jc w:val="center"/>
        </w:trPr>
        <w:tc>
          <w:tcPr>
            <w:tcW w:w="1483" w:type="dxa"/>
            <w:gridSpan w:val="2"/>
            <w:vMerge w:val="continue"/>
            <w:noWrap w:val="0"/>
            <w:vAlign w:val="center"/>
          </w:tcPr>
          <w:p>
            <w:pPr>
              <w:spacing w:line="320" w:lineRule="exact"/>
              <w:jc w:val="center"/>
              <w:rPr>
                <w:rFonts w:hint="eastAsia" w:ascii="仿宋_GB2312" w:hAnsi="仿宋_GB2312" w:eastAsia="仿宋_GB2312" w:cs="仿宋_GB2312"/>
                <w:sz w:val="24"/>
              </w:rPr>
            </w:pPr>
          </w:p>
        </w:tc>
        <w:tc>
          <w:tcPr>
            <w:tcW w:w="1268" w:type="dxa"/>
            <w:gridSpan w:val="3"/>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79" w:type="dxa"/>
            <w:gridSpan w:val="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4229" w:type="dxa"/>
            <w:gridSpan w:val="6"/>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208"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96" w:hRule="atLeast"/>
          <w:jc w:val="center"/>
        </w:trPr>
        <w:tc>
          <w:tcPr>
            <w:tcW w:w="1483" w:type="dxa"/>
            <w:gridSpan w:val="2"/>
            <w:noWrap w:val="0"/>
            <w:vAlign w:val="center"/>
          </w:tcPr>
          <w:p>
            <w:pPr>
              <w:spacing w:line="320" w:lineRule="exact"/>
              <w:jc w:val="left"/>
              <w:rPr>
                <w:rFonts w:hint="eastAsia" w:ascii="仿宋_GB2312" w:hAnsi="仿宋_GB2312" w:eastAsia="仿宋_GB2312" w:cs="仿宋_GB2312"/>
                <w:sz w:val="24"/>
              </w:rPr>
            </w:pPr>
          </w:p>
        </w:tc>
        <w:tc>
          <w:tcPr>
            <w:tcW w:w="1268"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33.24</w:t>
            </w:r>
          </w:p>
        </w:tc>
        <w:tc>
          <w:tcPr>
            <w:tcW w:w="1879" w:type="dxa"/>
            <w:gridSpan w:val="3"/>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33.24</w:t>
            </w:r>
          </w:p>
        </w:tc>
        <w:tc>
          <w:tcPr>
            <w:tcW w:w="4229"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0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10067"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07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559"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5437"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9" w:hRule="atLeast"/>
          <w:jc w:val="center"/>
        </w:trPr>
        <w:tc>
          <w:tcPr>
            <w:tcW w:w="1071" w:type="dxa"/>
            <w:vMerge w:val="continue"/>
            <w:noWrap w:val="0"/>
            <w:vAlign w:val="center"/>
          </w:tcPr>
          <w:p>
            <w:pPr>
              <w:spacing w:line="320" w:lineRule="exact"/>
              <w:rPr>
                <w:rFonts w:hint="eastAsia" w:ascii="仿宋_GB2312" w:hAnsi="仿宋_GB2312" w:eastAsia="仿宋_GB2312" w:cs="仿宋_GB2312"/>
                <w:sz w:val="24"/>
              </w:rPr>
            </w:pPr>
          </w:p>
        </w:tc>
        <w:tc>
          <w:tcPr>
            <w:tcW w:w="3559"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目标1：加强对接协调工作，配合推动棚改项目清零、招商服务、项目建设工作；</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目标2：对接协调市城投、项目部和属地街道，全力服务东风湖新区工程建设，推进东风湖新区项目建设，制定新区重大项目服务清单，根据项目进展动态情况；</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目标3：高效保障新区开发建设环境，扩大宣传氛围，强化禁违力度，维护施工环境；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目标4：工作部积极与市城投对接，并与属地街道、项目部衔接，全力服务东风湖新区配套路网建设，全力提高辖区百姓生活品质。</w:t>
            </w:r>
          </w:p>
        </w:tc>
        <w:tc>
          <w:tcPr>
            <w:tcW w:w="5437" w:type="dxa"/>
            <w:gridSpan w:val="8"/>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一、抓进度促征拆，棚改项目全面清零</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工作部紧盯目标任务不放松，助推各项目部始终坚持问题导向，用好用活“一事一策”、司法助拆等务实举措，凝心聚力、真抓实干，把握重要环节和关键时间节点大干一百天，夺取棚改项目清零交地和成本结算全面胜利。目前2017年至2018年启动的8个棚改项目涉及征拆5608户，已拆除5514户。涉及公产征拆的项目，七里山棚改项目同联药业已签约，正进行房屋概算，可实现腾地约343亩；德胜北路延伸线两侧棚改项目仅剩塑料一厂未拆除，可实现腾地约290亩。</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二、立当前助发展，项目建设全面拉开</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工作部制定了新区重大项目服务清单，根据项目进展动态情况，做问题的加减法。为快速推进金茂·洞庭生态创新城产业项目建设，今年来，工作部与区直部门单位、街道通力配合，对接金茂集团20余次，协调组织召开专题会议、联席会议10余次，有效解决了项目推进过程中的13个问题，目前，金茂项目一期主体工程正在全面施工，已售房屋1500套。同时，为推进基础设施项目建设，工作部调处各类纠纷30余起，配合项目部征收鱼池140亩、菜地253亩，拆除房屋80多栋，棚亭20余个，东风湖生态公园已于10月1日全线开园。</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三、抓治理保目标，环境治理务实有效</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工作部会同属地街道、项目部主动对接协调市城投集团、三峡集团，重新调整了环境治理工程工作任务清单，确保三峡集团实施的东风湖水环境治理一期工程建设顺利推进。目前三峡集团东风湖底泥清淤及调蓄池建设工程正全面施工，月均清淤约13万方。同时，根据岳阳楼区委《关于加强推进东风湖生态环境综合治理工作的会议纪要》（岳楼阅〔2020〕17号）文件精神，为贯彻落实区委、区政府决策部署，全力以赴推进东风湖生态环境综合治理工作，工作部制定了《东风湖生态环境综合治理巡查工作实施方案》，明确相关部门单位职能分工，建立了常态化巡查监管工作机制，对发现的问题实行“及时交办、挂图作战、销号管理”，确保东风湖生态环境综合治理工作网格化、常态化、精细化，实现东风湖水质和片区人居环境持续改善、稳定达标。</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四、强合作促建设，区间路网高效连通</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工作部积极与市城投对接，并与属地街道、项目部衔接，全力服务东风湖新区配套路网建设，成立了延寿寺路提质改造工作小组，1名区级领导担任组长，施工人员50余人，具体负责延寿寺路提质改造工作，目前延寿寺路已全面完成建设。丽珠路、外滩三路、建设北路北段、建设北路中段、新岳西路和沿湖北路道路工程建设正有序进行。东风湖新区将不断完善交通路网，构建科学合理的城区交通体系，打通交通大动脉，全力提高辖区百姓生活品质。</w:t>
            </w:r>
          </w:p>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7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782"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59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623"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58" w:hRule="atLeast"/>
          <w:jc w:val="center"/>
        </w:trPr>
        <w:tc>
          <w:tcPr>
            <w:tcW w:w="1071" w:type="dxa"/>
            <w:vMerge w:val="continue"/>
            <w:noWrap w:val="0"/>
            <w:vAlign w:val="center"/>
          </w:tcPr>
          <w:p>
            <w:pPr>
              <w:spacing w:line="320" w:lineRule="exact"/>
              <w:rPr>
                <w:rFonts w:hint="eastAsia" w:ascii="仿宋_GB2312" w:hAnsi="仿宋_GB2312" w:eastAsia="仿宋_GB2312" w:cs="仿宋_GB2312"/>
                <w:sz w:val="24"/>
              </w:rPr>
            </w:pPr>
          </w:p>
        </w:tc>
        <w:tc>
          <w:tcPr>
            <w:tcW w:w="1432"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35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591"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抓进度促征拆，棚改项目全面清零</w:t>
            </w:r>
          </w:p>
        </w:tc>
        <w:tc>
          <w:tcPr>
            <w:tcW w:w="3623"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前2017年至2018年启动的8个棚改项目涉及征拆5608户，已拆除5514户。涉及公产征拆的项目，七里山棚改项目同联药业已签约，正进行房屋概算，可实现腾地约343亩；德胜北路延伸线两侧棚改项目仅剩塑料一厂未拆除，可实现腾地约290亩。</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071" w:type="dxa"/>
            <w:vMerge w:val="continue"/>
            <w:noWrap w:val="0"/>
            <w:vAlign w:val="center"/>
          </w:tcPr>
          <w:p>
            <w:pPr>
              <w:spacing w:line="320" w:lineRule="exact"/>
              <w:rPr>
                <w:rFonts w:hint="eastAsia" w:ascii="仿宋_GB2312" w:hAnsi="仿宋_GB2312" w:eastAsia="仿宋_GB2312" w:cs="仿宋_GB2312"/>
                <w:sz w:val="24"/>
              </w:rPr>
            </w:pPr>
          </w:p>
        </w:tc>
        <w:tc>
          <w:tcPr>
            <w:tcW w:w="1432"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350" w:type="dxa"/>
            <w:gridSpan w:val="3"/>
            <w:vMerge w:val="continue"/>
            <w:noWrap w:val="0"/>
            <w:vAlign w:val="center"/>
          </w:tcPr>
          <w:p>
            <w:pPr>
              <w:spacing w:line="320" w:lineRule="exact"/>
              <w:rPr>
                <w:rFonts w:hint="eastAsia" w:ascii="仿宋_GB2312" w:hAnsi="仿宋_GB2312" w:eastAsia="仿宋_GB2312" w:cs="仿宋_GB2312"/>
                <w:sz w:val="24"/>
              </w:rPr>
            </w:pPr>
          </w:p>
        </w:tc>
        <w:tc>
          <w:tcPr>
            <w:tcW w:w="2591"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3623"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071" w:type="dxa"/>
            <w:vMerge w:val="continue"/>
            <w:noWrap w:val="0"/>
            <w:vAlign w:val="center"/>
          </w:tcPr>
          <w:p>
            <w:pPr>
              <w:spacing w:line="320" w:lineRule="exact"/>
              <w:rPr>
                <w:rFonts w:hint="eastAsia" w:ascii="仿宋_GB2312" w:hAnsi="仿宋_GB2312" w:eastAsia="仿宋_GB2312" w:cs="仿宋_GB2312"/>
                <w:sz w:val="24"/>
              </w:rPr>
            </w:pPr>
          </w:p>
        </w:tc>
        <w:tc>
          <w:tcPr>
            <w:tcW w:w="1432"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350" w:type="dxa"/>
            <w:gridSpan w:val="3"/>
            <w:vMerge w:val="continue"/>
            <w:noWrap w:val="0"/>
            <w:vAlign w:val="center"/>
          </w:tcPr>
          <w:p>
            <w:pPr>
              <w:spacing w:line="320" w:lineRule="exact"/>
              <w:rPr>
                <w:rFonts w:hint="eastAsia" w:ascii="仿宋_GB2312" w:hAnsi="仿宋_GB2312" w:eastAsia="仿宋_GB2312" w:cs="仿宋_GB2312"/>
                <w:sz w:val="24"/>
              </w:rPr>
            </w:pPr>
          </w:p>
        </w:tc>
        <w:tc>
          <w:tcPr>
            <w:tcW w:w="2591"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623"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40" w:hRule="atLeast"/>
          <w:jc w:val="center"/>
        </w:trPr>
        <w:tc>
          <w:tcPr>
            <w:tcW w:w="1071" w:type="dxa"/>
            <w:vMerge w:val="continue"/>
            <w:noWrap w:val="0"/>
            <w:vAlign w:val="center"/>
          </w:tcPr>
          <w:p>
            <w:pPr>
              <w:spacing w:line="320" w:lineRule="exact"/>
              <w:rPr>
                <w:rFonts w:hint="eastAsia" w:ascii="仿宋_GB2312" w:hAnsi="仿宋_GB2312" w:eastAsia="仿宋_GB2312" w:cs="仿宋_GB2312"/>
                <w:sz w:val="24"/>
              </w:rPr>
            </w:pPr>
          </w:p>
        </w:tc>
        <w:tc>
          <w:tcPr>
            <w:tcW w:w="1432"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35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591"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推进东风湖新区项目建设</w:t>
            </w:r>
          </w:p>
        </w:tc>
        <w:tc>
          <w:tcPr>
            <w:tcW w:w="3623"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今年来，工作部与区直部门单位、街道通力配合，对接金茂集团20余次，协调组织召开专题会议、联席会议10余次，有效解决了项目推进过程中的13个问题，目前，金茂项目一期主体工程正在全面施工，已售房屋1500套。同时，为推进基础设施项目建设，工作部调处各类纠纷30余起，配合项目部征收鱼池140亩、菜地253亩，拆除房屋80多栋，棚亭20余个，东风湖生态公园已于10月1日全线开园。</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071" w:type="dxa"/>
            <w:vMerge w:val="continue"/>
            <w:noWrap w:val="0"/>
            <w:vAlign w:val="center"/>
          </w:tcPr>
          <w:p>
            <w:pPr>
              <w:spacing w:line="320" w:lineRule="exact"/>
              <w:rPr>
                <w:rFonts w:hint="eastAsia" w:ascii="仿宋_GB2312" w:hAnsi="仿宋_GB2312" w:eastAsia="仿宋_GB2312" w:cs="仿宋_GB2312"/>
                <w:sz w:val="24"/>
              </w:rPr>
            </w:pPr>
          </w:p>
        </w:tc>
        <w:tc>
          <w:tcPr>
            <w:tcW w:w="1432"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35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591"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3623"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071" w:type="dxa"/>
            <w:vMerge w:val="continue"/>
            <w:noWrap w:val="0"/>
            <w:vAlign w:val="center"/>
          </w:tcPr>
          <w:p>
            <w:pPr>
              <w:spacing w:line="320" w:lineRule="exact"/>
              <w:rPr>
                <w:rFonts w:hint="eastAsia" w:ascii="仿宋_GB2312" w:hAnsi="仿宋_GB2312" w:eastAsia="仿宋_GB2312" w:cs="仿宋_GB2312"/>
                <w:sz w:val="24"/>
              </w:rPr>
            </w:pPr>
          </w:p>
        </w:tc>
        <w:tc>
          <w:tcPr>
            <w:tcW w:w="1432"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35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591"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623"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071" w:type="dxa"/>
            <w:vMerge w:val="continue"/>
            <w:noWrap w:val="0"/>
            <w:vAlign w:val="center"/>
          </w:tcPr>
          <w:p>
            <w:pPr>
              <w:spacing w:line="320" w:lineRule="exact"/>
              <w:rPr>
                <w:rFonts w:hint="eastAsia" w:ascii="仿宋_GB2312" w:hAnsi="仿宋_GB2312" w:eastAsia="仿宋_GB2312" w:cs="仿宋_GB2312"/>
                <w:sz w:val="24"/>
              </w:rPr>
            </w:pPr>
          </w:p>
        </w:tc>
        <w:tc>
          <w:tcPr>
            <w:tcW w:w="1432"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35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591"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年底前完成</w:t>
            </w:r>
          </w:p>
        </w:tc>
        <w:tc>
          <w:tcPr>
            <w:tcW w:w="3623" w:type="dxa"/>
            <w:gridSpan w:val="7"/>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已完成目标任务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071" w:type="dxa"/>
            <w:vMerge w:val="continue"/>
            <w:noWrap w:val="0"/>
            <w:vAlign w:val="center"/>
          </w:tcPr>
          <w:p>
            <w:pPr>
              <w:spacing w:line="320" w:lineRule="exact"/>
              <w:rPr>
                <w:rFonts w:hint="eastAsia" w:ascii="仿宋_GB2312" w:hAnsi="仿宋_GB2312" w:eastAsia="仿宋_GB2312" w:cs="仿宋_GB2312"/>
                <w:sz w:val="24"/>
              </w:rPr>
            </w:pPr>
          </w:p>
        </w:tc>
        <w:tc>
          <w:tcPr>
            <w:tcW w:w="1432"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35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591"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3623"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071" w:type="dxa"/>
            <w:vMerge w:val="continue"/>
            <w:noWrap w:val="0"/>
            <w:vAlign w:val="center"/>
          </w:tcPr>
          <w:p>
            <w:pPr>
              <w:spacing w:line="320" w:lineRule="exact"/>
              <w:rPr>
                <w:rFonts w:hint="eastAsia" w:ascii="仿宋_GB2312" w:hAnsi="仿宋_GB2312" w:eastAsia="仿宋_GB2312" w:cs="仿宋_GB2312"/>
                <w:sz w:val="24"/>
              </w:rPr>
            </w:pPr>
          </w:p>
        </w:tc>
        <w:tc>
          <w:tcPr>
            <w:tcW w:w="1432"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35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591"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623"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071" w:type="dxa"/>
            <w:vMerge w:val="continue"/>
            <w:noWrap w:val="0"/>
            <w:vAlign w:val="center"/>
          </w:tcPr>
          <w:p>
            <w:pPr>
              <w:spacing w:line="320" w:lineRule="exact"/>
              <w:rPr>
                <w:rFonts w:hint="eastAsia" w:ascii="仿宋_GB2312" w:hAnsi="仿宋_GB2312" w:eastAsia="仿宋_GB2312" w:cs="仿宋_GB2312"/>
                <w:sz w:val="24"/>
              </w:rPr>
            </w:pPr>
          </w:p>
        </w:tc>
        <w:tc>
          <w:tcPr>
            <w:tcW w:w="1432"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35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591"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项目预算控制数</w:t>
            </w:r>
          </w:p>
        </w:tc>
        <w:tc>
          <w:tcPr>
            <w:tcW w:w="3623"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达到预期目标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071" w:type="dxa"/>
            <w:vMerge w:val="continue"/>
            <w:noWrap w:val="0"/>
            <w:vAlign w:val="center"/>
          </w:tcPr>
          <w:p>
            <w:pPr>
              <w:spacing w:line="320" w:lineRule="exact"/>
              <w:rPr>
                <w:rFonts w:hint="eastAsia" w:ascii="仿宋_GB2312" w:hAnsi="仿宋_GB2312" w:eastAsia="仿宋_GB2312" w:cs="仿宋_GB2312"/>
                <w:sz w:val="24"/>
              </w:rPr>
            </w:pPr>
          </w:p>
        </w:tc>
        <w:tc>
          <w:tcPr>
            <w:tcW w:w="1432"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35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591"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3623"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071" w:type="dxa"/>
            <w:vMerge w:val="continue"/>
            <w:noWrap w:val="0"/>
            <w:vAlign w:val="center"/>
          </w:tcPr>
          <w:p>
            <w:pPr>
              <w:spacing w:line="320" w:lineRule="exact"/>
              <w:rPr>
                <w:rFonts w:hint="eastAsia" w:ascii="仿宋_GB2312" w:hAnsi="仿宋_GB2312" w:eastAsia="仿宋_GB2312" w:cs="仿宋_GB2312"/>
                <w:sz w:val="24"/>
              </w:rPr>
            </w:pPr>
          </w:p>
        </w:tc>
        <w:tc>
          <w:tcPr>
            <w:tcW w:w="1432"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35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591"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623" w:type="dxa"/>
            <w:gridSpan w:val="7"/>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6" w:hRule="atLeast"/>
          <w:jc w:val="center"/>
        </w:trPr>
        <w:tc>
          <w:tcPr>
            <w:tcW w:w="1071" w:type="dxa"/>
            <w:vMerge w:val="continue"/>
            <w:noWrap w:val="0"/>
            <w:vAlign w:val="center"/>
          </w:tcPr>
          <w:p>
            <w:pPr>
              <w:spacing w:line="320" w:lineRule="exact"/>
              <w:rPr>
                <w:rFonts w:hint="eastAsia" w:ascii="仿宋_GB2312" w:hAnsi="仿宋_GB2312" w:eastAsia="仿宋_GB2312" w:cs="仿宋_GB2312"/>
                <w:sz w:val="24"/>
              </w:rPr>
            </w:pPr>
          </w:p>
        </w:tc>
        <w:tc>
          <w:tcPr>
            <w:tcW w:w="1432" w:type="dxa"/>
            <w:gridSpan w:val="3"/>
            <w:vMerge w:val="restart"/>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35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591"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工作部制定了新区重大项目服务清单，根据项目进展动态情况，做问题的加减法</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623" w:type="dxa"/>
            <w:gridSpan w:val="7"/>
            <w:noWrap w:val="0"/>
            <w:vAlign w:val="center"/>
          </w:tcPr>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解决了项目推进</w:t>
            </w:r>
            <w:r>
              <w:rPr>
                <w:rFonts w:hint="eastAsia" w:ascii="仿宋_GB2312" w:hAnsi="仿宋_GB2312" w:eastAsia="仿宋_GB2312" w:cs="仿宋_GB2312"/>
                <w:color w:val="000000"/>
                <w:sz w:val="24"/>
              </w:rPr>
              <w:t>过程中的13个问题</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工作部调处各类纠纷</w:t>
            </w:r>
            <w:r>
              <w:rPr>
                <w:rFonts w:hint="eastAsia" w:ascii="仿宋_GB2312" w:hAnsi="仿宋_GB2312" w:eastAsia="仿宋_GB2312" w:cs="仿宋_GB2312"/>
                <w:color w:val="000000"/>
                <w:sz w:val="24"/>
                <w:lang w:val="en-US" w:eastAsia="zh-CN"/>
              </w:rPr>
              <w:t>30</w:t>
            </w:r>
            <w:r>
              <w:rPr>
                <w:rFonts w:hint="eastAsia" w:ascii="仿宋_GB2312" w:hAnsi="仿宋_GB2312" w:eastAsia="仿宋_GB2312" w:cs="仿宋_GB2312"/>
                <w:color w:val="000000"/>
                <w:sz w:val="24"/>
              </w:rPr>
              <w:t>余起，配合项目部征收鱼池140亩、菜地253亩，拆除房屋80多栋，棚亭20余个，东风湖生态公园已于10月1日全线开园。</w:t>
            </w:r>
          </w:p>
          <w:p>
            <w:pPr>
              <w:autoSpaceDN w:val="0"/>
              <w:spacing w:line="320" w:lineRule="exact"/>
              <w:jc w:val="left"/>
              <w:textAlignment w:val="center"/>
              <w:rPr>
                <w:rFonts w:hint="eastAsia" w:ascii="仿宋_GB2312" w:hAnsi="仿宋_GB2312" w:eastAsia="仿宋_GB2312" w:cs="仿宋_GB2312"/>
                <w:b/>
                <w:color w:val="00000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071" w:type="dxa"/>
            <w:vMerge w:val="continue"/>
            <w:noWrap w:val="0"/>
            <w:vAlign w:val="center"/>
          </w:tcPr>
          <w:p>
            <w:pPr>
              <w:spacing w:line="320" w:lineRule="exact"/>
              <w:rPr>
                <w:rFonts w:hint="eastAsia" w:ascii="仿宋_GB2312" w:hAnsi="仿宋_GB2312" w:eastAsia="仿宋_GB2312" w:cs="仿宋_GB2312"/>
                <w:sz w:val="24"/>
              </w:rPr>
            </w:pPr>
          </w:p>
        </w:tc>
        <w:tc>
          <w:tcPr>
            <w:tcW w:w="1432"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35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591"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优化营商环境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623" w:type="dxa"/>
            <w:gridSpan w:val="7"/>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围绕金茂集团二期项目洞庭明珠观光塔、湖鲜小镇等工程启动实施提供全方位保障，确保项目入驻“零障碍”，生产经营“零干扰”；加强对接协调助推己内酰胺产业链外迁，编制出台七里山片区产业发展规划</w:t>
            </w:r>
            <w:r>
              <w:rPr>
                <w:rFonts w:hint="eastAsia" w:ascii="仿宋_GB2312" w:hAnsi="仿宋_GB2312" w:eastAsia="仿宋_GB2312" w:cs="仿宋_GB2312"/>
                <w:sz w:val="32"/>
                <w:szCs w:val="3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44" w:hRule="atLeast"/>
          <w:jc w:val="center"/>
        </w:trPr>
        <w:tc>
          <w:tcPr>
            <w:tcW w:w="1071" w:type="dxa"/>
            <w:vMerge w:val="continue"/>
            <w:noWrap w:val="0"/>
            <w:vAlign w:val="center"/>
          </w:tcPr>
          <w:p>
            <w:pPr>
              <w:spacing w:line="320" w:lineRule="exact"/>
              <w:rPr>
                <w:rFonts w:hint="eastAsia" w:ascii="仿宋_GB2312" w:hAnsi="仿宋_GB2312" w:eastAsia="仿宋_GB2312" w:cs="仿宋_GB2312"/>
                <w:sz w:val="24"/>
              </w:rPr>
            </w:pPr>
          </w:p>
        </w:tc>
        <w:tc>
          <w:tcPr>
            <w:tcW w:w="1432"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35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591"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：抓治理保目标，环境治理务实有效</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w:t>
            </w:r>
          </w:p>
        </w:tc>
        <w:tc>
          <w:tcPr>
            <w:tcW w:w="3623"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工作部明确相关部门单位职能分工，建立了常态化巡查监管工作机制，对发现的问题实行“及时交办、挂图作战、销号管理”，确保东风湖生态环境综合治理工作网格化、常态化、精细化，实现东风湖水质和片区人居环境持续改善、稳定达标。</w:t>
            </w:r>
          </w:p>
          <w:p>
            <w:pPr>
              <w:autoSpaceDN w:val="0"/>
              <w:spacing w:line="320" w:lineRule="exact"/>
              <w:jc w:val="center"/>
              <w:textAlignment w:val="center"/>
              <w:rPr>
                <w:rFonts w:hint="eastAsia" w:ascii="仿宋_GB2312" w:hAnsi="仿宋_GB2312" w:eastAsia="仿宋_GB2312" w:cs="仿宋_GB2312"/>
                <w:b/>
                <w:color w:val="000000"/>
                <w:kern w:val="2"/>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58" w:hRule="atLeast"/>
          <w:jc w:val="center"/>
        </w:trPr>
        <w:tc>
          <w:tcPr>
            <w:tcW w:w="1071" w:type="dxa"/>
            <w:vMerge w:val="continue"/>
            <w:noWrap w:val="0"/>
            <w:vAlign w:val="center"/>
          </w:tcPr>
          <w:p>
            <w:pPr>
              <w:spacing w:line="320" w:lineRule="exact"/>
              <w:rPr>
                <w:rFonts w:hint="eastAsia" w:ascii="仿宋_GB2312" w:hAnsi="仿宋_GB2312" w:eastAsia="仿宋_GB2312" w:cs="仿宋_GB2312"/>
                <w:sz w:val="24"/>
              </w:rPr>
            </w:pPr>
          </w:p>
        </w:tc>
        <w:tc>
          <w:tcPr>
            <w:tcW w:w="1432"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35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591"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工作部积极与市城投对接，并与属地街道、项目部衔接，全力服务东风湖新区配套路网建设</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w:t>
            </w:r>
          </w:p>
        </w:tc>
        <w:tc>
          <w:tcPr>
            <w:tcW w:w="3623"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前延寿寺路已全面完成建设。丽珠路、外滩三路、建设北路北段、建设北路中段、新岳西路和沿湖北路道路工程建设正有序进行。东风湖新区将不断完善交通路网，构建科学合理的城区交通体系，打通交通大动脉，全力提高辖区百姓生活品质。</w:t>
            </w:r>
          </w:p>
          <w:p>
            <w:pPr>
              <w:autoSpaceDN w:val="0"/>
              <w:spacing w:line="320" w:lineRule="exact"/>
              <w:jc w:val="both"/>
              <w:textAlignment w:val="center"/>
              <w:rPr>
                <w:rFonts w:hint="eastAsia" w:ascii="仿宋_GB2312" w:hAnsi="仿宋_GB2312" w:eastAsia="仿宋_GB2312" w:cs="仿宋_GB2312"/>
                <w:b/>
                <w:color w:val="000000"/>
                <w:kern w:val="2"/>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8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8582" w:type="dxa"/>
            <w:gridSpan w:val="1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8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8582" w:type="dxa"/>
            <w:gridSpan w:val="1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0067"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8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14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06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373"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8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熊亮</w:t>
            </w:r>
          </w:p>
        </w:tc>
        <w:tc>
          <w:tcPr>
            <w:tcW w:w="314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部长</w:t>
            </w:r>
          </w:p>
        </w:tc>
        <w:tc>
          <w:tcPr>
            <w:tcW w:w="206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岳阳楼区东风湖新区建设工作部</w:t>
            </w:r>
          </w:p>
        </w:tc>
        <w:tc>
          <w:tcPr>
            <w:tcW w:w="3373"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8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周喆</w:t>
            </w:r>
          </w:p>
        </w:tc>
        <w:tc>
          <w:tcPr>
            <w:tcW w:w="314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副部长</w:t>
            </w:r>
          </w:p>
        </w:tc>
        <w:tc>
          <w:tcPr>
            <w:tcW w:w="206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岳阳楼区东风湖新区建设工作部</w:t>
            </w:r>
          </w:p>
        </w:tc>
        <w:tc>
          <w:tcPr>
            <w:tcW w:w="3373"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8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卢小平</w:t>
            </w:r>
          </w:p>
        </w:tc>
        <w:tc>
          <w:tcPr>
            <w:tcW w:w="314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业务股股长</w:t>
            </w:r>
          </w:p>
        </w:tc>
        <w:tc>
          <w:tcPr>
            <w:tcW w:w="206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岳阳楼区东风湖新区建设工作部</w:t>
            </w:r>
          </w:p>
        </w:tc>
        <w:tc>
          <w:tcPr>
            <w:tcW w:w="3373"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8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4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06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373"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10067"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10067"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10067" w:type="dxa"/>
            <w:gridSpan w:val="16"/>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7"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64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Cs/>
                <w:sz w:val="28"/>
                <w:szCs w:val="28"/>
              </w:rPr>
              <w:t>、机构设置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现有人数</w:t>
            </w:r>
            <w:r>
              <w:rPr>
                <w:rFonts w:hint="eastAsia" w:ascii="仿宋_GB2312" w:hAnsi="仿宋_GB2312" w:eastAsia="仿宋_GB2312" w:cs="仿宋_GB2312"/>
                <w:bCs/>
                <w:sz w:val="28"/>
                <w:szCs w:val="28"/>
                <w:lang w:val="en-US" w:eastAsia="zh-CN"/>
              </w:rPr>
              <w:t>9</w:t>
            </w:r>
            <w:r>
              <w:rPr>
                <w:rFonts w:hint="eastAsia" w:ascii="仿宋_GB2312" w:hAnsi="仿宋_GB2312" w:eastAsia="仿宋_GB2312" w:cs="仿宋_GB2312"/>
                <w:bCs/>
                <w:sz w:val="28"/>
                <w:szCs w:val="28"/>
              </w:rPr>
              <w:t>人，其中：在职编制</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人。机关设置</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个股室：办公室、</w:t>
            </w:r>
            <w:r>
              <w:rPr>
                <w:rFonts w:hint="eastAsia" w:ascii="仿宋_GB2312" w:hAnsi="仿宋_GB2312" w:eastAsia="仿宋_GB2312" w:cs="仿宋_GB2312"/>
                <w:bCs/>
                <w:sz w:val="28"/>
                <w:szCs w:val="28"/>
                <w:lang w:eastAsia="zh-CN"/>
              </w:rPr>
              <w:t>业务</w:t>
            </w:r>
            <w:r>
              <w:rPr>
                <w:rFonts w:hint="eastAsia" w:ascii="仿宋_GB2312" w:hAnsi="仿宋_GB2312" w:eastAsia="仿宋_GB2312" w:cs="仿宋_GB2312"/>
                <w:bCs/>
                <w:sz w:val="28"/>
                <w:szCs w:val="28"/>
              </w:rPr>
              <w:t>股、</w:t>
            </w:r>
            <w:r>
              <w:rPr>
                <w:rFonts w:hint="eastAsia" w:ascii="仿宋_GB2312" w:hAnsi="仿宋_GB2312" w:eastAsia="仿宋_GB2312" w:cs="仿宋_GB2312"/>
                <w:bCs/>
                <w:sz w:val="28"/>
                <w:szCs w:val="28"/>
                <w:lang w:eastAsia="zh-CN"/>
              </w:rPr>
              <w:t>协调</w:t>
            </w:r>
            <w:r>
              <w:rPr>
                <w:rFonts w:hint="eastAsia" w:ascii="仿宋_GB2312" w:hAnsi="仿宋_GB2312" w:eastAsia="仿宋_GB2312" w:cs="仿宋_GB2312"/>
                <w:bCs/>
                <w:sz w:val="28"/>
                <w:szCs w:val="28"/>
              </w:rPr>
              <w:t>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、职能职责</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负责做好东风湖新区范围内的拆迁、控违和涉及地方事务协调等工作的区政府直属公益一类事业单位。</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lang w:eastAsia="zh-CN"/>
              </w:rPr>
              <w:t>整体</w:t>
            </w:r>
            <w:r>
              <w:rPr>
                <w:rFonts w:hint="eastAsia" w:ascii="仿宋_GB2312" w:hAnsi="仿宋_GB2312" w:eastAsia="仿宋_GB2312" w:cs="仿宋_GB2312"/>
                <w:bCs/>
                <w:sz w:val="28"/>
                <w:szCs w:val="28"/>
              </w:rPr>
              <w:t>支出</w:t>
            </w:r>
            <w:r>
              <w:rPr>
                <w:rFonts w:hint="eastAsia" w:ascii="仿宋_GB2312" w:hAnsi="仿宋_GB2312" w:eastAsia="仿宋_GB2312" w:cs="仿宋_GB2312"/>
                <w:bCs/>
                <w:sz w:val="28"/>
                <w:szCs w:val="28"/>
                <w:lang w:eastAsia="zh-CN"/>
              </w:rPr>
              <w:t>规模：</w:t>
            </w: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年年初预算数</w:t>
            </w:r>
            <w:r>
              <w:rPr>
                <w:rFonts w:hint="eastAsia" w:ascii="仿宋_GB2312" w:hAnsi="仿宋_GB2312" w:eastAsia="仿宋_GB2312" w:cs="仿宋_GB2312"/>
                <w:bCs/>
                <w:sz w:val="28"/>
                <w:szCs w:val="28"/>
                <w:lang w:val="en-US" w:eastAsia="zh-CN"/>
              </w:rPr>
              <w:t>159.66</w:t>
            </w:r>
            <w:r>
              <w:rPr>
                <w:rFonts w:hint="eastAsia" w:ascii="仿宋_GB2312" w:hAnsi="仿宋_GB2312" w:eastAsia="仿宋_GB2312" w:cs="仿宋_GB2312"/>
                <w:bCs/>
                <w:sz w:val="28"/>
                <w:szCs w:val="28"/>
              </w:rPr>
              <w:t>万元，其中，一般公共服务支出</w:t>
            </w:r>
            <w:r>
              <w:rPr>
                <w:rFonts w:hint="eastAsia" w:ascii="仿宋_GB2312" w:hAnsi="仿宋_GB2312" w:eastAsia="仿宋_GB2312" w:cs="仿宋_GB2312"/>
                <w:bCs/>
                <w:sz w:val="28"/>
                <w:szCs w:val="28"/>
                <w:lang w:val="en-US" w:eastAsia="zh-CN"/>
              </w:rPr>
              <w:t>159.66</w:t>
            </w:r>
            <w:r>
              <w:rPr>
                <w:rFonts w:hint="eastAsia" w:ascii="仿宋_GB2312" w:hAnsi="仿宋_GB2312" w:eastAsia="仿宋_GB2312" w:cs="仿宋_GB2312"/>
                <w:bCs/>
                <w:sz w:val="28"/>
                <w:szCs w:val="28"/>
              </w:rPr>
              <w:t>万元。</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使用方向和主要内容：分为基本支出和项目支出，基本支出为121.66万元，项目支出为38万元。</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年一般公共预算拨款收入</w:t>
            </w:r>
            <w:r>
              <w:rPr>
                <w:rFonts w:hint="eastAsia" w:ascii="仿宋_GB2312" w:hAnsi="仿宋_GB2312" w:eastAsia="仿宋_GB2312" w:cs="仿宋_GB2312"/>
                <w:bCs/>
                <w:sz w:val="28"/>
                <w:szCs w:val="28"/>
                <w:lang w:val="en-US" w:eastAsia="zh-CN"/>
              </w:rPr>
              <w:t>159.66</w:t>
            </w:r>
            <w:r>
              <w:rPr>
                <w:rFonts w:hint="eastAsia" w:ascii="仿宋_GB2312" w:hAnsi="仿宋_GB2312" w:eastAsia="仿宋_GB2312" w:cs="仿宋_GB2312"/>
                <w:bCs/>
                <w:sz w:val="28"/>
                <w:szCs w:val="28"/>
              </w:rPr>
              <w:t>万元，具体安排情况如下：</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w:t>
            </w:r>
            <w:r>
              <w:rPr>
                <w:rFonts w:hint="eastAsia" w:ascii="仿宋_GB2312" w:hAnsi="仿宋_GB2312" w:eastAsia="仿宋_GB2312" w:cs="仿宋_GB2312"/>
                <w:bCs/>
                <w:sz w:val="28"/>
                <w:szCs w:val="28"/>
              </w:rPr>
              <w:t>年年初预算数为</w:t>
            </w:r>
            <w:r>
              <w:rPr>
                <w:rFonts w:hint="eastAsia" w:ascii="仿宋_GB2312" w:hAnsi="仿宋_GB2312" w:eastAsia="仿宋_GB2312" w:cs="仿宋_GB2312"/>
                <w:bCs/>
                <w:sz w:val="28"/>
                <w:szCs w:val="28"/>
                <w:lang w:val="en-US" w:eastAsia="zh-CN"/>
              </w:rPr>
              <w:t>121.66</w:t>
            </w:r>
            <w:r>
              <w:rPr>
                <w:rFonts w:hint="eastAsia" w:ascii="仿宋_GB2312" w:hAnsi="仿宋_GB2312" w:eastAsia="仿宋_GB2312" w:cs="仿宋_GB2312"/>
                <w:bCs/>
                <w:sz w:val="28"/>
                <w:szCs w:val="28"/>
              </w:rPr>
              <w:t>万元，是指为保障单位机构正常运转、完成日常工作任务而发生的各项支出，包括用于基本工资、津贴补贴等人员经费以及办公费、印刷费、水电费、办公设备购置等日常公用经费。</w:t>
            </w:r>
            <w:r>
              <w:rPr>
                <w:rFonts w:hint="eastAsia" w:ascii="仿宋_GB2312" w:hAnsi="仿宋_GB2312" w:eastAsia="仿宋_GB2312" w:cs="仿宋_GB2312"/>
                <w:bCs/>
                <w:sz w:val="28"/>
                <w:szCs w:val="28"/>
                <w:lang w:val="en-US" w:eastAsia="zh-CN"/>
              </w:rPr>
              <w:t>2020年本单位“三公”经费主要为公务接待费共计1.84万元，主要用于加班用餐。</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2020年年初预算数为38万元，是指单位为完成特定行政工作任务或事业发展目标而发生的支出，包括有关事业发展专项、专项业务费。 2020年专项支出安排落实38万元，总投入为38万元。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6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本项目主要用于东风湖环境综合整治专项支出，其中户外宣传资料费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28"/>
                <w:szCs w:val="28"/>
                <w:lang w:val="en-US" w:eastAsia="zh-CN"/>
              </w:rPr>
              <w:t>10万元、印刷费用：10万元、影像资料费用：5万元、摩托维护费：2万元、商品和服务支出：11万元</w:t>
            </w:r>
            <w:r>
              <w:rPr>
                <w:rFonts w:hint="eastAsia" w:ascii="仿宋_GB2312" w:hAnsi="仿宋_GB2312" w:eastAsia="仿宋_GB2312" w:cs="仿宋_GB2312"/>
                <w:sz w:val="32"/>
                <w:szCs w:val="32"/>
              </w:rPr>
              <w:t>。</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6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完善财务管理制度、内部控制管理制度；规范会计核算，严管资金拨付。</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eastAsia="仿宋_GB2312"/>
                <w:bCs/>
                <w:sz w:val="32"/>
                <w:szCs w:val="32"/>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本项目主要用于东风湖环境综合整治专项支出，涉及户外宣传、印刷、影像制作等其他商品和服务支出，依据采购法相关规定，无需招投标。</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（二）专项管理情况分析</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2020年本单位本着专款专用的原则，专项支出基本做到了按规定使用财政资金。</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numPr>
                <w:ilvl w:val="0"/>
                <w:numId w:val="0"/>
              </w:numPr>
              <w:spacing w:line="560" w:lineRule="exact"/>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经济性分析：2020年本单位支出总额控制在预算总额以内，本单位预算资金均按规定管理使用，本着控制成本，合理开支，厉行节约的原则，开展了一系列工作和活动。</w:t>
            </w:r>
          </w:p>
          <w:p>
            <w:pPr>
              <w:spacing w:line="560" w:lineRule="exact"/>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效率性分析：2020年本单位按照时效目标完成持续创优产业建设项目服务，督促落实环境治理工程征拆，协调推进绿化景观带及道路建设，高效保障新区开发建设各项工作顺利推进。</w:t>
            </w:r>
          </w:p>
          <w:p>
            <w:pPr>
              <w:ind w:firstLine="56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kern w:val="2"/>
                <w:sz w:val="28"/>
                <w:szCs w:val="28"/>
                <w:lang w:val="en-US" w:eastAsia="zh-CN" w:bidi="ar-SA"/>
              </w:rPr>
              <w:t>有效性分析：</w:t>
            </w:r>
            <w:r>
              <w:rPr>
                <w:rFonts w:hint="eastAsia" w:ascii="仿宋_GB2312" w:hAnsi="仿宋_GB2312" w:eastAsia="仿宋_GB2312" w:cs="仿宋_GB2312"/>
                <w:sz w:val="32"/>
                <w:szCs w:val="32"/>
              </w:rPr>
              <w:t>工作部紧盯目标任务不放松，助推各项目部始终坚持问题导向，用好用活“一事一策”、司法助拆等务实举措，</w:t>
            </w:r>
            <w:r>
              <w:rPr>
                <w:rFonts w:hint="eastAsia" w:ascii="仿宋_GB2312" w:hAnsi="仿宋_GB2312" w:eastAsia="仿宋_GB2312" w:cs="仿宋_GB2312"/>
                <w:sz w:val="32"/>
                <w:szCs w:val="32"/>
                <w:lang w:val="en-US" w:eastAsia="zh-CN"/>
              </w:rPr>
              <w:t>凝心聚力、真抓实干，把握重要环节和关键时间节点大干一百天，夺取棚改项目清零交地和成本结算全面胜利。</w:t>
            </w:r>
            <w:r>
              <w:rPr>
                <w:rFonts w:hint="eastAsia" w:ascii="仿宋_GB2312" w:hAnsi="仿宋_GB2312" w:eastAsia="仿宋_GB2312" w:cs="仿宋_GB2312"/>
                <w:sz w:val="32"/>
                <w:szCs w:val="32"/>
              </w:rPr>
              <w:t>目前2017年</w:t>
            </w:r>
            <w:r>
              <w:rPr>
                <w:rFonts w:hint="eastAsia" w:ascii="仿宋_GB2312" w:hAnsi="仿宋_GB2312" w:eastAsia="仿宋_GB2312" w:cs="仿宋_GB2312"/>
                <w:sz w:val="32"/>
                <w:szCs w:val="32"/>
                <w:lang w:val="en-US" w:eastAsia="zh-CN"/>
              </w:rPr>
              <w:t>至2018年启动的8个</w:t>
            </w:r>
            <w:r>
              <w:rPr>
                <w:rFonts w:hint="eastAsia" w:ascii="仿宋_GB2312" w:hAnsi="仿宋_GB2312" w:eastAsia="仿宋_GB2312" w:cs="仿宋_GB2312"/>
                <w:sz w:val="32"/>
                <w:szCs w:val="32"/>
              </w:rPr>
              <w:t>棚改项目</w:t>
            </w:r>
            <w:r>
              <w:rPr>
                <w:rFonts w:hint="eastAsia" w:ascii="仿宋_GB2312" w:hAnsi="仿宋_GB2312" w:eastAsia="仿宋_GB2312" w:cs="仿宋_GB2312"/>
                <w:sz w:val="32"/>
                <w:szCs w:val="32"/>
                <w:lang w:val="en-US" w:eastAsia="zh-CN"/>
              </w:rPr>
              <w:t>涉及征拆5608户，已拆除5514户。</w:t>
            </w:r>
            <w:r>
              <w:rPr>
                <w:rFonts w:hint="eastAsia" w:ascii="仿宋_GB2312" w:hAnsi="仿宋_GB2312" w:eastAsia="仿宋_GB2312" w:cs="仿宋_GB2312"/>
                <w:sz w:val="32"/>
                <w:szCs w:val="32"/>
              </w:rPr>
              <w:t>涉及公产征拆的项目，七里山棚改项目同联药业</w:t>
            </w:r>
            <w:r>
              <w:rPr>
                <w:rFonts w:hint="eastAsia" w:ascii="仿宋_GB2312" w:hAnsi="仿宋_GB2312" w:eastAsia="仿宋_GB2312" w:cs="仿宋_GB2312"/>
                <w:sz w:val="32"/>
                <w:szCs w:val="32"/>
                <w:lang w:val="en-US" w:eastAsia="zh-CN"/>
              </w:rPr>
              <w:t>已签约，正进行房屋概算，</w:t>
            </w:r>
            <w:r>
              <w:rPr>
                <w:rFonts w:hint="eastAsia" w:ascii="仿宋_GB2312" w:hAnsi="仿宋_GB2312" w:eastAsia="仿宋_GB2312" w:cs="仿宋_GB2312"/>
                <w:sz w:val="32"/>
                <w:szCs w:val="32"/>
              </w:rPr>
              <w:t>可实现腾地约343亩；德胜北路延伸线两侧棚改项目</w:t>
            </w:r>
            <w:r>
              <w:rPr>
                <w:rFonts w:hint="eastAsia" w:ascii="仿宋_GB2312" w:hAnsi="仿宋_GB2312" w:eastAsia="仿宋_GB2312" w:cs="仿宋_GB2312"/>
                <w:sz w:val="32"/>
                <w:szCs w:val="32"/>
                <w:lang w:val="en-US" w:eastAsia="zh-CN"/>
              </w:rPr>
              <w:t>仅剩塑料一厂未拆除，可实现腾地约290亩。</w:t>
            </w:r>
          </w:p>
          <w:p>
            <w:pPr>
              <w:ind w:firstLine="560" w:firstLineChars="200"/>
              <w:rPr>
                <w:rFonts w:hint="default" w:ascii="仿宋_GB2312" w:hAnsi="仿宋_GB2312" w:eastAsia="仿宋_GB2312" w:cs="仿宋_GB2312"/>
                <w:bCs/>
                <w:kern w:val="2"/>
                <w:sz w:val="28"/>
                <w:szCs w:val="28"/>
                <w:lang w:eastAsia="zh-CN" w:bidi="ar-SA"/>
              </w:rPr>
            </w:pPr>
            <w:r>
              <w:rPr>
                <w:rFonts w:hint="eastAsia" w:ascii="仿宋_GB2312" w:hAnsi="仿宋_GB2312" w:eastAsia="仿宋_GB2312" w:cs="仿宋_GB2312"/>
                <w:bCs/>
                <w:kern w:val="2"/>
                <w:sz w:val="28"/>
                <w:szCs w:val="28"/>
                <w:lang w:val="en-US" w:eastAsia="zh-CN" w:bidi="ar-SA"/>
              </w:rPr>
              <w:t>可持续性分析：一是进一步做好协调服务工作。本单位将勇于担当、迎难而进，加大协调服务力度，</w:t>
            </w:r>
            <w:r>
              <w:rPr>
                <w:rFonts w:hint="eastAsia" w:ascii="仿宋_GB2312" w:hAnsi="仿宋_GB2312" w:eastAsia="仿宋_GB2312" w:cs="仿宋_GB2312"/>
                <w:sz w:val="32"/>
                <w:szCs w:val="32"/>
              </w:rPr>
              <w:t>东风湖新区将不断完善交通路网，构建科学合理的城区交通体系，打通交通大动脉，全力提高辖区百姓生活品质。</w:t>
            </w:r>
            <w:r>
              <w:rPr>
                <w:rFonts w:hint="eastAsia" w:ascii="仿宋_GB2312" w:hAnsi="仿宋_GB2312" w:eastAsia="仿宋_GB2312" w:cs="仿宋_GB2312"/>
                <w:bCs/>
                <w:kern w:val="2"/>
                <w:sz w:val="28"/>
                <w:szCs w:val="28"/>
                <w:lang w:val="en-US" w:eastAsia="zh-CN" w:bidi="ar-SA"/>
              </w:rPr>
              <w:t>二是进一步加强环境综合治理。牢记习近平总书记“守护好一江碧水”的殷殷嘱托，全面巩固生态治理成果，以坚定决心和必胜信心守护好一江碧水。</w:t>
            </w: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spacing w:line="40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主要存在问题财务管理方面的内部制度需进一步完善，</w:t>
            </w:r>
            <w:r>
              <w:rPr>
                <w:rFonts w:hint="default" w:ascii="仿宋_GB2312" w:hAnsi="仿宋_GB2312" w:eastAsia="仿宋_GB2312" w:cs="仿宋_GB2312"/>
                <w:bCs/>
                <w:sz w:val="28"/>
                <w:szCs w:val="28"/>
                <w:lang w:val="en-US" w:eastAsia="zh-CN"/>
              </w:rPr>
              <w:t>思想观念还需进一步转变</w:t>
            </w:r>
            <w:r>
              <w:rPr>
                <w:rFonts w:hint="eastAsia" w:ascii="仿宋_GB2312" w:hAnsi="仿宋_GB2312" w:eastAsia="仿宋_GB2312" w:cs="仿宋_GB2312"/>
                <w:bCs/>
                <w:sz w:val="28"/>
                <w:szCs w:val="28"/>
                <w:lang w:val="en-US" w:eastAsia="zh-CN"/>
              </w:rPr>
              <w:t>，财务人员业务水平需进一步提升。</w:t>
            </w:r>
          </w:p>
          <w:p>
            <w:pPr>
              <w:numPr>
                <w:ilvl w:val="0"/>
                <w:numId w:val="2"/>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一是进一步完善机关财务制度。</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二是加强财务人员的业务培训和能力提升。</w:t>
            </w:r>
          </w:p>
          <w:p>
            <w:pPr>
              <w:spacing w:line="400" w:lineRule="exact"/>
              <w:ind w:firstLine="560" w:firstLineChars="200"/>
              <w:rPr>
                <w:rFonts w:ascii="仿宋_GB2312" w:hAnsi="仿宋_GB2312" w:eastAsia="仿宋_GB2312" w:cs="仿宋_GB2312"/>
                <w:bCs/>
                <w:sz w:val="28"/>
                <w:szCs w:val="28"/>
              </w:rPr>
            </w:pPr>
          </w:p>
          <w:p>
            <w:pPr>
              <w:numPr>
                <w:ilvl w:val="0"/>
                <w:numId w:val="0"/>
              </w:numPr>
              <w:spacing w:line="560" w:lineRule="exact"/>
              <w:ind w:leftChars="200"/>
              <w:rPr>
                <w:rFonts w:hint="eastAsia" w:ascii="黑体" w:hAnsi="黑体" w:eastAsia="黑体" w:cs="黑体"/>
                <w:bCs/>
                <w:sz w:val="28"/>
                <w:szCs w:val="28"/>
              </w:rPr>
            </w:pPr>
          </w:p>
          <w:p>
            <w:pPr>
              <w:rPr>
                <w:rFonts w:eastAsia="楷体_GB2312"/>
                <w:bCs/>
                <w:sz w:val="28"/>
                <w:szCs w:val="28"/>
              </w:rPr>
            </w:pPr>
          </w:p>
        </w:tc>
      </w:tr>
    </w:tbl>
    <w:p>
      <w:pPr>
        <w:spacing w:line="348" w:lineRule="auto"/>
        <w:rPr>
          <w:rFonts w:hint="eastAsia" w:eastAsia="黑体" w:cs="黑体"/>
          <w:bCs/>
          <w:sz w:val="32"/>
          <w:szCs w:val="32"/>
        </w:rPr>
      </w:pPr>
      <w:r>
        <w:rPr>
          <w:rFonts w:hint="eastAsia" w:eastAsia="黑体" w:cs="黑体"/>
          <w:bCs/>
          <w:sz w:val="32"/>
          <w:szCs w:val="32"/>
        </w:rPr>
        <w:t>附件3-2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2.6</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2"/>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6.5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96.1</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759FC"/>
    <w:multiLevelType w:val="singleLevel"/>
    <w:tmpl w:val="B21759FC"/>
    <w:lvl w:ilvl="0" w:tentative="0">
      <w:start w:val="2"/>
      <w:numFmt w:val="chineseCounting"/>
      <w:suff w:val="nothing"/>
      <w:lvlText w:val="（%1）"/>
      <w:lvlJc w:val="left"/>
      <w:rPr>
        <w:rFonts w:hint="eastAsia"/>
      </w:rPr>
    </w:lvl>
  </w:abstractNum>
  <w:abstractNum w:abstractNumId="1">
    <w:nsid w:val="4836FEC1"/>
    <w:multiLevelType w:val="singleLevel"/>
    <w:tmpl w:val="4836FEC1"/>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07C38"/>
    <w:rsid w:val="02647F5C"/>
    <w:rsid w:val="183415ED"/>
    <w:rsid w:val="50FF6540"/>
    <w:rsid w:val="56037E09"/>
    <w:rsid w:val="59E42AF4"/>
    <w:rsid w:val="5E307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536</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2021-06-25T03:51:00Z</dcterms:created>
  <dc:creator>Administrator</dc:creator>
  <cp:lastModifiedBy>Administrator</cp:lastModifiedBy>
  <cp:lastPrinted>2021-06-30T08:06:00Z</cp:lastPrinted>
  <dcterms:modified xsi:type="dcterms:W3CDTF">2021-07-22T02:51:00Z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05C552CBE6E84B7D9B22D12ADE6BFF16</vt:lpwstr>
  </property>
</Properties>
</file>