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附件3-1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rPr>
        <w:t>岳阳</w:t>
      </w:r>
      <w:r>
        <w:rPr>
          <w:rFonts w:hint="eastAsia" w:eastAsia="方正小标宋简体"/>
          <w:bCs/>
          <w:sz w:val="46"/>
          <w:szCs w:val="46"/>
          <w:lang w:eastAsia="zh-CN"/>
        </w:rPr>
        <w:t>楼区</w:t>
      </w:r>
      <w:r>
        <w:rPr>
          <w:rFonts w:hint="eastAsia" w:eastAsia="方正小标宋简体"/>
          <w:bCs/>
          <w:sz w:val="46"/>
          <w:szCs w:val="46"/>
        </w:rPr>
        <w:t>20</w:t>
      </w:r>
      <w:r>
        <w:rPr>
          <w:rFonts w:hint="eastAsia" w:eastAsia="方正小标宋简体"/>
          <w:bCs/>
          <w:sz w:val="46"/>
          <w:szCs w:val="46"/>
          <w:u w:val="single"/>
          <w:lang w:val="en-US" w:eastAsia="zh-CN"/>
        </w:rPr>
        <w:t>19</w:t>
      </w:r>
      <w:r>
        <w:rPr>
          <w:rFonts w:hint="eastAsia" w:eastAsia="方正小标宋简体"/>
          <w:bCs/>
          <w:sz w:val="46"/>
          <w:szCs w:val="46"/>
        </w:rPr>
        <w:t>年度部门（单位）整体支出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156" w:beforeLines="50" w:line="348" w:lineRule="auto"/>
        <w:ind w:firstLine="476" w:firstLineChars="150"/>
        <w:rPr>
          <w:rFonts w:hint="default" w:eastAsia="仿宋_GB2312"/>
          <w:sz w:val="32"/>
          <w:szCs w:val="32"/>
          <w:u w:val="single"/>
          <w:lang w:val="en-US" w:eastAsia="zh-CN"/>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岳阳市岳阳楼区工伤保险服务中心</w:t>
      </w:r>
      <w:r>
        <w:rPr>
          <w:rFonts w:hint="eastAsia" w:eastAsia="仿宋_GB2312"/>
          <w:sz w:val="32"/>
          <w:szCs w:val="32"/>
          <w:u w:val="single"/>
          <w:lang w:val="en-US" w:eastAsia="zh-CN"/>
        </w:rPr>
        <w:t xml:space="preserve">    </w:t>
      </w:r>
    </w:p>
    <w:p>
      <w:pPr>
        <w:spacing w:before="156"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200008</w:t>
      </w:r>
      <w:r>
        <w:rPr>
          <w:rFonts w:hint="eastAsia" w:eastAsia="仿宋_GB2312"/>
          <w:spacing w:val="20"/>
          <w:sz w:val="32"/>
          <w:szCs w:val="32"/>
          <w:u w:val="single"/>
        </w:rPr>
        <w:t xml:space="preserve">                 </w:t>
      </w:r>
    </w:p>
    <w:p>
      <w:pPr>
        <w:spacing w:before="156"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156"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hint="eastAsia" w:eastAsia="仿宋_GB2312"/>
          <w:sz w:val="32"/>
        </w:rPr>
      </w:pPr>
    </w:p>
    <w:p>
      <w:pPr>
        <w:spacing w:line="348" w:lineRule="auto"/>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2020</w:t>
      </w:r>
      <w:r>
        <w:rPr>
          <w:rFonts w:hint="eastAsia" w:eastAsia="仿宋_GB2312"/>
          <w:sz w:val="32"/>
        </w:rPr>
        <w:t>年</w:t>
      </w:r>
      <w:r>
        <w:rPr>
          <w:rFonts w:hint="eastAsia" w:eastAsia="仿宋_GB2312"/>
          <w:sz w:val="32"/>
          <w:lang w:val="en-US" w:eastAsia="zh-CN"/>
        </w:rPr>
        <w:t>4</w:t>
      </w:r>
      <w:r>
        <w:rPr>
          <w:rFonts w:hint="eastAsia" w:eastAsia="仿宋_GB2312"/>
          <w:sz w:val="32"/>
        </w:rPr>
        <w:t>月</w:t>
      </w:r>
      <w:r>
        <w:rPr>
          <w:rFonts w:hint="eastAsia" w:eastAsia="仿宋_GB2312"/>
          <w:sz w:val="32"/>
          <w:lang w:val="en-US" w:eastAsia="zh-CN"/>
        </w:rPr>
        <w:t>10</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Borders>
            <w:top w:val="none" w:sz="0" w:space="0"/>
            <w:left w:val="none" w:sz="0" w:space="0"/>
            <w:bottom w:val="none" w:sz="0" w:space="0"/>
            <w:right w:val="none" w:sz="0" w:space="0"/>
          </w:pgBorders>
          <w:pgNumType w:start="1"/>
          <w:cols w:space="720" w:num="1"/>
          <w:docGrid w:type="linesAndChars" w:linePitch="602" w:charSpace="-782"/>
        </w:sectPr>
      </w:pPr>
      <w:r>
        <w:rPr>
          <w:rFonts w:hint="eastAsia" w:eastAsia="仿宋_GB2312"/>
          <w:sz w:val="32"/>
        </w:rPr>
        <w:t>岳阳</w:t>
      </w:r>
      <w:r>
        <w:rPr>
          <w:rFonts w:hint="eastAsia" w:eastAsia="仿宋_GB2312"/>
          <w:sz w:val="32"/>
          <w:lang w:eastAsia="zh-CN"/>
        </w:rPr>
        <w:t>楼区</w:t>
      </w:r>
      <w:r>
        <w:rPr>
          <w:rFonts w:hint="eastAsia" w:eastAsia="仿宋_GB2312"/>
          <w:sz w:val="32"/>
        </w:rPr>
        <w:t>财政</w:t>
      </w:r>
      <w:r>
        <w:rPr>
          <w:rFonts w:hint="eastAsia" w:eastAsia="仿宋_GB2312"/>
          <w:sz w:val="32"/>
          <w:szCs w:val="32"/>
        </w:rPr>
        <w:t>局（制）</w:t>
      </w:r>
    </w:p>
    <w:tbl>
      <w:tblPr>
        <w:tblStyle w:val="4"/>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196"/>
        <w:gridCol w:w="7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5" w:type="dxa"/>
            <w:bottom w:w="0" w:type="dxa"/>
            <w:right w:w="15" w:type="dxa"/>
          </w:tblCellMar>
        </w:tblPrEx>
        <w:trPr>
          <w:trHeight w:val="567" w:hRule="atLeast"/>
          <w:jc w:val="center"/>
        </w:trPr>
        <w:tc>
          <w:tcPr>
            <w:tcW w:w="9800" w:type="dxa"/>
            <w:gridSpan w:val="17"/>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陶燕辉</w:t>
            </w:r>
          </w:p>
        </w:tc>
        <w:tc>
          <w:tcPr>
            <w:tcW w:w="1479" w:type="dxa"/>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shd w:val="clear" w:color="auto" w:fill="FFFFFF" w:themeFill="background1"/>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13975094556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shd w:val="clear" w:color="auto" w:fill="FFFFFF" w:themeFill="background1"/>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w:t>
            </w:r>
          </w:p>
        </w:tc>
        <w:tc>
          <w:tcPr>
            <w:tcW w:w="1479" w:type="dxa"/>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职能职责概述</w:t>
            </w:r>
          </w:p>
        </w:tc>
        <w:tc>
          <w:tcPr>
            <w:tcW w:w="8146" w:type="dxa"/>
            <w:gridSpan w:val="15"/>
            <w:shd w:val="clear" w:color="auto" w:fill="FFFFFF" w:themeFill="background1"/>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lang w:val="en-US" w:eastAsia="zh-CN"/>
              </w:rPr>
              <w:t>1单位参加工伤保险业务。结合岳阳楼区各用工单位实际，办理工伤保险登</w:t>
            </w:r>
            <w:r>
              <w:rPr>
                <w:rFonts w:hint="eastAsia" w:ascii="仿宋" w:hAnsi="仿宋" w:eastAsia="仿宋" w:cs="仿宋"/>
                <w:sz w:val="24"/>
                <w:szCs w:val="24"/>
                <w:highlight w:val="none"/>
                <w:lang w:val="en-US" w:eastAsia="zh-CN"/>
              </w:rPr>
              <w:t>记进行系统账户管理与人员增减变动，并负责保存用人单位缴费和职工享受工伤保险待遇情况的记录，同时进行工伤保险参保情况的调查和统计。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2工伤预防宣传和安全教育培训工作。定期进行工伤保险参保宣传活动、普及工伤保险政策法规、组织辖区内各用工单位开展安全培训，做好工伤预防、工伤参保扩面。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3工伤事故现场勘察工作。接收事故报告、派员进入事故现场、详细了解情况、查询记录相关证据、整理书面资料。</w:t>
            </w:r>
          </w:p>
          <w:p>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 w:hAnsi="仿宋" w:eastAsia="仿宋" w:cs="仿宋"/>
                <w:sz w:val="24"/>
                <w:szCs w:val="24"/>
                <w:highlight w:val="none"/>
                <w:lang w:val="en-US" w:eastAsia="zh-CN"/>
              </w:rPr>
              <w:t>4处理工伤保险工作中的各种关系和纠纷并承接办理楼区人社局局机关、市工伤保险服务中心下放的各项工作任务。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年度主要</w:t>
            </w:r>
          </w:p>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工作内容</w:t>
            </w:r>
          </w:p>
        </w:tc>
        <w:tc>
          <w:tcPr>
            <w:tcW w:w="8146" w:type="dxa"/>
            <w:gridSpan w:val="15"/>
            <w:shd w:val="clear" w:color="auto" w:fill="FFFFFF" w:themeFill="background1"/>
            <w:noWrap w:val="0"/>
            <w:vAlign w:val="center"/>
          </w:tcPr>
          <w:p>
            <w:pPr>
              <w:numPr>
                <w:ilvl w:val="0"/>
                <w:numId w:val="0"/>
              </w:numPr>
              <w:ind w:firstLine="480" w:firstLineChars="200"/>
              <w:jc w:val="both"/>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任务1：</w:t>
            </w:r>
            <w:r>
              <w:rPr>
                <w:rFonts w:hint="eastAsia" w:ascii="楷体" w:hAnsi="楷体" w:eastAsia="楷体" w:cs="楷体"/>
                <w:b w:val="0"/>
                <w:bCs w:val="0"/>
                <w:sz w:val="24"/>
                <w:szCs w:val="24"/>
                <w:lang w:val="en-US" w:eastAsia="zh-CN"/>
              </w:rPr>
              <w:t>事故勘察职能的下沉。</w:t>
            </w:r>
            <w:r>
              <w:rPr>
                <w:rFonts w:hint="eastAsia" w:ascii="仿宋" w:hAnsi="仿宋" w:eastAsia="仿宋" w:cs="仿宋"/>
                <w:b w:val="0"/>
                <w:bCs w:val="0"/>
                <w:sz w:val="24"/>
                <w:szCs w:val="24"/>
                <w:lang w:val="en-US" w:eastAsia="zh-CN"/>
              </w:rPr>
              <w:t>自2019年8月1日以后，岳阳楼区财政拨款的机关事业单位和社区发生的工伤事故的勘察工作交由楼区工伤保险服务中心负责的委托书。已经完成事故勘察工作业务经流程的制作和业务的学习培训，采用3人负责制，在制度和思想上树起防线，杜绝虚假工伤申报，提高甄别能力。另外也召开了面向楼区机关事业单位和社区经办人员的培训班，实现了全覆盖、高参与、促实效的目标，提高了业务经办人办事效率。</w:t>
            </w:r>
          </w:p>
          <w:p>
            <w:pPr>
              <w:numPr>
                <w:ilvl w:val="0"/>
                <w:numId w:val="0"/>
              </w:numPr>
              <w:ind w:left="320" w:leftChars="0" w:firstLine="240" w:firstLineChars="100"/>
              <w:jc w:val="both"/>
              <w:rPr>
                <w:rFonts w:hint="eastAsia" w:ascii="仿宋" w:hAnsi="仿宋" w:eastAsia="仿宋" w:cs="仿宋"/>
                <w:b w:val="0"/>
                <w:bCs w:val="0"/>
                <w:sz w:val="24"/>
                <w:szCs w:val="24"/>
                <w:lang w:val="en-US" w:eastAsia="zh-CN"/>
              </w:rPr>
            </w:pPr>
            <w:r>
              <w:rPr>
                <w:rFonts w:hint="eastAsia" w:ascii="仿宋_GB2312" w:hAnsi="仿宋_GB2312" w:eastAsia="仿宋_GB2312" w:cs="仿宋_GB2312"/>
                <w:b w:val="0"/>
                <w:bCs w:val="0"/>
                <w:color w:val="000000"/>
                <w:sz w:val="24"/>
                <w:szCs w:val="24"/>
              </w:rPr>
              <w:t>任务2：</w:t>
            </w:r>
            <w:r>
              <w:rPr>
                <w:rFonts w:hint="eastAsia" w:ascii="楷体" w:hAnsi="楷体" w:eastAsia="楷体" w:cs="楷体"/>
                <w:b w:val="0"/>
                <w:bCs w:val="0"/>
                <w:sz w:val="24"/>
                <w:szCs w:val="24"/>
                <w:lang w:val="en-US" w:eastAsia="zh-CN"/>
              </w:rPr>
              <w:t>工伤业务经办途径多样。</w:t>
            </w:r>
            <w:r>
              <w:rPr>
                <w:rFonts w:hint="eastAsia" w:ascii="仿宋" w:hAnsi="仿宋" w:eastAsia="仿宋" w:cs="仿宋"/>
                <w:b w:val="0"/>
                <w:bCs w:val="0"/>
                <w:sz w:val="24"/>
                <w:szCs w:val="24"/>
                <w:lang w:val="en-US" w:eastAsia="zh-CN"/>
              </w:rPr>
              <w:t>以多种形式进行催缴：在公共业务平台</w:t>
            </w:r>
          </w:p>
          <w:p>
            <w:pPr>
              <w:numPr>
                <w:ilvl w:val="0"/>
                <w:numId w:val="0"/>
              </w:numPr>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和参保单位QQ群上发消息进行催缴、电话催缴、上门催缴等。分月、分工进行宣传督促，专人负责催缴，登记。</w:t>
            </w:r>
          </w:p>
          <w:p>
            <w:pPr>
              <w:numPr>
                <w:ilvl w:val="0"/>
                <w:numId w:val="0"/>
              </w:numPr>
              <w:ind w:firstLine="480" w:firstLineChars="20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b w:val="0"/>
                <w:bCs w:val="0"/>
                <w:color w:val="000000"/>
                <w:sz w:val="24"/>
                <w:szCs w:val="24"/>
              </w:rPr>
              <w:t>任务3：</w:t>
            </w:r>
            <w:r>
              <w:rPr>
                <w:rFonts w:hint="eastAsia" w:ascii="楷体" w:hAnsi="楷体" w:eastAsia="楷体" w:cs="楷体"/>
                <w:b w:val="0"/>
                <w:bCs w:val="0"/>
                <w:sz w:val="24"/>
                <w:szCs w:val="24"/>
                <w:lang w:val="en-US" w:eastAsia="zh-CN"/>
              </w:rPr>
              <w:t>工伤预防宣传方式创新。</w:t>
            </w:r>
          </w:p>
          <w:p>
            <w:pPr>
              <w:autoSpaceDN w:val="0"/>
              <w:spacing w:line="320" w:lineRule="exact"/>
              <w:jc w:val="left"/>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shd w:val="clear" w:color="auto" w:fill="FFFFFF" w:themeFill="background1"/>
            <w:noWrap w:val="0"/>
            <w:vAlign w:val="center"/>
          </w:tcPr>
          <w:p>
            <w:pPr>
              <w:autoSpaceDN w:val="0"/>
              <w:spacing w:line="320" w:lineRule="exact"/>
              <w:ind w:firstLine="480" w:firstLineChars="200"/>
              <w:jc w:val="left"/>
              <w:textAlignment w:val="center"/>
              <w:rPr>
                <w:rFonts w:hint="eastAsia" w:ascii="仿宋" w:hAnsi="仿宋" w:eastAsia="仿宋" w:cs="仿宋"/>
                <w:color w:val="000000"/>
                <w:sz w:val="24"/>
                <w:szCs w:val="24"/>
              </w:rPr>
            </w:pPr>
            <w:r>
              <w:rPr>
                <w:rFonts w:hint="eastAsia" w:ascii="仿宋" w:hAnsi="仿宋" w:eastAsia="仿宋" w:cs="仿宋"/>
                <w:b w:val="0"/>
                <w:bCs w:val="0"/>
                <w:sz w:val="24"/>
                <w:szCs w:val="24"/>
                <w:lang w:val="en-US" w:eastAsia="zh-CN"/>
              </w:rPr>
              <w:t>本年度继续加强宣传引导，普及工伤知识，除了日常的进社区、进公园、进广场的《工伤保险条例》、《社会保险法》等法规宣讲外，突出性的对工保参险必要性进行多样化的宣传。今年我中心共开展了</w:t>
            </w:r>
            <w:r>
              <w:rPr>
                <w:rFonts w:hint="eastAsia" w:ascii="仿宋" w:hAnsi="仿宋" w:eastAsia="仿宋" w:cs="仿宋"/>
                <w:sz w:val="24"/>
                <w:szCs w:val="24"/>
                <w:lang w:val="en-US" w:eastAsia="zh-CN"/>
              </w:rPr>
              <w:t>以“春风行动送岗位，工伤保险伴我行”、</w:t>
            </w:r>
            <w:r>
              <w:rPr>
                <w:rFonts w:hint="eastAsia" w:ascii="仿宋" w:hAnsi="仿宋" w:eastAsia="仿宋" w:cs="仿宋"/>
                <w:b w:val="0"/>
                <w:bCs w:val="0"/>
                <w:sz w:val="24"/>
                <w:szCs w:val="24"/>
                <w:lang w:val="en-US" w:eastAsia="zh-CN"/>
              </w:rPr>
              <w:t>“工伤保险进社区暨安全社区试点建设”为主题的工伤保险集中宣传活动；积极响应局党组号召</w:t>
            </w:r>
            <w:r>
              <w:rPr>
                <w:rFonts w:hint="eastAsia" w:ascii="仿宋" w:hAnsi="仿宋" w:eastAsia="仿宋" w:cs="仿宋"/>
                <w:sz w:val="24"/>
                <w:szCs w:val="24"/>
                <w:lang w:val="en-US" w:eastAsia="zh-CN"/>
              </w:rPr>
              <w:t>，参与了“12333全国统一咨询日”、“健康岳阳、职业健康同行”与“扫黑除恶专项斗争”等特色型活动。</w:t>
            </w:r>
            <w:r>
              <w:rPr>
                <w:rFonts w:hint="eastAsia" w:ascii="仿宋" w:hAnsi="仿宋" w:eastAsia="仿宋" w:cs="仿宋"/>
                <w:b w:val="0"/>
                <w:bCs w:val="0"/>
                <w:sz w:val="24"/>
                <w:szCs w:val="24"/>
                <w:lang w:val="en-US" w:eastAsia="zh-CN"/>
              </w:rPr>
              <w:t>同时，我们也创新性的采用“工伤保险走进扶贫车间”、“工伤培训班”等方式，真正达到传播力和有效性相结合、政策突出点与公众关注点相结合的宣传效果。</w:t>
            </w:r>
          </w:p>
          <w:p>
            <w:pPr>
              <w:autoSpaceDN w:val="0"/>
              <w:spacing w:line="320" w:lineRule="exact"/>
              <w:ind w:firstLine="480" w:firstLineChars="200"/>
              <w:jc w:val="left"/>
              <w:textAlignment w:val="center"/>
              <w:rPr>
                <w:rFonts w:hint="eastAsia" w:ascii="仿宋" w:hAnsi="仿宋" w:eastAsia="仿宋" w:cs="仿宋"/>
                <w:color w:val="000000"/>
                <w:sz w:val="24"/>
                <w:szCs w:val="24"/>
              </w:rPr>
            </w:pPr>
            <w:r>
              <w:rPr>
                <w:rFonts w:hint="eastAsia" w:ascii="仿宋" w:hAnsi="仿宋" w:eastAsia="仿宋" w:cs="仿宋"/>
                <w:b w:val="0"/>
                <w:bCs w:val="0"/>
                <w:sz w:val="24"/>
                <w:szCs w:val="24"/>
                <w:lang w:val="en-US" w:eastAsia="zh-CN"/>
              </w:rPr>
              <w:t>已收缴工伤保险基金1419.41万元，相较去年同比增长8%；累计参保单位1119家；累计参保人数达到4.33万人,超额完成任务；本年度新增参保单位达到290家；新增人数14290人次。超额完成全年工作任务。</w:t>
            </w:r>
          </w:p>
          <w:p>
            <w:pPr>
              <w:numPr>
                <w:ilvl w:val="0"/>
                <w:numId w:val="0"/>
              </w:numPr>
              <w:ind w:firstLine="640" w:firstLineChars="200"/>
              <w:jc w:val="both"/>
              <w:rPr>
                <w:rFonts w:hint="eastAsia" w:ascii="仿宋" w:hAnsi="仿宋" w:eastAsia="仿宋" w:cs="仿宋"/>
                <w:b w:val="0"/>
                <w:bCs w:val="0"/>
                <w:sz w:val="32"/>
                <w:szCs w:val="32"/>
                <w:lang w:val="en-US" w:eastAsia="zh-CN"/>
              </w:rPr>
            </w:pP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shd w:val="clear" w:color="auto" w:fill="FFFFFF" w:themeFill="background1"/>
            <w:noWrap w:val="0"/>
            <w:vAlign w:val="center"/>
          </w:tcPr>
          <w:p>
            <w:pPr>
              <w:keepNext w:val="0"/>
              <w:keepLines w:val="0"/>
              <w:widowControl/>
              <w:suppressLineNumbers w:val="0"/>
              <w:jc w:val="left"/>
              <w:textAlignment w:val="center"/>
              <w:rPr>
                <w:rFonts w:hint="default" w:ascii="Arial" w:hAnsi="Arial" w:cs="Arial"/>
                <w:i w:val="0"/>
                <w:color w:val="000000"/>
                <w:kern w:val="2"/>
                <w:sz w:val="20"/>
                <w:szCs w:val="20"/>
                <w:u w:val="none"/>
                <w:lang w:val="en-US" w:eastAsia="zh-CN" w:bidi="ar-SA"/>
              </w:rPr>
            </w:pPr>
          </w:p>
        </w:tc>
        <w:tc>
          <w:tcPr>
            <w:tcW w:w="1355" w:type="dxa"/>
            <w:gridSpan w:val="2"/>
            <w:tcBorders>
              <w:left w:val="single" w:color="auto" w:sz="4" w:space="0"/>
            </w:tcBorders>
            <w:shd w:val="clear" w:color="auto" w:fill="FFFFFF" w:themeFill="background1"/>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shd w:val="clear" w:color="auto" w:fill="FFFFFF" w:themeFill="background1"/>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shd w:val="clear" w:color="auto" w:fill="FFFFFF" w:themeFill="background1"/>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shd w:val="clear" w:color="auto" w:fill="FFFFFF" w:themeFill="background1"/>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shd w:val="clear" w:color="auto" w:fill="FFFFFF" w:themeFill="background1"/>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shd w:val="clear" w:color="auto" w:fill="FFFFFF" w:themeFill="background1"/>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shd w:val="clear" w:color="auto" w:fill="FFFFFF" w:themeFill="background1"/>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shd w:val="clear" w:color="auto" w:fill="FFFFFF" w:themeFill="background1"/>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shd w:val="clear" w:color="auto" w:fill="FFFFFF" w:themeFill="background1"/>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shd w:val="clear" w:color="auto" w:fill="FFFFFF" w:themeFill="background1"/>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72" w:hRule="atLeast"/>
          <w:jc w:val="center"/>
        </w:trPr>
        <w:tc>
          <w:tcPr>
            <w:tcW w:w="1700" w:type="dxa"/>
            <w:gridSpan w:val="3"/>
            <w:shd w:val="clear" w:color="auto" w:fill="FFFFFF" w:themeFill="background1"/>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shd w:val="clear" w:color="auto" w:fill="FFFFFF" w:themeFill="background1"/>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172.54</w:t>
            </w:r>
            <w:bookmarkStart w:id="0" w:name="_GoBack"/>
            <w:bookmarkEnd w:id="0"/>
          </w:p>
        </w:tc>
        <w:tc>
          <w:tcPr>
            <w:tcW w:w="1355" w:type="dxa"/>
            <w:gridSpan w:val="2"/>
            <w:tcBorders>
              <w:left w:val="single" w:color="auto" w:sz="4" w:space="0"/>
            </w:tcBorders>
            <w:shd w:val="clear" w:color="auto" w:fill="FFFFFF" w:themeFill="background1"/>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shd w:val="clear" w:color="auto" w:fill="FFFFFF" w:themeFill="background1"/>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172.54</w:t>
            </w:r>
          </w:p>
        </w:tc>
        <w:tc>
          <w:tcPr>
            <w:tcW w:w="1705" w:type="dxa"/>
            <w:gridSpan w:val="2"/>
            <w:shd w:val="clear" w:color="auto" w:fill="FFFFFF" w:themeFill="background1"/>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shd w:val="clear" w:color="auto" w:fill="FFFFFF" w:themeFill="background1"/>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shd w:val="clear" w:color="auto" w:fill="FFFFFF" w:themeFill="background1"/>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shd w:val="clear" w:color="auto" w:fill="FFFFFF" w:themeFill="background1"/>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shd w:val="clear" w:color="auto" w:fill="FFFFFF" w:themeFill="background1"/>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shd w:val="clear" w:color="auto" w:fill="FFFFFF" w:themeFill="background1"/>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shd w:val="clear" w:color="auto" w:fill="FFFFFF" w:themeFill="background1"/>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shd w:val="clear" w:color="auto" w:fill="FFFFFF" w:themeFill="background1"/>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shd w:val="clear" w:color="auto" w:fill="FFFFFF" w:themeFill="background1"/>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shd w:val="clear" w:color="auto" w:fill="FFFFFF" w:themeFill="background1"/>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600" w:type="dxa"/>
            <w:gridSpan w:val="3"/>
            <w:vMerge w:val="restart"/>
            <w:tcBorders>
              <w:top w:val="single" w:color="auto" w:sz="4" w:space="0"/>
              <w:left w:val="single" w:color="auto" w:sz="4" w:space="0"/>
              <w:right w:val="single" w:color="auto" w:sz="4" w:space="0"/>
            </w:tcBorders>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745" w:type="dxa"/>
            <w:vMerge w:val="restart"/>
            <w:tcBorders>
              <w:top w:val="single" w:color="auto" w:sz="4" w:space="0"/>
              <w:left w:val="single" w:color="auto" w:sz="4" w:space="0"/>
            </w:tcBorders>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shd w:val="clear" w:color="auto" w:fill="FFFFFF" w:themeFill="background1"/>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00" w:type="dxa"/>
            <w:gridSpan w:val="3"/>
            <w:vMerge w:val="continue"/>
            <w:tcBorders>
              <w:left w:val="single" w:color="auto" w:sz="4" w:space="0"/>
              <w:right w:val="single" w:color="auto" w:sz="4" w:space="0"/>
            </w:tcBorders>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45" w:type="dxa"/>
            <w:vMerge w:val="continue"/>
            <w:tcBorders>
              <w:left w:val="single" w:color="auto" w:sz="4" w:space="0"/>
            </w:tcBorders>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shd w:val="clear" w:color="auto" w:fill="FFFFFF" w:themeFill="background1"/>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00" w:type="dxa"/>
            <w:gridSpan w:val="3"/>
            <w:tcBorders>
              <w:right w:val="single" w:color="auto" w:sz="4" w:space="0"/>
            </w:tcBorders>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45" w:type="dxa"/>
            <w:tcBorders>
              <w:left w:val="single" w:color="auto" w:sz="4" w:space="0"/>
            </w:tcBorders>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shd w:val="clear" w:color="auto" w:fill="FFFFFF" w:themeFill="background1"/>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00" w:type="dxa"/>
            <w:gridSpan w:val="3"/>
            <w:tcBorders>
              <w:right w:val="single" w:color="auto" w:sz="4" w:space="0"/>
            </w:tcBorders>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45" w:type="dxa"/>
            <w:tcBorders>
              <w:left w:val="single" w:color="auto" w:sz="4" w:space="0"/>
            </w:tcBorders>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shd w:val="clear" w:color="auto" w:fill="FFFFFF" w:themeFill="background1"/>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shd w:val="clear" w:color="auto" w:fill="FFFFFF" w:themeFill="background1"/>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172.54</w:t>
            </w:r>
          </w:p>
        </w:tc>
        <w:tc>
          <w:tcPr>
            <w:tcW w:w="1355" w:type="dxa"/>
            <w:gridSpan w:val="2"/>
            <w:tcBorders>
              <w:left w:val="single" w:color="auto" w:sz="4" w:space="0"/>
            </w:tcBorders>
            <w:shd w:val="clear" w:color="auto" w:fill="FFFFFF" w:themeFill="background1"/>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133.94</w:t>
            </w:r>
          </w:p>
        </w:tc>
        <w:tc>
          <w:tcPr>
            <w:tcW w:w="1080" w:type="dxa"/>
            <w:gridSpan w:val="2"/>
            <w:shd w:val="clear" w:color="auto" w:fill="FFFFFF" w:themeFill="background1"/>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83.66</w:t>
            </w:r>
          </w:p>
        </w:tc>
        <w:tc>
          <w:tcPr>
            <w:tcW w:w="2160" w:type="dxa"/>
            <w:gridSpan w:val="4"/>
            <w:shd w:val="clear" w:color="auto" w:fill="FFFFFF" w:themeFill="background1"/>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50.28</w:t>
            </w:r>
          </w:p>
        </w:tc>
        <w:tc>
          <w:tcPr>
            <w:tcW w:w="1080" w:type="dxa"/>
            <w:shd w:val="clear" w:color="auto" w:fill="FFFFFF" w:themeFill="background1"/>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600" w:type="dxa"/>
            <w:gridSpan w:val="3"/>
            <w:tcBorders>
              <w:right w:val="single" w:color="auto" w:sz="4" w:space="0"/>
            </w:tcBorders>
            <w:shd w:val="clear" w:color="auto" w:fill="FFFFFF" w:themeFill="background1"/>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38.6</w:t>
            </w:r>
          </w:p>
        </w:tc>
        <w:tc>
          <w:tcPr>
            <w:tcW w:w="745" w:type="dxa"/>
            <w:tcBorders>
              <w:left w:val="single" w:color="auto" w:sz="4" w:space="0"/>
            </w:tcBorders>
            <w:shd w:val="clear" w:color="auto" w:fill="FFFFFF" w:themeFill="background1"/>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shd w:val="clear" w:color="auto" w:fill="FFFFFF" w:themeFill="background1"/>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00" w:type="dxa"/>
            <w:gridSpan w:val="3"/>
            <w:tcBorders>
              <w:right w:val="single" w:color="auto" w:sz="4" w:space="0"/>
            </w:tcBorders>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45" w:type="dxa"/>
            <w:tcBorders>
              <w:left w:val="single" w:color="auto" w:sz="4" w:space="0"/>
            </w:tcBorders>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shd w:val="clear" w:color="auto" w:fill="FFFFFF" w:themeFill="background1"/>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shd w:val="clear" w:color="auto" w:fill="FFFFFF" w:themeFill="background1"/>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shd w:val="clear" w:color="auto" w:fill="FFFFFF" w:themeFill="background1"/>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shd w:val="clear" w:color="auto" w:fill="FFFFFF" w:themeFill="background1"/>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shd w:val="clear" w:color="auto" w:fill="FFFFFF" w:themeFill="background1"/>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shd w:val="clear" w:color="auto" w:fill="FFFFFF" w:themeFill="background1"/>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0.83</w:t>
            </w:r>
          </w:p>
        </w:tc>
        <w:tc>
          <w:tcPr>
            <w:tcW w:w="1355" w:type="dxa"/>
            <w:gridSpan w:val="2"/>
            <w:tcBorders>
              <w:left w:val="single" w:color="auto" w:sz="4" w:space="0"/>
            </w:tcBorders>
            <w:shd w:val="clear" w:color="auto" w:fill="FFFFFF" w:themeFill="background1"/>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0.83</w:t>
            </w:r>
          </w:p>
        </w:tc>
        <w:tc>
          <w:tcPr>
            <w:tcW w:w="1080" w:type="dxa"/>
            <w:gridSpan w:val="2"/>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shd w:val="clear" w:color="auto" w:fill="FFFFFF" w:themeFill="background1"/>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shd w:val="clear" w:color="auto" w:fill="FFFFFF" w:themeFill="background1"/>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shd w:val="clear" w:color="auto" w:fill="FFFFFF" w:themeFill="background1"/>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shd w:val="clear" w:color="auto" w:fill="FFFFFF" w:themeFill="background1"/>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shd w:val="clear" w:color="auto" w:fill="FFFFFF" w:themeFill="background1"/>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shd w:val="clear" w:color="auto" w:fill="FFFFFF" w:themeFill="background1"/>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shd w:val="clear" w:color="auto" w:fill="FFFFFF" w:themeFill="background1"/>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8.94</w:t>
            </w:r>
          </w:p>
        </w:tc>
        <w:tc>
          <w:tcPr>
            <w:tcW w:w="2435" w:type="dxa"/>
            <w:gridSpan w:val="4"/>
            <w:tcBorders>
              <w:left w:val="single" w:color="auto" w:sz="4" w:space="0"/>
            </w:tcBorders>
            <w:shd w:val="clear" w:color="auto" w:fill="FFFFFF" w:themeFill="background1"/>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8.94</w:t>
            </w:r>
          </w:p>
        </w:tc>
        <w:tc>
          <w:tcPr>
            <w:tcW w:w="3644" w:type="dxa"/>
            <w:gridSpan w:val="7"/>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shd w:val="clear" w:color="auto" w:fill="FFFFFF" w:themeFill="background1"/>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shd w:val="clear" w:color="auto" w:fill="FFFFFF" w:themeFill="background1"/>
            <w:noWrap w:val="0"/>
            <w:vAlign w:val="center"/>
          </w:tcPr>
          <w:p>
            <w:pPr>
              <w:spacing w:line="320" w:lineRule="exact"/>
              <w:rPr>
                <w:rFonts w:hint="eastAsia" w:ascii="仿宋_GB2312" w:hAnsi="仿宋_GB2312" w:eastAsia="仿宋_GB2312" w:cs="仿宋_GB2312"/>
                <w:sz w:val="24"/>
              </w:rPr>
            </w:pPr>
          </w:p>
        </w:tc>
        <w:tc>
          <w:tcPr>
            <w:tcW w:w="3774" w:type="dxa"/>
            <w:gridSpan w:val="7"/>
            <w:shd w:val="clear" w:color="auto" w:fill="FFFFFF" w:themeFill="background1"/>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目标1：基金征缴1000万</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目标2：新增参保人数4500人</w:t>
            </w:r>
          </w:p>
          <w:p>
            <w:pPr>
              <w:autoSpaceDN w:val="0"/>
              <w:spacing w:line="400" w:lineRule="exact"/>
              <w:jc w:val="left"/>
              <w:textAlignment w:val="center"/>
              <w:rPr>
                <w:rFonts w:hint="eastAsia" w:ascii="仿宋_GB2312" w:hAnsi="仿宋_GB2312" w:eastAsia="仿宋_GB2312" w:cs="仿宋_GB2312"/>
                <w:color w:val="000000"/>
                <w:sz w:val="24"/>
              </w:rPr>
            </w:pPr>
          </w:p>
        </w:tc>
        <w:tc>
          <w:tcPr>
            <w:tcW w:w="4585" w:type="dxa"/>
            <w:gridSpan w:val="9"/>
            <w:shd w:val="clear" w:color="auto" w:fill="FFFFFF" w:themeFill="background1"/>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各</w:t>
            </w:r>
            <w:r>
              <w:rPr>
                <w:rFonts w:hint="eastAsia" w:ascii="仿宋_GB2312" w:hAnsi="仿宋_GB2312" w:eastAsia="仿宋_GB2312" w:cs="仿宋_GB2312"/>
                <w:color w:val="000000"/>
                <w:sz w:val="24"/>
              </w:rPr>
              <w:t>项工作均已完成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shd w:val="clear" w:color="auto" w:fill="FFFFFF" w:themeFill="background1"/>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区</w:t>
            </w:r>
            <w:r>
              <w:rPr>
                <w:rFonts w:hint="eastAsia" w:ascii="仿宋_GB2312" w:hAnsi="仿宋_GB2312" w:eastAsia="仿宋_GB2312" w:cs="仿宋_GB2312"/>
                <w:color w:val="000000"/>
                <w:sz w:val="24"/>
              </w:rPr>
              <w:t>委</w:t>
            </w:r>
            <w:r>
              <w:rPr>
                <w:rFonts w:hint="eastAsia" w:ascii="仿宋_GB2312" w:hAnsi="仿宋_GB2312" w:eastAsia="仿宋_GB2312" w:cs="仿宋_GB2312"/>
                <w:color w:val="000000"/>
                <w:sz w:val="24"/>
                <w:lang w:eastAsia="zh-CN"/>
              </w:rPr>
              <w:t>区</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shd w:val="clear" w:color="auto" w:fill="FFFFFF" w:themeFill="background1"/>
            <w:noWrap w:val="0"/>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工伤系统软件正常运行</w:t>
            </w:r>
          </w:p>
        </w:tc>
        <w:tc>
          <w:tcPr>
            <w:tcW w:w="2684" w:type="dxa"/>
            <w:gridSpan w:val="6"/>
            <w:shd w:val="clear" w:color="auto" w:fill="FFFFFF" w:themeFill="background1"/>
            <w:noWrap w:val="0"/>
            <w:vAlign w:val="center"/>
          </w:tcPr>
          <w:p>
            <w:pPr>
              <w:autoSpaceDN w:val="0"/>
              <w:spacing w:line="320" w:lineRule="exact"/>
              <w:jc w:val="center"/>
              <w:textAlignment w:val="center"/>
              <w:rPr>
                <w:rFonts w:hint="eastAsia" w:ascii="仿宋" w:hAnsi="仿宋" w:eastAsia="仿宋" w:cs="仿宋"/>
                <w:b w:val="0"/>
                <w:bCs w:val="0"/>
                <w:color w:val="000000"/>
                <w:sz w:val="24"/>
              </w:rPr>
            </w:pPr>
            <w:r>
              <w:rPr>
                <w:rFonts w:hint="eastAsia" w:ascii="仿宋" w:hAnsi="仿宋" w:eastAsia="仿宋" w:cs="仿宋"/>
                <w:b w:val="0"/>
                <w:bCs w:val="0"/>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shd w:val="clear" w:color="auto" w:fill="FFFFFF" w:themeFill="background1"/>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shd w:val="clear" w:color="auto" w:fill="FFFFFF" w:themeFill="background1"/>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shd w:val="clear" w:color="auto" w:fill="FFFFFF" w:themeFill="background1"/>
            <w:noWrap w:val="0"/>
            <w:vAlign w:val="center"/>
          </w:tcPr>
          <w:p>
            <w:pPr>
              <w:spacing w:line="320" w:lineRule="exact"/>
              <w:rPr>
                <w:rFonts w:hint="eastAsia" w:ascii="仿宋_GB2312" w:hAnsi="仿宋_GB2312" w:eastAsia="仿宋_GB2312" w:cs="仿宋_GB2312"/>
                <w:sz w:val="24"/>
              </w:rPr>
            </w:pPr>
          </w:p>
        </w:tc>
        <w:tc>
          <w:tcPr>
            <w:tcW w:w="2709" w:type="dxa"/>
            <w:gridSpan w:val="4"/>
            <w:shd w:val="clear" w:color="auto" w:fill="FFFFFF" w:themeFill="background1"/>
            <w:noWrap w:val="0"/>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指标2：</w:t>
            </w:r>
          </w:p>
        </w:tc>
        <w:tc>
          <w:tcPr>
            <w:tcW w:w="2684" w:type="dxa"/>
            <w:gridSpan w:val="6"/>
            <w:shd w:val="clear" w:color="auto" w:fill="FFFFFF" w:themeFill="background1"/>
            <w:noWrap w:val="0"/>
            <w:vAlign w:val="center"/>
          </w:tcPr>
          <w:p>
            <w:pPr>
              <w:autoSpaceDN w:val="0"/>
              <w:spacing w:line="320" w:lineRule="exact"/>
              <w:jc w:val="center"/>
              <w:textAlignment w:val="center"/>
              <w:rPr>
                <w:rFonts w:hint="eastAsia" w:ascii="仿宋" w:hAnsi="仿宋" w:eastAsia="仿宋" w:cs="仿宋"/>
                <w:b w:val="0"/>
                <w:bCs w:val="0"/>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shd w:val="clear" w:color="auto" w:fill="FFFFFF" w:themeFill="background1"/>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shd w:val="clear" w:color="auto" w:fill="FFFFFF" w:themeFill="background1"/>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shd w:val="clear" w:color="auto" w:fill="FFFFFF" w:themeFill="background1"/>
            <w:noWrap w:val="0"/>
            <w:vAlign w:val="center"/>
          </w:tcPr>
          <w:p>
            <w:pPr>
              <w:spacing w:line="320" w:lineRule="exact"/>
              <w:rPr>
                <w:rFonts w:hint="eastAsia" w:ascii="仿宋_GB2312" w:hAnsi="仿宋_GB2312" w:eastAsia="仿宋_GB2312" w:cs="仿宋_GB2312"/>
                <w:sz w:val="24"/>
              </w:rPr>
            </w:pPr>
          </w:p>
        </w:tc>
        <w:tc>
          <w:tcPr>
            <w:tcW w:w="2709" w:type="dxa"/>
            <w:gridSpan w:val="4"/>
            <w:shd w:val="clear" w:color="auto" w:fill="FFFFFF" w:themeFill="background1"/>
            <w:noWrap w:val="0"/>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w:t>
            </w:r>
          </w:p>
        </w:tc>
        <w:tc>
          <w:tcPr>
            <w:tcW w:w="2684" w:type="dxa"/>
            <w:gridSpan w:val="6"/>
            <w:shd w:val="clear" w:color="auto" w:fill="FFFFFF" w:themeFill="background1"/>
            <w:noWrap w:val="0"/>
            <w:vAlign w:val="center"/>
          </w:tcPr>
          <w:p>
            <w:pPr>
              <w:autoSpaceDN w:val="0"/>
              <w:spacing w:line="320" w:lineRule="exact"/>
              <w:jc w:val="center"/>
              <w:textAlignment w:val="center"/>
              <w:rPr>
                <w:rFonts w:hint="eastAsia" w:ascii="仿宋" w:hAnsi="仿宋" w:eastAsia="仿宋" w:cs="仿宋"/>
                <w:b w:val="0"/>
                <w:bCs w:val="0"/>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shd w:val="clear" w:color="auto" w:fill="FFFFFF" w:themeFill="background1"/>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shd w:val="clear" w:color="auto" w:fill="FFFFFF" w:themeFill="background1"/>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shd w:val="clear" w:color="auto" w:fill="FFFFFF" w:themeFill="background1"/>
            <w:noWrap w:val="0"/>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基金征缴</w:t>
            </w:r>
            <w:r>
              <w:rPr>
                <w:rFonts w:hint="eastAsia" w:ascii="仿宋" w:hAnsi="仿宋" w:eastAsia="仿宋" w:cs="仿宋"/>
                <w:b w:val="0"/>
                <w:bCs w:val="0"/>
                <w:color w:val="000000"/>
                <w:sz w:val="24"/>
                <w:szCs w:val="24"/>
                <w:lang w:val="en-US" w:eastAsia="zh-CN"/>
              </w:rPr>
              <w:t>1000</w:t>
            </w:r>
            <w:r>
              <w:rPr>
                <w:rFonts w:hint="eastAsia" w:ascii="仿宋" w:hAnsi="仿宋" w:eastAsia="仿宋" w:cs="仿宋"/>
                <w:b w:val="0"/>
                <w:bCs w:val="0"/>
                <w:color w:val="000000"/>
                <w:sz w:val="24"/>
                <w:szCs w:val="24"/>
              </w:rPr>
              <w:t>万元</w:t>
            </w:r>
          </w:p>
        </w:tc>
        <w:tc>
          <w:tcPr>
            <w:tcW w:w="2684" w:type="dxa"/>
            <w:gridSpan w:val="6"/>
            <w:shd w:val="clear" w:color="auto" w:fill="FFFFFF" w:themeFill="background1"/>
            <w:noWrap w:val="0"/>
            <w:vAlign w:val="center"/>
          </w:tcPr>
          <w:p>
            <w:pPr>
              <w:autoSpaceDN w:val="0"/>
              <w:spacing w:line="320" w:lineRule="exact"/>
              <w:jc w:val="center"/>
              <w:textAlignment w:val="center"/>
              <w:rPr>
                <w:rFonts w:hint="eastAsia" w:ascii="仿宋" w:hAnsi="仿宋" w:eastAsia="仿宋" w:cs="仿宋"/>
                <w:b w:val="0"/>
                <w:bCs w:val="0"/>
                <w:color w:val="000000"/>
                <w:sz w:val="24"/>
              </w:rPr>
            </w:pPr>
            <w:r>
              <w:rPr>
                <w:rFonts w:hint="eastAsia" w:ascii="仿宋" w:hAnsi="仿宋" w:eastAsia="仿宋" w:cs="仿宋"/>
                <w:b w:val="0"/>
                <w:bCs w:val="0"/>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shd w:val="clear" w:color="auto" w:fill="FFFFFF" w:themeFill="background1"/>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shd w:val="clear" w:color="auto" w:fill="FFFFFF" w:themeFill="background1"/>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shd w:val="clear" w:color="auto" w:fill="FFFFFF" w:themeFill="background1"/>
            <w:noWrap w:val="0"/>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新增参保人数4500人</w:t>
            </w:r>
          </w:p>
        </w:tc>
        <w:tc>
          <w:tcPr>
            <w:tcW w:w="2684" w:type="dxa"/>
            <w:gridSpan w:val="6"/>
            <w:shd w:val="clear" w:color="auto" w:fill="FFFFFF" w:themeFill="background1"/>
            <w:noWrap w:val="0"/>
            <w:vAlign w:val="center"/>
          </w:tcPr>
          <w:p>
            <w:pPr>
              <w:autoSpaceDN w:val="0"/>
              <w:spacing w:line="320" w:lineRule="exact"/>
              <w:jc w:val="center"/>
              <w:textAlignment w:val="center"/>
              <w:rPr>
                <w:rFonts w:hint="eastAsia" w:ascii="仿宋" w:hAnsi="仿宋" w:eastAsia="仿宋" w:cs="仿宋"/>
                <w:b w:val="0"/>
                <w:bCs w:val="0"/>
                <w:color w:val="000000"/>
                <w:sz w:val="24"/>
              </w:rPr>
            </w:pPr>
            <w:r>
              <w:rPr>
                <w:rFonts w:hint="eastAsia" w:ascii="仿宋" w:hAnsi="仿宋" w:eastAsia="仿宋" w:cs="仿宋"/>
                <w:b w:val="0"/>
                <w:bCs w:val="0"/>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shd w:val="clear" w:color="auto" w:fill="FFFFFF" w:themeFill="background1"/>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shd w:val="clear" w:color="auto" w:fill="FFFFFF" w:themeFill="background1"/>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shd w:val="clear" w:color="auto" w:fill="FFFFFF" w:themeFill="background1"/>
            <w:noWrap w:val="0"/>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w:t>
            </w:r>
          </w:p>
        </w:tc>
        <w:tc>
          <w:tcPr>
            <w:tcW w:w="2684" w:type="dxa"/>
            <w:gridSpan w:val="6"/>
            <w:shd w:val="clear" w:color="auto" w:fill="FFFFFF" w:themeFill="background1"/>
            <w:noWrap w:val="0"/>
            <w:vAlign w:val="center"/>
          </w:tcPr>
          <w:p>
            <w:pPr>
              <w:autoSpaceDN w:val="0"/>
              <w:spacing w:line="320" w:lineRule="exact"/>
              <w:jc w:val="center"/>
              <w:textAlignment w:val="center"/>
              <w:rPr>
                <w:rFonts w:hint="eastAsia" w:ascii="仿宋" w:hAnsi="仿宋" w:eastAsia="仿宋" w:cs="仿宋"/>
                <w:b w:val="0"/>
                <w:bCs w:val="0"/>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shd w:val="clear" w:color="auto" w:fill="FFFFFF" w:themeFill="background1"/>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shd w:val="clear" w:color="auto" w:fill="FFFFFF" w:themeFill="background1"/>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shd w:val="clear" w:color="auto" w:fill="FFFFFF" w:themeFill="background1"/>
            <w:noWrap w:val="0"/>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kern w:val="0"/>
                <w:sz w:val="24"/>
                <w:szCs w:val="24"/>
              </w:rPr>
              <w:t>全年用工单位</w:t>
            </w:r>
            <w:r>
              <w:rPr>
                <w:rFonts w:hint="eastAsia" w:ascii="仿宋" w:hAnsi="仿宋" w:eastAsia="仿宋" w:cs="仿宋"/>
                <w:b w:val="0"/>
                <w:bCs w:val="0"/>
                <w:kern w:val="0"/>
                <w:sz w:val="24"/>
                <w:szCs w:val="24"/>
                <w:lang w:eastAsia="zh-CN"/>
              </w:rPr>
              <w:t>日常征缴工作</w:t>
            </w:r>
          </w:p>
        </w:tc>
        <w:tc>
          <w:tcPr>
            <w:tcW w:w="2684" w:type="dxa"/>
            <w:gridSpan w:val="6"/>
            <w:shd w:val="clear" w:color="auto" w:fill="FFFFFF" w:themeFill="background1"/>
            <w:noWrap w:val="0"/>
            <w:vAlign w:val="center"/>
          </w:tcPr>
          <w:p>
            <w:pPr>
              <w:autoSpaceDN w:val="0"/>
              <w:spacing w:line="320" w:lineRule="exact"/>
              <w:jc w:val="center"/>
              <w:textAlignment w:val="center"/>
              <w:rPr>
                <w:rFonts w:hint="eastAsia" w:ascii="仿宋" w:hAnsi="仿宋" w:eastAsia="仿宋" w:cs="仿宋"/>
                <w:b w:val="0"/>
                <w:bCs w:val="0"/>
                <w:color w:val="000000"/>
                <w:sz w:val="24"/>
              </w:rPr>
            </w:pPr>
            <w:r>
              <w:rPr>
                <w:rFonts w:hint="eastAsia" w:ascii="仿宋" w:hAnsi="仿宋" w:eastAsia="仿宋" w:cs="仿宋"/>
                <w:b w:val="0"/>
                <w:bCs w:val="0"/>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shd w:val="clear" w:color="auto" w:fill="FFFFFF" w:themeFill="background1"/>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shd w:val="clear" w:color="auto" w:fill="FFFFFF" w:themeFill="background1"/>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shd w:val="clear" w:color="auto" w:fill="FFFFFF" w:themeFill="background1"/>
            <w:noWrap w:val="0"/>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指标2：</w:t>
            </w:r>
          </w:p>
        </w:tc>
        <w:tc>
          <w:tcPr>
            <w:tcW w:w="2684" w:type="dxa"/>
            <w:gridSpan w:val="6"/>
            <w:shd w:val="clear" w:color="auto" w:fill="FFFFFF" w:themeFill="background1"/>
            <w:noWrap w:val="0"/>
            <w:vAlign w:val="center"/>
          </w:tcPr>
          <w:p>
            <w:pPr>
              <w:autoSpaceDN w:val="0"/>
              <w:spacing w:line="320" w:lineRule="exact"/>
              <w:jc w:val="center"/>
              <w:textAlignment w:val="center"/>
              <w:rPr>
                <w:rFonts w:hint="eastAsia" w:ascii="仿宋" w:hAnsi="仿宋" w:eastAsia="仿宋" w:cs="仿宋"/>
                <w:b w:val="0"/>
                <w:bCs w:val="0"/>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shd w:val="clear" w:color="auto" w:fill="FFFFFF" w:themeFill="background1"/>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shd w:val="clear" w:color="auto" w:fill="FFFFFF" w:themeFill="background1"/>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shd w:val="clear" w:color="auto" w:fill="FFFFFF" w:themeFill="background1"/>
            <w:noWrap w:val="0"/>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w:t>
            </w:r>
          </w:p>
        </w:tc>
        <w:tc>
          <w:tcPr>
            <w:tcW w:w="2684" w:type="dxa"/>
            <w:gridSpan w:val="6"/>
            <w:shd w:val="clear" w:color="auto" w:fill="FFFFFF" w:themeFill="background1"/>
            <w:noWrap w:val="0"/>
            <w:vAlign w:val="center"/>
          </w:tcPr>
          <w:p>
            <w:pPr>
              <w:autoSpaceDN w:val="0"/>
              <w:spacing w:line="320" w:lineRule="exact"/>
              <w:jc w:val="center"/>
              <w:textAlignment w:val="center"/>
              <w:rPr>
                <w:rFonts w:hint="eastAsia" w:ascii="仿宋" w:hAnsi="仿宋" w:eastAsia="仿宋" w:cs="仿宋"/>
                <w:b w:val="0"/>
                <w:bCs w:val="0"/>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shd w:val="clear" w:color="auto" w:fill="FFFFFF" w:themeFill="background1"/>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shd w:val="clear" w:color="auto" w:fill="FFFFFF" w:themeFill="background1"/>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shd w:val="clear" w:color="auto" w:fill="FFFFFF" w:themeFill="background1"/>
            <w:noWrap w:val="0"/>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w:t>
            </w:r>
          </w:p>
        </w:tc>
        <w:tc>
          <w:tcPr>
            <w:tcW w:w="2684" w:type="dxa"/>
            <w:gridSpan w:val="6"/>
            <w:shd w:val="clear" w:color="auto" w:fill="FFFFFF" w:themeFill="background1"/>
            <w:noWrap w:val="0"/>
            <w:vAlign w:val="center"/>
          </w:tcPr>
          <w:p>
            <w:pPr>
              <w:autoSpaceDN w:val="0"/>
              <w:spacing w:line="320" w:lineRule="exact"/>
              <w:jc w:val="center"/>
              <w:textAlignment w:val="center"/>
              <w:rPr>
                <w:rFonts w:hint="eastAsia" w:ascii="仿宋" w:hAnsi="仿宋" w:eastAsia="仿宋" w:cs="仿宋"/>
                <w:b w:val="0"/>
                <w:bCs w:val="0"/>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shd w:val="clear" w:color="auto" w:fill="FFFFFF" w:themeFill="background1"/>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shd w:val="clear" w:color="auto" w:fill="FFFFFF" w:themeFill="background1"/>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shd w:val="clear" w:color="auto" w:fill="FFFFFF" w:themeFill="background1"/>
            <w:noWrap w:val="0"/>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指标2：</w:t>
            </w:r>
          </w:p>
        </w:tc>
        <w:tc>
          <w:tcPr>
            <w:tcW w:w="2684" w:type="dxa"/>
            <w:gridSpan w:val="6"/>
            <w:shd w:val="clear" w:color="auto" w:fill="FFFFFF" w:themeFill="background1"/>
            <w:noWrap w:val="0"/>
            <w:vAlign w:val="center"/>
          </w:tcPr>
          <w:p>
            <w:pPr>
              <w:autoSpaceDN w:val="0"/>
              <w:spacing w:line="320" w:lineRule="exact"/>
              <w:jc w:val="center"/>
              <w:textAlignment w:val="center"/>
              <w:rPr>
                <w:rFonts w:hint="eastAsia" w:ascii="仿宋" w:hAnsi="仿宋" w:eastAsia="仿宋" w:cs="仿宋"/>
                <w:b w:val="0"/>
                <w:bCs w:val="0"/>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shd w:val="clear" w:color="auto" w:fill="FFFFFF" w:themeFill="background1"/>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shd w:val="clear" w:color="auto" w:fill="FFFFFF" w:themeFill="background1"/>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shd w:val="clear" w:color="auto" w:fill="FFFFFF" w:themeFill="background1"/>
            <w:noWrap w:val="0"/>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w:t>
            </w:r>
          </w:p>
        </w:tc>
        <w:tc>
          <w:tcPr>
            <w:tcW w:w="2684" w:type="dxa"/>
            <w:gridSpan w:val="6"/>
            <w:shd w:val="clear" w:color="auto" w:fill="FFFFFF" w:themeFill="background1"/>
            <w:noWrap w:val="0"/>
            <w:vAlign w:val="center"/>
          </w:tcPr>
          <w:p>
            <w:pPr>
              <w:autoSpaceDN w:val="0"/>
              <w:spacing w:line="320" w:lineRule="exact"/>
              <w:jc w:val="center"/>
              <w:textAlignment w:val="center"/>
              <w:rPr>
                <w:rFonts w:hint="eastAsia" w:ascii="仿宋" w:hAnsi="仿宋" w:eastAsia="仿宋" w:cs="仿宋"/>
                <w:b w:val="0"/>
                <w:bCs w:val="0"/>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shd w:val="clear" w:color="auto" w:fill="FFFFFF" w:themeFill="background1"/>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shd w:val="clear" w:color="auto" w:fill="FFFFFF" w:themeFill="background1"/>
            <w:noWrap w:val="0"/>
            <w:vAlign w:val="center"/>
          </w:tcPr>
          <w:p>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工伤系统软件正常运行</w:t>
            </w:r>
            <w:r>
              <w:rPr>
                <w:rFonts w:hint="eastAsia" w:ascii="仿宋" w:hAnsi="仿宋" w:eastAsia="仿宋" w:cs="仿宋"/>
                <w:b w:val="0"/>
                <w:bCs w:val="0"/>
                <w:color w:val="000000"/>
                <w:sz w:val="24"/>
                <w:szCs w:val="24"/>
                <w:lang w:eastAsia="zh-CN"/>
              </w:rPr>
              <w:t>；督促用单位参加工伤保险</w:t>
            </w:r>
          </w:p>
          <w:p>
            <w:pPr>
              <w:autoSpaceDN w:val="0"/>
              <w:spacing w:line="320" w:lineRule="exact"/>
              <w:jc w:val="left"/>
              <w:textAlignment w:val="center"/>
              <w:rPr>
                <w:rFonts w:hint="eastAsia" w:ascii="仿宋" w:hAnsi="仿宋" w:eastAsia="仿宋" w:cs="仿宋"/>
                <w:b w:val="0"/>
                <w:bCs w:val="0"/>
                <w:color w:val="000000"/>
                <w:sz w:val="24"/>
                <w:szCs w:val="24"/>
                <w:lang w:eastAsia="zh-CN"/>
              </w:rPr>
            </w:pPr>
          </w:p>
        </w:tc>
        <w:tc>
          <w:tcPr>
            <w:tcW w:w="2684" w:type="dxa"/>
            <w:gridSpan w:val="6"/>
            <w:shd w:val="clear" w:color="auto" w:fill="FFFFFF" w:themeFill="background1"/>
            <w:noWrap w:val="0"/>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shd w:val="clear" w:color="auto" w:fill="FFFFFF" w:themeFill="background1"/>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shd w:val="clear" w:color="auto" w:fill="FFFFFF" w:themeFill="background1"/>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shd w:val="clear" w:color="auto" w:fill="FFFFFF" w:themeFill="background1"/>
            <w:noWrap w:val="0"/>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增强用人单位和职工知法遵法守法意识，依法维护职工工伤保险权益。</w:t>
            </w:r>
          </w:p>
        </w:tc>
        <w:tc>
          <w:tcPr>
            <w:tcW w:w="2684" w:type="dxa"/>
            <w:gridSpan w:val="6"/>
            <w:shd w:val="clear" w:color="auto" w:fill="FFFFFF" w:themeFill="background1"/>
            <w:noWrap w:val="0"/>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shd w:val="clear" w:color="auto" w:fill="FFFFFF" w:themeFill="background1"/>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shd w:val="clear" w:color="auto" w:fill="FFFFFF" w:themeFill="background1"/>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shd w:val="clear" w:color="auto" w:fill="FFFFFF" w:themeFill="background1"/>
            <w:noWrap w:val="0"/>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w:t>
            </w:r>
          </w:p>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指标2：</w:t>
            </w:r>
          </w:p>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w:t>
            </w:r>
          </w:p>
        </w:tc>
        <w:tc>
          <w:tcPr>
            <w:tcW w:w="2684" w:type="dxa"/>
            <w:gridSpan w:val="6"/>
            <w:shd w:val="clear" w:color="auto" w:fill="FFFFFF" w:themeFill="background1"/>
            <w:noWrap w:val="0"/>
            <w:vAlign w:val="center"/>
          </w:tcPr>
          <w:p>
            <w:pPr>
              <w:autoSpaceDN w:val="0"/>
              <w:spacing w:line="320" w:lineRule="exact"/>
              <w:jc w:val="center"/>
              <w:textAlignment w:val="center"/>
              <w:rPr>
                <w:rFonts w:hint="eastAsia" w:ascii="仿宋" w:hAnsi="仿宋" w:eastAsia="仿宋" w:cs="仿宋"/>
                <w:b w:val="0"/>
                <w:bCs w:val="0"/>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shd w:val="clear" w:color="auto" w:fill="FFFFFF" w:themeFill="background1"/>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shd w:val="clear" w:color="auto" w:fill="FFFFFF" w:themeFill="background1"/>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shd w:val="clear" w:color="auto" w:fill="FFFFFF" w:themeFill="background1"/>
            <w:noWrap w:val="0"/>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窗口工作人员满意度达≧9</w:t>
            </w:r>
            <w:r>
              <w:rPr>
                <w:rFonts w:hint="eastAsia" w:ascii="仿宋" w:hAnsi="仿宋" w:eastAsia="仿宋" w:cs="仿宋"/>
                <w:b w:val="0"/>
                <w:bCs w:val="0"/>
                <w:color w:val="000000"/>
                <w:sz w:val="24"/>
                <w:szCs w:val="24"/>
                <w:lang w:val="en-US" w:eastAsia="zh-CN"/>
              </w:rPr>
              <w:t>5</w:t>
            </w:r>
            <w:r>
              <w:rPr>
                <w:rFonts w:hint="eastAsia" w:ascii="仿宋" w:hAnsi="仿宋" w:eastAsia="仿宋" w:cs="仿宋"/>
                <w:b w:val="0"/>
                <w:bCs w:val="0"/>
                <w:color w:val="000000"/>
                <w:sz w:val="24"/>
                <w:szCs w:val="24"/>
              </w:rPr>
              <w:t>%</w:t>
            </w:r>
          </w:p>
        </w:tc>
        <w:tc>
          <w:tcPr>
            <w:tcW w:w="2684" w:type="dxa"/>
            <w:gridSpan w:val="6"/>
            <w:shd w:val="clear" w:color="auto" w:fill="FFFFFF" w:themeFill="background1"/>
            <w:noWrap w:val="0"/>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shd w:val="clear" w:color="auto" w:fill="FFFFFF" w:themeFill="background1"/>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shd w:val="clear" w:color="auto" w:fill="FFFFFF" w:themeFill="background1"/>
            <w:noWrap w:val="0"/>
            <w:vAlign w:val="center"/>
          </w:tcPr>
          <w:p>
            <w:pPr>
              <w:jc w:val="center"/>
              <w:rPr>
                <w:rFonts w:hint="eastAsia" w:ascii="Times New Roman" w:hAnsi="Times New Roman" w:eastAsia="仿宋_GB2312"/>
                <w:kern w:val="2"/>
                <w:sz w:val="24"/>
                <w:szCs w:val="24"/>
                <w:lang w:val="en-US" w:eastAsia="zh-CN" w:bidi="ar-SA"/>
              </w:rPr>
            </w:pPr>
            <w:r>
              <w:rPr>
                <w:rFonts w:hint="eastAsia" w:eastAsia="仿宋_GB2312"/>
                <w:sz w:val="24"/>
                <w:szCs w:val="24"/>
              </w:rPr>
              <w:t>李平平</w:t>
            </w:r>
          </w:p>
        </w:tc>
        <w:tc>
          <w:tcPr>
            <w:tcW w:w="3561" w:type="dxa"/>
            <w:gridSpan w:val="6"/>
            <w:shd w:val="clear" w:color="auto" w:fill="FFFFFF" w:themeFill="background1"/>
            <w:noWrap w:val="0"/>
            <w:vAlign w:val="center"/>
          </w:tcPr>
          <w:p>
            <w:pPr>
              <w:jc w:val="center"/>
              <w:rPr>
                <w:rFonts w:hint="eastAsia" w:ascii="Times New Roman" w:hAnsi="Times New Roman" w:eastAsia="仿宋_GB2312"/>
                <w:kern w:val="2"/>
                <w:sz w:val="24"/>
                <w:szCs w:val="24"/>
                <w:lang w:val="en-US" w:eastAsia="zh-CN" w:bidi="ar-SA"/>
              </w:rPr>
            </w:pPr>
            <w:r>
              <w:rPr>
                <w:rFonts w:hint="eastAsia" w:eastAsia="仿宋_GB2312"/>
                <w:kern w:val="2"/>
                <w:sz w:val="24"/>
                <w:szCs w:val="24"/>
                <w:lang w:val="en-US" w:eastAsia="zh-CN" w:bidi="ar-SA"/>
              </w:rPr>
              <w:t>主任</w:t>
            </w:r>
          </w:p>
        </w:tc>
        <w:tc>
          <w:tcPr>
            <w:tcW w:w="1479" w:type="dxa"/>
            <w:shd w:val="clear" w:color="auto" w:fill="FFFFFF" w:themeFill="background1"/>
            <w:noWrap w:val="0"/>
            <w:vAlign w:val="center"/>
          </w:tcPr>
          <w:p>
            <w:pPr>
              <w:jc w:val="center"/>
              <w:rPr>
                <w:rFonts w:hint="eastAsia" w:ascii="Times New Roman" w:hAnsi="Times New Roman" w:eastAsia="仿宋_GB2312"/>
                <w:kern w:val="2"/>
                <w:sz w:val="24"/>
                <w:szCs w:val="24"/>
                <w:lang w:val="en-US" w:eastAsia="zh-CN" w:bidi="ar-SA"/>
              </w:rPr>
            </w:pPr>
            <w:r>
              <w:rPr>
                <w:rFonts w:hint="eastAsia" w:eastAsia="仿宋_GB2312"/>
                <w:sz w:val="24"/>
                <w:szCs w:val="24"/>
              </w:rPr>
              <w:t>岳阳楼区工伤保险</w:t>
            </w:r>
            <w:r>
              <w:rPr>
                <w:rFonts w:hint="eastAsia" w:eastAsia="仿宋_GB2312"/>
                <w:sz w:val="24"/>
                <w:szCs w:val="24"/>
                <w:lang w:eastAsia="zh-CN"/>
              </w:rPr>
              <w:t>服务中心</w:t>
            </w:r>
          </w:p>
        </w:tc>
        <w:tc>
          <w:tcPr>
            <w:tcW w:w="3106" w:type="dxa"/>
            <w:gridSpan w:val="8"/>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shd w:val="clear" w:color="auto" w:fill="FFFFFF" w:themeFill="background1"/>
            <w:noWrap w:val="0"/>
            <w:vAlign w:val="center"/>
          </w:tcPr>
          <w:p>
            <w:pPr>
              <w:jc w:val="center"/>
              <w:rPr>
                <w:rFonts w:hint="eastAsia" w:ascii="Times New Roman" w:hAnsi="Times New Roman" w:eastAsia="仿宋_GB2312"/>
                <w:kern w:val="2"/>
                <w:sz w:val="24"/>
                <w:szCs w:val="24"/>
                <w:lang w:val="en-US" w:eastAsia="zh-CN" w:bidi="ar-SA"/>
              </w:rPr>
            </w:pPr>
            <w:r>
              <w:rPr>
                <w:rFonts w:hint="eastAsia" w:eastAsia="仿宋_GB2312"/>
                <w:sz w:val="24"/>
                <w:szCs w:val="24"/>
              </w:rPr>
              <w:t>何铁夫</w:t>
            </w:r>
          </w:p>
        </w:tc>
        <w:tc>
          <w:tcPr>
            <w:tcW w:w="3561" w:type="dxa"/>
            <w:gridSpan w:val="6"/>
            <w:shd w:val="clear" w:color="auto" w:fill="FFFFFF" w:themeFill="background1"/>
            <w:noWrap w:val="0"/>
            <w:vAlign w:val="center"/>
          </w:tcPr>
          <w:p>
            <w:pPr>
              <w:jc w:val="center"/>
              <w:rPr>
                <w:rFonts w:hint="eastAsia" w:ascii="Times New Roman" w:hAnsi="Times New Roman" w:eastAsia="仿宋_GB2312"/>
                <w:kern w:val="2"/>
                <w:sz w:val="24"/>
                <w:szCs w:val="24"/>
                <w:lang w:val="en-US" w:eastAsia="zh-CN" w:bidi="ar-SA"/>
              </w:rPr>
            </w:pPr>
            <w:r>
              <w:rPr>
                <w:rFonts w:hint="eastAsia" w:eastAsia="仿宋_GB2312"/>
                <w:sz w:val="24"/>
                <w:szCs w:val="24"/>
              </w:rPr>
              <w:t>副</w:t>
            </w:r>
            <w:r>
              <w:rPr>
                <w:rFonts w:hint="eastAsia" w:eastAsia="仿宋_GB2312"/>
                <w:sz w:val="24"/>
                <w:szCs w:val="24"/>
                <w:lang w:eastAsia="zh-CN"/>
              </w:rPr>
              <w:t>主任</w:t>
            </w:r>
          </w:p>
        </w:tc>
        <w:tc>
          <w:tcPr>
            <w:tcW w:w="1479" w:type="dxa"/>
            <w:shd w:val="clear" w:color="auto" w:fill="FFFFFF" w:themeFill="background1"/>
            <w:noWrap w:val="0"/>
            <w:vAlign w:val="center"/>
          </w:tcPr>
          <w:p>
            <w:pPr>
              <w:jc w:val="center"/>
              <w:rPr>
                <w:rFonts w:hint="eastAsia" w:ascii="Times New Roman" w:hAnsi="Times New Roman" w:eastAsia="仿宋_GB2312"/>
                <w:kern w:val="2"/>
                <w:sz w:val="24"/>
                <w:szCs w:val="24"/>
                <w:lang w:val="en-US" w:eastAsia="zh-CN" w:bidi="ar-SA"/>
              </w:rPr>
            </w:pPr>
            <w:r>
              <w:rPr>
                <w:rFonts w:hint="eastAsia" w:eastAsia="仿宋_GB2312"/>
                <w:sz w:val="24"/>
                <w:szCs w:val="24"/>
              </w:rPr>
              <w:t>岳阳楼区工伤保险</w:t>
            </w:r>
            <w:r>
              <w:rPr>
                <w:rFonts w:hint="eastAsia" w:eastAsia="仿宋_GB2312"/>
                <w:sz w:val="24"/>
                <w:szCs w:val="24"/>
                <w:lang w:eastAsia="zh-CN"/>
              </w:rPr>
              <w:t>服务中心</w:t>
            </w:r>
          </w:p>
        </w:tc>
        <w:tc>
          <w:tcPr>
            <w:tcW w:w="3106" w:type="dxa"/>
            <w:gridSpan w:val="8"/>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shd w:val="clear" w:color="auto" w:fill="FFFFFF" w:themeFill="background1"/>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shd w:val="clear" w:color="auto" w:fill="FFFFFF" w:themeFill="background1"/>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shd w:val="clear" w:color="auto" w:fill="FFFFFF" w:themeFill="background1"/>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rPr>
              <w:t>五、评价报告综述（文字部分）</w:t>
            </w:r>
          </w:p>
          <w:p>
            <w:pPr>
              <w:spacing w:line="440" w:lineRule="exact"/>
              <w:ind w:firstLine="562" w:firstLineChars="200"/>
              <w:rPr>
                <w:rFonts w:hint="eastAsia" w:ascii="仿宋" w:hAnsi="仿宋" w:eastAsia="仿宋" w:cs="仿宋"/>
                <w:b/>
                <w:bCs w:val="0"/>
                <w:sz w:val="28"/>
                <w:szCs w:val="28"/>
                <w:highlight w:val="none"/>
              </w:rPr>
            </w:pPr>
          </w:p>
          <w:p>
            <w:pPr>
              <w:spacing w:line="560" w:lineRule="exact"/>
              <w:ind w:firstLine="562" w:firstLineChars="200"/>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rPr>
              <w:t>一、部门（单位）概况</w:t>
            </w:r>
          </w:p>
          <w:p>
            <w:pPr>
              <w:spacing w:line="560" w:lineRule="exact"/>
              <w:ind w:firstLine="562" w:firstLineChars="200"/>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rPr>
              <w:t>（一）部门（单位）基本情况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单位参加工伤保险业务。结合岳阳楼区各用工单位实际，办理工伤保险登记进行系统账户管理与人员增减变动，并负责保存用人单位缴费和职工享受工伤保险待遇情况的记录，同时进行工伤保险参保情况的调查和统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2工伤预防宣传和安全教育培训工作。定期进行工伤保险参保宣传活动、普及工伤保险政策法规、组织辖区内各用工单位开展安全培训，做好工伤预防、工伤参保扩面。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3工伤事故现场勘察工作。接收事故报告、派员进入事故现场、详细了解情况、查询记录相关证据、整理书面资料。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4处理工伤保险工作中的各种关系和纠纷并承接办理楼区人社局局机关、市工伤保险服务中心下放的各项工作任务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b/>
                <w:bCs/>
                <w:sz w:val="28"/>
                <w:szCs w:val="28"/>
                <w:highlight w:val="none"/>
                <w:lang w:val="en-US" w:eastAsia="zh-CN"/>
              </w:rPr>
              <w:t>(二)部门（单位）整体支出规模、使用方向和主要内容、涉及范围等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任务1：事故勘察职能的下沉。自2019年8月1日以后，岳阳楼区财政拨款的机关事业单位和社区发生的工伤事故的勘察工作交由楼区工伤保险服务中心负责的委托书。已经完成事故勘察工作业务经流程的制作和业务的学习培训，采用3人负责制，在制度和思想上树起防线，杜绝虚假工伤申报，提高甄别能力。另外也召开了面向楼区机关事业单位和社区经办人员的培训班，实现了全覆盖、高参与、促实效的目标，提高了业务经办人办事效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任务2：工伤业务经办途径多样。以多种形式进行催缴：在公共业务平台和参保单位QQ群上发消息进行催缴、电话催缴、上门催缴等。分月、分工进行宣传督促，专人负责催缴，登记。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任务3：工伤预防宣传方式创新。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both"/>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二、部门（单位）整体支出管理及使用情况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（一）基本支出   本年基本支出共计116.3万元，包括人员工资福利，五险一金，水电、电话费等。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（二）专项支出   专项支出为7.2万元，其中系统维护升级1.8万元，征缴宣传费用为5.4万元。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both"/>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三、部门（单位）专项组织实施情况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年度继续加强宣传引导，普及工伤知识，除了日常的进社区、进公园、进广场的《工伤保险条例》、《社会保险法》等法规宣讲外，突出性的对工保参险必要性进行多样化的宣传。今年我中心共开展了以“春风行动送岗位，工伤保险伴我行”、“工伤保险进社区暨安全社区试点建设”为主题的工伤保险集中宣传活动；积极响应局党组号召，参与了“12333全国统一咨询日”、“健康岳阳、职业健康同行”与“扫黑除恶专项斗争”等特色型活动。同时，我们也创新性的采用“工伤保险走进扶贫车间”、“工伤培训班”等方式，真正达到传播力和有效性相结合、政策突出点与公众关注点相结合的宣传效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已收缴工伤保险基金1419.41万元，相较去年同比增长8%；累计参保单位1119家；累计参保人数达到4.33万人,超额完成任务；本年度新增参保单位达到290家；新增人数14290人次。超额完成全年工作任务。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both"/>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四、部门（单位）整体支出绩效情况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目标1：基金征缴1000万。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目标2：新增参保人数4500人。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both"/>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五、存在的主要问题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根据岳阳市工伤保险服务中心2019年8月1日下发的《关于委托岳阳楼区工伤保险服务中心进行楼区机关事业单位和社区事故勘察的委托书》要求，我中心自2019年8月起负责工伤事故现场勘察工作。需接收事故报告、派员进入事故现场、详细了解情况、查询记录相关证据、整理书面资料。新的职责职能对勘察人员从事事故勘察活动的流程需加强业务、规范操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2.楼区机关事业单位和社区经办人员对了工伤事故申报标准流程的了解还是一个新事物，需加强培训并对各自单位工作人员做好宣传、转达。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both"/>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六、改进措施和有关建议</w:t>
            </w:r>
          </w:p>
          <w:p>
            <w:pPr>
              <w:ind w:firstLine="560" w:firstLineChars="200"/>
              <w:rPr>
                <w:rFonts w:hint="eastAsia" w:eastAsia="楷体_GB2312"/>
                <w:bCs/>
                <w:sz w:val="28"/>
                <w:szCs w:val="28"/>
                <w:highlight w:val="none"/>
                <w:lang w:eastAsia="zh-CN"/>
              </w:rPr>
            </w:pPr>
            <w:r>
              <w:rPr>
                <w:rFonts w:hint="eastAsia" w:eastAsia="楷体_GB2312"/>
                <w:bCs/>
                <w:sz w:val="28"/>
                <w:szCs w:val="28"/>
                <w:highlight w:val="none"/>
              </w:rPr>
              <w:t>待进一步加大推广宣传力度，将</w:t>
            </w:r>
            <w:r>
              <w:rPr>
                <w:rFonts w:hint="eastAsia" w:eastAsia="楷体_GB2312"/>
                <w:bCs/>
                <w:sz w:val="28"/>
                <w:szCs w:val="28"/>
                <w:highlight w:val="none"/>
                <w:lang w:eastAsia="zh-CN"/>
              </w:rPr>
              <w:t>工伤参保政策</w:t>
            </w:r>
            <w:r>
              <w:rPr>
                <w:rFonts w:hint="eastAsia" w:eastAsia="楷体_GB2312"/>
                <w:bCs/>
                <w:sz w:val="28"/>
                <w:szCs w:val="28"/>
                <w:highlight w:val="none"/>
              </w:rPr>
              <w:t>传达到楼区每一位居民心里。</w:t>
            </w:r>
            <w:r>
              <w:rPr>
                <w:rFonts w:hint="eastAsia" w:eastAsia="楷体_GB2312"/>
                <w:bCs/>
                <w:sz w:val="28"/>
                <w:szCs w:val="28"/>
                <w:highlight w:val="none"/>
                <w:lang w:eastAsia="zh-CN"/>
              </w:rPr>
              <w:t>进一步加强工作人员的业务水平工作能力更好更快更便捷服务每一位参保职工。</w:t>
            </w:r>
          </w:p>
        </w:tc>
      </w:tr>
    </w:tbl>
    <w:p>
      <w:pPr>
        <w:spacing w:line="348" w:lineRule="auto"/>
        <w:rPr>
          <w:rFonts w:eastAsia="楷体_GB2312"/>
          <w:bCs/>
          <w:sz w:val="28"/>
          <w:szCs w:val="28"/>
          <w:highlight w:val="none"/>
        </w:rPr>
      </w:pPr>
    </w:p>
    <w:p>
      <w:pPr>
        <w:spacing w:line="348" w:lineRule="auto"/>
        <w:rPr>
          <w:rFonts w:hint="eastAsia" w:eastAsia="黑体" w:cs="黑体"/>
          <w:bCs/>
          <w:sz w:val="32"/>
          <w:szCs w:val="32"/>
          <w:highlight w:val="none"/>
        </w:rPr>
      </w:pPr>
      <w:r>
        <w:rPr>
          <w:rFonts w:hint="eastAsia" w:eastAsia="黑体" w:cs="黑体"/>
          <w:bCs/>
          <w:sz w:val="32"/>
          <w:szCs w:val="32"/>
          <w:highlight w:val="none"/>
        </w:rPr>
        <w:t>附件3-2</w:t>
      </w:r>
    </w:p>
    <w:p>
      <w:pPr>
        <w:spacing w:before="312" w:beforeLines="100" w:after="312" w:afterLines="100"/>
        <w:jc w:val="center"/>
        <w:rPr>
          <w:rFonts w:hint="eastAsia" w:ascii="方正小标宋简体" w:eastAsia="方正小标宋简体"/>
          <w:sz w:val="36"/>
          <w:szCs w:val="36"/>
          <w:highlight w:val="none"/>
        </w:rPr>
      </w:pPr>
      <w:r>
        <w:rPr>
          <w:rFonts w:hint="eastAsia" w:ascii="方正小标宋简体" w:eastAsia="方正小标宋简体"/>
          <w:sz w:val="36"/>
          <w:szCs w:val="36"/>
          <w:highlight w:val="none"/>
        </w:rPr>
        <w:t>部门整体支出绩效评价评分表</w:t>
      </w:r>
    </w:p>
    <w:tbl>
      <w:tblPr>
        <w:tblStyle w:val="4"/>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highlight w:val="none"/>
              </w:rPr>
            </w:pPr>
            <w:r>
              <w:rPr>
                <w:rFonts w:hint="eastAsia" w:ascii="仿宋_GB2312" w:hAnsi="宋体" w:eastAsia="仿宋_GB2312" w:cs="宋体"/>
                <w:b/>
                <w:bCs/>
                <w:kern w:val="0"/>
                <w:sz w:val="18"/>
                <w:szCs w:val="18"/>
                <w:highlight w:val="none"/>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highlight w:val="none"/>
              </w:rPr>
            </w:pPr>
            <w:r>
              <w:rPr>
                <w:rFonts w:hint="eastAsia" w:ascii="仿宋_GB2312" w:hAnsi="宋体" w:eastAsia="仿宋_GB2312" w:cs="宋体"/>
                <w:b/>
                <w:bCs/>
                <w:kern w:val="0"/>
                <w:sz w:val="18"/>
                <w:szCs w:val="18"/>
                <w:highlight w:val="none"/>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highlight w:val="none"/>
              </w:rPr>
            </w:pPr>
            <w:r>
              <w:rPr>
                <w:rFonts w:hint="eastAsia" w:ascii="仿宋_GB2312" w:hAnsi="宋体" w:eastAsia="仿宋_GB2312" w:cs="宋体"/>
                <w:b/>
                <w:bCs/>
                <w:kern w:val="0"/>
                <w:sz w:val="18"/>
                <w:szCs w:val="18"/>
                <w:highlight w:val="none"/>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highlight w:val="none"/>
              </w:rPr>
            </w:pPr>
            <w:r>
              <w:rPr>
                <w:rFonts w:hint="eastAsia" w:ascii="仿宋_GB2312" w:hAnsi="宋体" w:eastAsia="仿宋_GB2312" w:cs="宋体"/>
                <w:b/>
                <w:bCs/>
                <w:kern w:val="0"/>
                <w:sz w:val="18"/>
                <w:szCs w:val="18"/>
                <w:highlight w:val="none"/>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highlight w:val="none"/>
              </w:rPr>
            </w:pPr>
            <w:r>
              <w:rPr>
                <w:rFonts w:hint="eastAsia" w:ascii="仿宋_GB2312" w:hAnsi="宋体" w:eastAsia="仿宋_GB2312" w:cs="宋体"/>
                <w:b/>
                <w:bCs/>
                <w:kern w:val="0"/>
                <w:sz w:val="18"/>
                <w:szCs w:val="18"/>
                <w:highlight w:val="none"/>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highlight w:val="none"/>
              </w:rPr>
            </w:pPr>
            <w:r>
              <w:rPr>
                <w:rFonts w:hint="eastAsia" w:ascii="仿宋_GB2312" w:hAnsi="宋体" w:eastAsia="仿宋_GB2312" w:cs="宋体"/>
                <w:b/>
                <w:bCs/>
                <w:kern w:val="0"/>
                <w:sz w:val="18"/>
                <w:szCs w:val="18"/>
                <w:highlight w:val="none"/>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highlight w:val="none"/>
              </w:rPr>
            </w:pPr>
            <w:r>
              <w:rPr>
                <w:rFonts w:hint="eastAsia" w:ascii="仿宋_GB2312" w:hAnsi="宋体" w:eastAsia="仿宋_GB2312" w:cs="宋体"/>
                <w:b/>
                <w:bCs/>
                <w:spacing w:val="-10"/>
                <w:kern w:val="0"/>
                <w:sz w:val="18"/>
                <w:szCs w:val="18"/>
                <w:highlight w:val="none"/>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投  入</w:t>
            </w:r>
            <w:r>
              <w:rPr>
                <w:rFonts w:hint="eastAsia" w:ascii="仿宋_GB2312" w:hAnsi="宋体" w:eastAsia="仿宋_GB2312" w:cs="宋体"/>
                <w:kern w:val="0"/>
                <w:sz w:val="18"/>
                <w:szCs w:val="18"/>
                <w:highlight w:val="none"/>
              </w:rPr>
              <w:br w:type="textWrapping"/>
            </w:r>
            <w:r>
              <w:rPr>
                <w:rFonts w:hint="eastAsia" w:ascii="仿宋_GB2312" w:hAnsi="宋体" w:eastAsia="仿宋_GB2312" w:cs="宋体"/>
                <w:kern w:val="0"/>
                <w:sz w:val="18"/>
                <w:szCs w:val="18"/>
                <w:highlight w:val="none"/>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预算配置</w:t>
            </w:r>
            <w:r>
              <w:rPr>
                <w:rFonts w:hint="eastAsia" w:ascii="仿宋_GB2312" w:hAnsi="宋体" w:eastAsia="仿宋_GB2312" w:cs="宋体"/>
                <w:kern w:val="0"/>
                <w:sz w:val="18"/>
                <w:szCs w:val="18"/>
                <w:highlight w:val="none"/>
              </w:rPr>
              <w:br w:type="textWrapping"/>
            </w:r>
            <w:r>
              <w:rPr>
                <w:rFonts w:hint="eastAsia" w:ascii="仿宋_GB2312" w:hAnsi="宋体" w:eastAsia="仿宋_GB2312" w:cs="宋体"/>
                <w:kern w:val="0"/>
                <w:sz w:val="18"/>
                <w:szCs w:val="18"/>
                <w:highlight w:val="none"/>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财政供养人员</w:t>
            </w:r>
          </w:p>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以100%为标准。在职人员控制率</w:t>
            </w:r>
            <w:r>
              <w:rPr>
                <w:rFonts w:hint="eastAsia" w:ascii="宋体" w:hAnsi="宋体" w:cs="宋体"/>
                <w:kern w:val="0"/>
                <w:sz w:val="18"/>
                <w:szCs w:val="18"/>
                <w:highlight w:val="none"/>
              </w:rPr>
              <w:t>≦</w:t>
            </w:r>
            <w:r>
              <w:rPr>
                <w:rFonts w:hint="eastAsia" w:ascii="仿宋_GB2312" w:hAnsi="宋体" w:eastAsia="仿宋_GB2312" w:cs="宋体"/>
                <w:kern w:val="0"/>
                <w:sz w:val="18"/>
                <w:szCs w:val="18"/>
                <w:highlight w:val="none"/>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 w:val="18"/>
                <w:szCs w:val="18"/>
                <w:highlight w:val="none"/>
                <w:lang w:val="en-US" w:eastAsia="zh-CN"/>
              </w:rPr>
            </w:pPr>
            <w:r>
              <w:rPr>
                <w:rFonts w:hint="eastAsia" w:ascii="仿宋_GB2312" w:hAnsi="宋体" w:eastAsia="仿宋_GB2312" w:cs="宋体"/>
                <w:color w:val="000000"/>
                <w:kern w:val="0"/>
                <w:sz w:val="18"/>
                <w:szCs w:val="18"/>
                <w:highlight w:val="none"/>
                <w:lang w:val="en-US" w:eastAsia="zh-CN"/>
              </w:rPr>
              <w:t xml:space="preserve">  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highlight w:val="none"/>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highlight w:val="none"/>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highlight w:val="none"/>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“三公经费”</w:t>
            </w:r>
            <w:r>
              <w:rPr>
                <w:rFonts w:hint="eastAsia" w:ascii="仿宋_GB2312" w:hAnsi="宋体" w:eastAsia="仿宋_GB2312" w:cs="宋体"/>
                <w:kern w:val="0"/>
                <w:sz w:val="18"/>
                <w:szCs w:val="18"/>
                <w:highlight w:val="none"/>
              </w:rPr>
              <w:br w:type="textWrapping"/>
            </w:r>
            <w:r>
              <w:rPr>
                <w:rFonts w:hint="eastAsia" w:ascii="仿宋_GB2312" w:hAnsi="宋体" w:eastAsia="仿宋_GB2312" w:cs="宋体"/>
                <w:kern w:val="0"/>
                <w:sz w:val="18"/>
                <w:szCs w:val="18"/>
                <w:highlight w:val="none"/>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“三公经费”变动率</w:t>
            </w:r>
            <w:r>
              <w:rPr>
                <w:rFonts w:hint="eastAsia" w:ascii="宋体" w:hAnsi="宋体" w:cs="宋体"/>
                <w:kern w:val="0"/>
                <w:sz w:val="18"/>
                <w:szCs w:val="18"/>
                <w:highlight w:val="none"/>
              </w:rPr>
              <w:t>≦</w:t>
            </w:r>
            <w:r>
              <w:rPr>
                <w:rFonts w:hint="eastAsia" w:ascii="仿宋_GB2312" w:hAnsi="宋体" w:eastAsia="仿宋_GB2312" w:cs="宋体"/>
                <w:kern w:val="0"/>
                <w:sz w:val="18"/>
                <w:szCs w:val="18"/>
                <w:highlight w:val="none"/>
              </w:rPr>
              <w:t>0,计5分；</w:t>
            </w:r>
            <w:r>
              <w:rPr>
                <w:rFonts w:hint="eastAsia" w:ascii="仿宋_GB2312" w:hAnsi="宋体" w:eastAsia="仿宋_GB2312" w:cs="宋体"/>
                <w:kern w:val="0"/>
                <w:sz w:val="18"/>
                <w:szCs w:val="18"/>
                <w:highlight w:val="none"/>
              </w:rPr>
              <w:br w:type="textWrapping"/>
            </w:r>
            <w:r>
              <w:rPr>
                <w:rFonts w:hint="eastAsia" w:ascii="仿宋_GB2312" w:hAnsi="宋体" w:eastAsia="仿宋_GB2312" w:cs="宋体"/>
                <w:kern w:val="0"/>
                <w:sz w:val="18"/>
                <w:szCs w:val="18"/>
                <w:highlight w:val="none"/>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 w:val="18"/>
                <w:szCs w:val="18"/>
                <w:highlight w:val="none"/>
                <w:lang w:val="en-US" w:eastAsia="zh-CN"/>
              </w:rPr>
            </w:pPr>
            <w:r>
              <w:rPr>
                <w:rFonts w:hint="eastAsia" w:ascii="仿宋_GB2312" w:hAnsi="宋体" w:eastAsia="仿宋_GB2312" w:cs="宋体"/>
                <w:color w:val="000000"/>
                <w:kern w:val="0"/>
                <w:sz w:val="18"/>
                <w:szCs w:val="18"/>
                <w:highlight w:val="none"/>
                <w:lang w:val="en-US" w:eastAsia="zh-CN"/>
              </w:rPr>
              <w:t xml:space="preserve">  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highlight w:val="none"/>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 xml:space="preserve">  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p>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p>
            <w:pPr>
              <w:widowControl/>
              <w:spacing w:line="240" w:lineRule="exact"/>
              <w:jc w:val="both"/>
              <w:rPr>
                <w:rFonts w:hint="eastAsia" w:ascii="仿宋_GB2312" w:hAnsi="宋体" w:eastAsia="仿宋_GB2312" w:cs="宋体"/>
                <w:color w:val="000000"/>
                <w:kern w:val="0"/>
                <w:sz w:val="18"/>
                <w:szCs w:val="18"/>
                <w:lang w:val="en-US" w:eastAsia="zh-CN"/>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eastAsia="zh-CN"/>
              </w:rPr>
              <w:t>刘慰军辞退款待支付</w:t>
            </w: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4"/>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此项指标根据区综合绩效</w:t>
            </w:r>
            <w:r>
              <w:rPr>
                <w:rFonts w:hint="eastAsia" w:ascii="仿宋_GB2312" w:hAnsi="宋体" w:eastAsia="仿宋_GB2312" w:cs="宋体"/>
                <w:kern w:val="0"/>
                <w:sz w:val="18"/>
                <w:szCs w:val="18"/>
                <w:lang w:eastAsia="zh-CN"/>
              </w:rPr>
              <w:t>考核</w:t>
            </w:r>
            <w:r>
              <w:rPr>
                <w:rFonts w:hint="eastAsia" w:ascii="仿宋_GB2312" w:hAnsi="宋体" w:eastAsia="仿宋_GB2312" w:cs="宋体"/>
                <w:kern w:val="0"/>
                <w:sz w:val="18"/>
                <w:szCs w:val="18"/>
              </w:rPr>
              <w:t>领导小组办公</w:t>
            </w:r>
            <w:r>
              <w:rPr>
                <w:rFonts w:hint="eastAsia" w:ascii="仿宋_GB2312" w:hAnsi="宋体" w:eastAsia="仿宋_GB2312" w:cs="宋体"/>
                <w:kern w:val="0"/>
                <w:sz w:val="18"/>
                <w:szCs w:val="18"/>
                <w:lang w:eastAsia="zh-CN"/>
              </w:rPr>
              <w:t>室</w:t>
            </w:r>
            <w:r>
              <w:rPr>
                <w:rFonts w:hint="eastAsia" w:ascii="仿宋_GB2312" w:hAnsi="宋体" w:eastAsia="仿宋_GB2312" w:cs="宋体"/>
                <w:kern w:val="0"/>
                <w:sz w:val="18"/>
                <w:szCs w:val="18"/>
              </w:rPr>
              <w:t>201</w:t>
            </w:r>
            <w:r>
              <w:rPr>
                <w:rFonts w:hint="eastAsia" w:ascii="仿宋_GB2312" w:hAnsi="宋体" w:eastAsia="仿宋_GB2312" w:cs="宋体"/>
                <w:kern w:val="0"/>
                <w:sz w:val="18"/>
                <w:szCs w:val="18"/>
                <w:lang w:val="en-US" w:eastAsia="zh-CN"/>
              </w:rPr>
              <w:t>8</w:t>
            </w:r>
            <w:r>
              <w:rPr>
                <w:rFonts w:hint="eastAsia" w:ascii="仿宋_GB2312" w:hAnsi="宋体" w:eastAsia="仿宋_GB2312" w:cs="宋体"/>
                <w:kern w:val="0"/>
                <w:sz w:val="18"/>
                <w:szCs w:val="18"/>
              </w:rPr>
              <w:t>年对各部门的部门工作实绩考核分数折算考核内容设置。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w:t>
            </w:r>
            <w:r>
              <w:rPr>
                <w:rFonts w:hint="eastAsia" w:ascii="仿宋_GB2312" w:hAnsi="宋体" w:eastAsia="仿宋_GB2312" w:cs="宋体"/>
                <w:kern w:val="0"/>
                <w:sz w:val="18"/>
                <w:szCs w:val="18"/>
                <w:lang w:eastAsia="zh-CN"/>
              </w:rPr>
              <w:t>区</w:t>
            </w:r>
            <w:r>
              <w:rPr>
                <w:rFonts w:hint="eastAsia" w:ascii="仿宋_GB2312" w:hAnsi="宋体" w:eastAsia="仿宋_GB2312" w:cs="宋体"/>
                <w:kern w:val="0"/>
                <w:sz w:val="18"/>
                <w:szCs w:val="18"/>
              </w:rPr>
              <w:t>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w:t>
            </w:r>
            <w:r>
              <w:rPr>
                <w:rFonts w:hint="eastAsia" w:ascii="仿宋_GB2312" w:hAnsi="宋体" w:eastAsia="仿宋_GB2312" w:cs="宋体"/>
                <w:kern w:val="0"/>
                <w:sz w:val="18"/>
                <w:szCs w:val="18"/>
                <w:lang w:eastAsia="zh-CN"/>
              </w:rPr>
              <w:t>区</w:t>
            </w:r>
            <w:r>
              <w:rPr>
                <w:rFonts w:hint="eastAsia" w:ascii="仿宋_GB2312" w:hAnsi="宋体" w:eastAsia="仿宋_GB2312" w:cs="宋体"/>
                <w:kern w:val="0"/>
                <w:sz w:val="18"/>
                <w:szCs w:val="18"/>
              </w:rPr>
              <w:t>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4"/>
        <w:szCs w:val="24"/>
      </w:rPr>
    </w:pPr>
    <w:r>
      <w:rPr>
        <w:rStyle w:val="6"/>
        <w:rFonts w:hint="eastAsia"/>
        <w:sz w:val="24"/>
        <w:szCs w:val="24"/>
        <w:lang w:eastAsia="zh-CN"/>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1</w:t>
    </w:r>
    <w:r>
      <w:rPr>
        <w:sz w:val="24"/>
        <w:szCs w:val="24"/>
      </w:rPr>
      <w:fldChar w:fldCharType="end"/>
    </w:r>
    <w:r>
      <w:rPr>
        <w:rStyle w:val="6"/>
        <w:rFonts w:hint="eastAsia"/>
        <w:sz w:val="24"/>
        <w:szCs w:val="24"/>
        <w:lang w:eastAsia="zh-CN"/>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1</w:t>
    </w:r>
    <w:r>
      <w:fldChar w:fldCharType="end"/>
    </w:r>
  </w:p>
  <w:p>
    <w:pPr>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955653"/>
    <w:rsid w:val="0099767B"/>
    <w:rsid w:val="01933016"/>
    <w:rsid w:val="07D579F9"/>
    <w:rsid w:val="08122B2B"/>
    <w:rsid w:val="09875765"/>
    <w:rsid w:val="0A7C2F7A"/>
    <w:rsid w:val="0AFC265E"/>
    <w:rsid w:val="0B4444ED"/>
    <w:rsid w:val="0E971546"/>
    <w:rsid w:val="10135D48"/>
    <w:rsid w:val="156F18D4"/>
    <w:rsid w:val="15A27A37"/>
    <w:rsid w:val="1A01532C"/>
    <w:rsid w:val="1BD26259"/>
    <w:rsid w:val="1E933E32"/>
    <w:rsid w:val="206045F2"/>
    <w:rsid w:val="21763E7F"/>
    <w:rsid w:val="2268010B"/>
    <w:rsid w:val="22707960"/>
    <w:rsid w:val="24AE256B"/>
    <w:rsid w:val="29F8017B"/>
    <w:rsid w:val="2B545E5D"/>
    <w:rsid w:val="2BFA09C6"/>
    <w:rsid w:val="30113423"/>
    <w:rsid w:val="368B4784"/>
    <w:rsid w:val="383D0055"/>
    <w:rsid w:val="391B3C81"/>
    <w:rsid w:val="398774F6"/>
    <w:rsid w:val="3AA91E54"/>
    <w:rsid w:val="3C4D7228"/>
    <w:rsid w:val="3D7A43BF"/>
    <w:rsid w:val="408E6439"/>
    <w:rsid w:val="419D04CE"/>
    <w:rsid w:val="48DD50A0"/>
    <w:rsid w:val="4B3D1BFB"/>
    <w:rsid w:val="51783464"/>
    <w:rsid w:val="584216CC"/>
    <w:rsid w:val="5CE97D83"/>
    <w:rsid w:val="60E31632"/>
    <w:rsid w:val="636906D6"/>
    <w:rsid w:val="64E447B3"/>
    <w:rsid w:val="66955653"/>
    <w:rsid w:val="7B5E1A80"/>
    <w:rsid w:val="7E7D61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4037;&#20260;&#25253;&#36134;&#30456;&#20851;2020.1--12\&#19978;&#25253;--&#25253;&#34920;\&#38468;&#20214;3&#12289;4-&#25972;&#20307;&#12289;&#39033;&#30446;&#33258;&#35780;&#34920;&#2668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附件3、4-整体、项目自评表格.dot</Template>
  <Pages>15</Pages>
  <Words>4782</Words>
  <Characters>4972</Characters>
  <Lines>1</Lines>
  <Paragraphs>1</Paragraphs>
  <TotalTime>56</TotalTime>
  <ScaleCrop>false</ScaleCrop>
  <LinksUpToDate>false</LinksUpToDate>
  <CharactersWithSpaces>6132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2020-04-14T02:27:00Z</dcterms:created>
  <dc:creator>Administrator</dc:creator>
  <cp:lastModifiedBy>Administrator</cp:lastModifiedBy>
  <dcterms:modified xsi:type="dcterms:W3CDTF">2020-11-03T08:19:45Z</dcterms:modified>
  <dc:title>附件3-1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