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B66" w:rsidRPr="00CD0521" w:rsidRDefault="008A3B66" w:rsidP="008A3B66">
      <w:pPr>
        <w:spacing w:line="600" w:lineRule="exact"/>
        <w:jc w:val="center"/>
        <w:rPr>
          <w:rFonts w:ascii="宋体" w:hAnsi="宋体" w:hint="eastAsia"/>
          <w:sz w:val="36"/>
          <w:szCs w:val="36"/>
        </w:rPr>
      </w:pPr>
      <w:r w:rsidRPr="00CD0521">
        <w:rPr>
          <w:rFonts w:ascii="宋体" w:hAnsi="宋体" w:hint="eastAsia"/>
          <w:sz w:val="36"/>
          <w:szCs w:val="36"/>
        </w:rPr>
        <w:t>行政权力实施程序和运行流程</w:t>
      </w:r>
    </w:p>
    <w:p w:rsidR="008A3B66" w:rsidRPr="00CD0521" w:rsidRDefault="008A3B66" w:rsidP="008A3B66">
      <w:pPr>
        <w:spacing w:line="600" w:lineRule="exact"/>
        <w:rPr>
          <w:rFonts w:ascii="宋体" w:hAnsi="宋体" w:hint="eastAsia"/>
          <w:sz w:val="30"/>
          <w:szCs w:val="30"/>
        </w:rPr>
      </w:pPr>
      <w:r w:rsidRPr="00CD0521">
        <w:rPr>
          <w:rFonts w:ascii="宋体" w:hAnsi="宋体" w:hint="eastAsia"/>
          <w:sz w:val="30"/>
          <w:szCs w:val="30"/>
        </w:rPr>
        <w:t>单位名称（盖章）：</w:t>
      </w:r>
      <w:r w:rsidRPr="00CD0521">
        <w:rPr>
          <w:rFonts w:ascii="宋体" w:hAnsi="宋体" w:hint="eastAsia"/>
          <w:sz w:val="24"/>
        </w:rPr>
        <w:t>劳动监察大队</w:t>
      </w:r>
      <w:r>
        <w:rPr>
          <w:rFonts w:ascii="宋体" w:hAnsi="宋体" w:hint="eastAsia"/>
          <w:sz w:val="30"/>
          <w:szCs w:val="30"/>
        </w:rPr>
        <w:t xml:space="preserve">   </w:t>
      </w:r>
      <w:r w:rsidRPr="00CD0521">
        <w:rPr>
          <w:rFonts w:ascii="宋体" w:hAnsi="宋体" w:hint="eastAsia"/>
          <w:sz w:val="30"/>
          <w:szCs w:val="30"/>
        </w:rPr>
        <w:t>填报日期：2015年12月21日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60"/>
        <w:gridCol w:w="1260"/>
        <w:gridCol w:w="3014"/>
      </w:tblGrid>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hint="eastAsia"/>
                <w:sz w:val="24"/>
              </w:rPr>
            </w:pPr>
            <w:r w:rsidRPr="00CD0521">
              <w:rPr>
                <w:rFonts w:ascii="宋体" w:hAnsi="宋体" w:hint="eastAsia"/>
                <w:sz w:val="24"/>
              </w:rPr>
              <w:t>对解除或终止劳动合同未依法支付经济补偿的责令改正</w:t>
            </w: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hint="eastAsia"/>
                <w:sz w:val="24"/>
              </w:rPr>
            </w:pPr>
            <w:r w:rsidRPr="00CD0521">
              <w:rPr>
                <w:rFonts w:ascii="宋体" w:hAnsi="宋体" w:hint="eastAsia"/>
                <w:sz w:val="24"/>
              </w:rPr>
              <w:t>其他行政权力</w:t>
            </w:r>
          </w:p>
        </w:tc>
        <w:tc>
          <w:tcPr>
            <w:tcW w:w="12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hint="eastAsia"/>
                <w:sz w:val="24"/>
              </w:rPr>
            </w:pPr>
            <w:r>
              <w:rPr>
                <w:rFonts w:ascii="宋体" w:hAnsi="宋体" w:hint="eastAsia"/>
                <w:sz w:val="24"/>
              </w:rPr>
              <w:t>自然人</w:t>
            </w:r>
            <w:r w:rsidRPr="00CD0521">
              <w:rPr>
                <w:rFonts w:ascii="宋体" w:hAnsi="宋体" w:hint="eastAsia"/>
                <w:sz w:val="24"/>
              </w:rPr>
              <w:t>、法人其他组织</w:t>
            </w: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color w:val="000000"/>
                <w:sz w:val="18"/>
                <w:szCs w:val="18"/>
              </w:rPr>
              <w:t>自立案之日起60个工作日内调查完成，对于情况复杂的，经分管副局长批准，可以延长30个工作日。 </w:t>
            </w: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hint="eastAsia"/>
                <w:sz w:val="24"/>
              </w:rPr>
              <w:t>劳动监察大队</w:t>
            </w: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Pr>
                <w:rFonts w:ascii="宋体" w:hAnsi="宋体" w:hint="eastAsia"/>
                <w:sz w:val="24"/>
              </w:rPr>
              <w:t>12333</w:t>
            </w: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hint="eastAsia"/>
                <w:sz w:val="24"/>
              </w:rPr>
              <w:t>岳阳楼区区属用人单位</w:t>
            </w:r>
          </w:p>
          <w:p w:rsidR="008A3B66" w:rsidRPr="00CD0521" w:rsidRDefault="008A3B66" w:rsidP="008A2476">
            <w:pPr>
              <w:spacing w:line="600" w:lineRule="exact"/>
              <w:rPr>
                <w:rFonts w:ascii="宋体" w:hAnsi="宋体"/>
                <w:sz w:val="24"/>
              </w:rPr>
            </w:pP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CD0521">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CD0521">
              <w:rPr>
                <w:rFonts w:ascii="宋体" w:hAnsi="宋体"/>
                <w:color w:val="333333"/>
                <w:szCs w:val="21"/>
              </w:rPr>
              <w:br/>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8A3B66" w:rsidRPr="00CD0521"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tcPr>
          <w:p w:rsidR="008A3B66" w:rsidRPr="00CD0521" w:rsidRDefault="008A3B66" w:rsidP="008A2476">
            <w:pPr>
              <w:rPr>
                <w:rFonts w:ascii="宋体" w:hAnsi="宋体" w:hint="eastAsia"/>
                <w:sz w:val="20"/>
                <w:szCs w:val="20"/>
              </w:rPr>
            </w:pPr>
            <w:r w:rsidRPr="00CD0521">
              <w:rPr>
                <w:rFonts w:ascii="宋体" w:hAnsi="宋体" w:hint="eastAsia"/>
                <w:sz w:val="20"/>
                <w:szCs w:val="20"/>
              </w:rPr>
              <w:t>《中华人民共和国劳动法》第九十一条：用人单位有下列侵害劳动者合法权益情形之一的，由劳动行政部门责令支付劳动者的工资报酬、经济补偿，并可以责令支付赔偿金：</w:t>
            </w:r>
          </w:p>
          <w:p w:rsidR="008A3B66" w:rsidRPr="00CD0521" w:rsidRDefault="008A3B66" w:rsidP="008A2476">
            <w:pPr>
              <w:rPr>
                <w:rFonts w:ascii="宋体" w:hAnsi="宋体" w:hint="eastAsia"/>
                <w:sz w:val="20"/>
                <w:szCs w:val="20"/>
              </w:rPr>
            </w:pPr>
            <w:r w:rsidRPr="00CD0521">
              <w:rPr>
                <w:rFonts w:ascii="宋体" w:hAnsi="宋体" w:hint="eastAsia"/>
                <w:sz w:val="20"/>
                <w:szCs w:val="20"/>
              </w:rPr>
              <w:t>（一）克扣或者无故拖欠劳动者工资的；</w:t>
            </w:r>
          </w:p>
          <w:p w:rsidR="008A3B66" w:rsidRPr="00CD0521" w:rsidRDefault="008A3B66" w:rsidP="008A2476">
            <w:pPr>
              <w:rPr>
                <w:rFonts w:ascii="宋体" w:hAnsi="宋体" w:hint="eastAsia"/>
                <w:sz w:val="20"/>
                <w:szCs w:val="20"/>
              </w:rPr>
            </w:pPr>
            <w:r w:rsidRPr="00CD0521">
              <w:rPr>
                <w:rFonts w:ascii="宋体" w:hAnsi="宋体" w:hint="eastAsia"/>
                <w:sz w:val="20"/>
                <w:szCs w:val="20"/>
              </w:rPr>
              <w:t>（二）拒不支付劳动者延长工作时间工资报酬的；</w:t>
            </w:r>
          </w:p>
          <w:p w:rsidR="008A3B66" w:rsidRPr="00CD0521" w:rsidRDefault="008A3B66" w:rsidP="008A2476">
            <w:pPr>
              <w:rPr>
                <w:rFonts w:ascii="宋体" w:hAnsi="宋体" w:hint="eastAsia"/>
                <w:sz w:val="20"/>
                <w:szCs w:val="20"/>
              </w:rPr>
            </w:pPr>
            <w:r w:rsidRPr="00CD0521">
              <w:rPr>
                <w:rFonts w:ascii="宋体" w:hAnsi="宋体" w:hint="eastAsia"/>
                <w:sz w:val="20"/>
                <w:szCs w:val="20"/>
              </w:rPr>
              <w:t>（三）低于当地最低工资标准支付劳动者工资的；</w:t>
            </w:r>
          </w:p>
          <w:p w:rsidR="008A3B66" w:rsidRPr="00CD0521" w:rsidRDefault="008A3B66" w:rsidP="008A2476">
            <w:pPr>
              <w:rPr>
                <w:rFonts w:ascii="宋体" w:hAnsi="宋体" w:hint="eastAsia"/>
                <w:sz w:val="20"/>
                <w:szCs w:val="20"/>
              </w:rPr>
            </w:pPr>
            <w:r w:rsidRPr="00CD0521">
              <w:rPr>
                <w:rFonts w:ascii="宋体" w:hAnsi="宋体" w:hint="eastAsia"/>
                <w:sz w:val="20"/>
                <w:szCs w:val="20"/>
              </w:rPr>
              <w:t>（四）解除劳动合同后，未依照本法规定给予劳动者经济补偿的。</w:t>
            </w:r>
          </w:p>
          <w:p w:rsidR="008A3B66" w:rsidRPr="00CD0521" w:rsidRDefault="008A3B66" w:rsidP="008A2476">
            <w:pPr>
              <w:rPr>
                <w:rFonts w:ascii="宋体" w:hAnsi="宋体" w:hint="eastAsia"/>
                <w:sz w:val="20"/>
                <w:szCs w:val="20"/>
              </w:rPr>
            </w:pPr>
            <w:r w:rsidRPr="00CD0521">
              <w:rPr>
                <w:rFonts w:ascii="宋体" w:hAnsi="宋体" w:hint="eastAsia"/>
                <w:sz w:val="20"/>
                <w:szCs w:val="20"/>
              </w:rPr>
              <w:t>《中华人民共和国劳动合同法》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8A3B66" w:rsidRPr="00CD0521" w:rsidRDefault="008A3B66" w:rsidP="008A2476">
            <w:pPr>
              <w:rPr>
                <w:rFonts w:ascii="宋体" w:hAnsi="宋体" w:hint="eastAsia"/>
                <w:sz w:val="20"/>
                <w:szCs w:val="20"/>
              </w:rPr>
            </w:pPr>
            <w:r w:rsidRPr="00CD0521">
              <w:rPr>
                <w:rFonts w:ascii="宋体" w:hAnsi="宋体" w:hint="eastAsia"/>
                <w:sz w:val="20"/>
                <w:szCs w:val="20"/>
              </w:rPr>
              <w:t>（一）未按照劳动合同的约定或者国家规定及时足额支付劳动者劳动报酬的；</w:t>
            </w:r>
          </w:p>
          <w:p w:rsidR="008A3B66" w:rsidRPr="00CD0521" w:rsidRDefault="008A3B66" w:rsidP="008A2476">
            <w:pPr>
              <w:rPr>
                <w:rFonts w:ascii="宋体" w:hAnsi="宋体" w:hint="eastAsia"/>
                <w:sz w:val="20"/>
                <w:szCs w:val="20"/>
              </w:rPr>
            </w:pPr>
            <w:r w:rsidRPr="00CD0521">
              <w:rPr>
                <w:rFonts w:ascii="宋体" w:hAnsi="宋体" w:hint="eastAsia"/>
                <w:sz w:val="20"/>
                <w:szCs w:val="20"/>
              </w:rPr>
              <w:t>（二）低于当地最低工资标准支付劳动者工资的；</w:t>
            </w:r>
          </w:p>
          <w:p w:rsidR="008A3B66" w:rsidRPr="00CD0521" w:rsidRDefault="008A3B66" w:rsidP="008A2476">
            <w:pPr>
              <w:rPr>
                <w:rFonts w:ascii="宋体" w:hAnsi="宋体" w:hint="eastAsia"/>
                <w:sz w:val="20"/>
                <w:szCs w:val="20"/>
              </w:rPr>
            </w:pPr>
            <w:r w:rsidRPr="00CD0521">
              <w:rPr>
                <w:rFonts w:ascii="宋体" w:hAnsi="宋体" w:hint="eastAsia"/>
                <w:sz w:val="20"/>
                <w:szCs w:val="20"/>
              </w:rPr>
              <w:t>（三）安排加班不支付加班费的；</w:t>
            </w:r>
          </w:p>
          <w:p w:rsidR="008A3B66" w:rsidRPr="00CD0521" w:rsidRDefault="008A3B66" w:rsidP="008A2476">
            <w:pPr>
              <w:rPr>
                <w:rFonts w:ascii="宋体" w:hAnsi="宋体" w:cs="宋体" w:hint="eastAsia"/>
                <w:sz w:val="20"/>
                <w:szCs w:val="20"/>
              </w:rPr>
            </w:pPr>
            <w:r w:rsidRPr="00CD0521">
              <w:rPr>
                <w:rFonts w:ascii="宋体" w:hAnsi="宋体" w:hint="eastAsia"/>
                <w:sz w:val="20"/>
                <w:szCs w:val="20"/>
              </w:rPr>
              <w:t>（四）解除或者终止劳动合同，未依照本法规定向劳动者支付经济补偿的。</w:t>
            </w:r>
          </w:p>
        </w:tc>
      </w:tr>
      <w:tr w:rsidR="008A3B66" w:rsidRPr="00CD0521" w:rsidTr="008A2476">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rPr>
                <w:rFonts w:ascii="宋体" w:hAnsi="宋体"/>
                <w:sz w:val="24"/>
              </w:rPr>
            </w:pPr>
            <w:r w:rsidRPr="00CD0521">
              <w:rPr>
                <w:rFonts w:ascii="宋体" w:hAnsi="宋体" w:hint="eastAsia"/>
                <w:sz w:val="24"/>
              </w:rPr>
              <w:t>免费</w:t>
            </w:r>
          </w:p>
        </w:tc>
      </w:tr>
      <w:tr w:rsidR="008A3B66" w:rsidRPr="00CD0521" w:rsidTr="008A3B66">
        <w:trPr>
          <w:trHeight w:val="13031"/>
        </w:trPr>
        <w:tc>
          <w:tcPr>
            <w:tcW w:w="1188" w:type="dxa"/>
            <w:tcBorders>
              <w:top w:val="single" w:sz="4" w:space="0" w:color="auto"/>
              <w:left w:val="single" w:sz="4" w:space="0" w:color="auto"/>
              <w:bottom w:val="single" w:sz="4" w:space="0" w:color="auto"/>
              <w:right w:val="single" w:sz="4" w:space="0" w:color="auto"/>
            </w:tcBorders>
            <w:vAlign w:val="center"/>
          </w:tcPr>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lastRenderedPageBreak/>
              <w:t>运</w:t>
            </w:r>
          </w:p>
          <w:p w:rsidR="008A3B66" w:rsidRPr="00CD0521" w:rsidRDefault="008A3B66" w:rsidP="008A2476">
            <w:pPr>
              <w:spacing w:line="600" w:lineRule="exact"/>
              <w:jc w:val="center"/>
              <w:rPr>
                <w:rFonts w:ascii="宋体" w:hAnsi="宋体" w:hint="eastAsia"/>
                <w:b/>
                <w:sz w:val="24"/>
              </w:rPr>
            </w:pPr>
            <w:r w:rsidRPr="00CD0521">
              <w:rPr>
                <w:rFonts w:ascii="宋体" w:hAnsi="宋体" w:hint="eastAsia"/>
                <w:b/>
                <w:sz w:val="24"/>
              </w:rPr>
              <w:t>行</w:t>
            </w:r>
          </w:p>
          <w:p w:rsidR="008A3B66" w:rsidRPr="00CD0521" w:rsidRDefault="008A3B66" w:rsidP="008A2476">
            <w:pPr>
              <w:spacing w:line="600" w:lineRule="exact"/>
              <w:jc w:val="center"/>
              <w:rPr>
                <w:rFonts w:ascii="宋体" w:hAnsi="宋体" w:hint="eastAsia"/>
                <w:b/>
                <w:sz w:val="24"/>
              </w:rPr>
            </w:pPr>
            <w:r w:rsidRPr="00CD0521">
              <w:rPr>
                <w:rFonts w:ascii="宋体" w:hAnsi="宋体" w:hint="eastAsia"/>
                <w:b/>
                <w:sz w:val="24"/>
              </w:rPr>
              <w:t>流</w:t>
            </w:r>
          </w:p>
          <w:p w:rsidR="008A3B66" w:rsidRPr="00CD0521" w:rsidRDefault="008A3B66" w:rsidP="008A2476">
            <w:pPr>
              <w:spacing w:line="600" w:lineRule="exact"/>
              <w:jc w:val="center"/>
              <w:rPr>
                <w:rFonts w:ascii="宋体" w:hAnsi="宋体" w:hint="eastAsia"/>
                <w:b/>
                <w:sz w:val="24"/>
              </w:rPr>
            </w:pPr>
            <w:r w:rsidRPr="00CD0521">
              <w:rPr>
                <w:rFonts w:ascii="宋体" w:hAnsi="宋体" w:hint="eastAsia"/>
                <w:b/>
                <w:sz w:val="24"/>
              </w:rPr>
              <w:t>程</w:t>
            </w:r>
          </w:p>
          <w:p w:rsidR="008A3B66" w:rsidRPr="00CD0521" w:rsidRDefault="008A3B66" w:rsidP="008A2476">
            <w:pPr>
              <w:spacing w:line="600" w:lineRule="exact"/>
              <w:jc w:val="center"/>
              <w:rPr>
                <w:rFonts w:ascii="宋体" w:hAnsi="宋体"/>
                <w:b/>
                <w:sz w:val="24"/>
              </w:rPr>
            </w:pPr>
            <w:r w:rsidRPr="00CD0521">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p w:rsidR="008A3B66" w:rsidRPr="00CD0521" w:rsidRDefault="008A3B66" w:rsidP="008A2476">
            <w:pPr>
              <w:rPr>
                <w:rFonts w:ascii="宋体" w:hAnsi="宋体"/>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5"/>
            </w:tblGrid>
            <w:tr w:rsidR="008A3B66" w:rsidRPr="00CD0521" w:rsidTr="008A2476">
              <w:tblPrEx>
                <w:tblCellMar>
                  <w:top w:w="0" w:type="dxa"/>
                  <w:bottom w:w="0" w:type="dxa"/>
                </w:tblCellMar>
              </w:tblPrEx>
              <w:trPr>
                <w:trHeight w:val="870"/>
              </w:trPr>
              <w:tc>
                <w:tcPr>
                  <w:tcW w:w="2145" w:type="dxa"/>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受理登记（5个工作日）</w:t>
                  </w:r>
                </w:p>
              </w:tc>
            </w:tr>
          </w:tbl>
          <w:p w:rsidR="008A3B66" w:rsidRPr="00CD0521" w:rsidRDefault="008A3B66" w:rsidP="008A2476">
            <w:pPr>
              <w:spacing w:line="600" w:lineRule="exact"/>
              <w:rPr>
                <w:rFonts w:ascii="宋体" w:hAnsi="宋体"/>
                <w:sz w:val="18"/>
                <w:szCs w:val="18"/>
              </w:rPr>
            </w:pPr>
            <w:r w:rsidRPr="00CD0521">
              <w:rPr>
                <w:rFonts w:ascii="宋体" w:hAnsi="宋体"/>
                <w:noProof/>
                <w:sz w:val="18"/>
                <w:szCs w:val="18"/>
              </w:rPr>
              <w:pict>
                <v:shapetype id="_x0000_t32" coordsize="21600,21600" o:spt="32" o:oned="t" path="m,l21600,21600e" filled="f">
                  <v:path arrowok="t" fillok="f" o:connecttype="none"/>
                  <o:lock v:ext="edit" shapetype="t"/>
                </v:shapetype>
                <v:shape id="_x0000_s2058" type="#_x0000_t32" style="position:absolute;left:0;text-align:left;margin-left:267.6pt;margin-top:502.65pt;width:.75pt;height:36.75pt;z-index:251668480;mso-position-horizontal-relative:text;mso-position-vertical-relative:text" o:connectortype="straight">
                  <v:stroke endarrow="block"/>
                </v:shape>
              </w:pict>
            </w:r>
            <w:r w:rsidRPr="00CD0521">
              <w:rPr>
                <w:rFonts w:ascii="宋体" w:hAnsi="宋体"/>
                <w:noProof/>
                <w:sz w:val="24"/>
              </w:rPr>
              <w:pict>
                <v:shape id="_x0000_s2051" type="#_x0000_t32" style="position:absolute;left:0;text-align:left;margin-left:181.35pt;margin-top:91.65pt;width:.05pt;height:22.5pt;z-index:251661312;mso-position-horizontal-relative:text;mso-position-vertical-relative:text" o:connectortype="straight">
                  <v:stroke endarrow="block"/>
                </v:shape>
              </w:pict>
            </w:r>
            <w:r w:rsidRPr="00CD0521">
              <w:rPr>
                <w:rFonts w:ascii="宋体" w:hAnsi="宋体"/>
                <w:noProof/>
                <w:sz w:val="18"/>
                <w:szCs w:val="18"/>
              </w:rPr>
              <w:pict>
                <v:shape id="_x0000_s2050" type="#_x0000_t32" style="position:absolute;left:0;text-align:left;margin-left:181.35pt;margin-top:1.65pt;width:.05pt;height:28.5pt;z-index:251660288;mso-position-horizontal-relative:text;mso-position-vertical-relative:text" o:connectortype="straight">
                  <v:stroke endarrow="block"/>
                </v:shape>
              </w:pict>
            </w:r>
            <w:r w:rsidRPr="00CD0521">
              <w:rPr>
                <w:rFonts w:ascii="宋体" w:hAnsi="宋体"/>
                <w:noProof/>
                <w:sz w:val="18"/>
                <w:szCs w:val="18"/>
              </w:rPr>
              <w:pict>
                <v:shape id="_x0000_s2056" type="#_x0000_t32" style="position:absolute;left:0;text-align:left;margin-left:266.1pt;margin-top:264.15pt;width:0;height:47.25pt;z-index:251666432;mso-position-horizontal-relative:text;mso-position-vertical-relative:text" o:connectortype="straight">
                  <v:stroke endarrow="block"/>
                </v:shape>
              </w:pict>
            </w:r>
            <w:r w:rsidRPr="00CD0521">
              <w:rPr>
                <w:rFonts w:ascii="宋体" w:hAnsi="宋体"/>
                <w:noProof/>
                <w:sz w:val="18"/>
                <w:szCs w:val="18"/>
              </w:rPr>
              <w:pict>
                <v:shape id="_x0000_s2055" type="#_x0000_t32" style="position:absolute;left:0;text-align:left;margin-left:260.85pt;margin-top:177.15pt;width:0;height:20.25pt;z-index:251665408;mso-position-horizontal-relative:text;mso-position-vertical-relative:text" o:connectortype="straight">
                  <v:stroke endarrow="block"/>
                </v:shape>
              </w:pict>
            </w:r>
            <w:r w:rsidRPr="00CD0521">
              <w:rPr>
                <w:rFonts w:ascii="宋体" w:hAnsi="宋体"/>
                <w:noProof/>
                <w:sz w:val="18"/>
                <w:szCs w:val="18"/>
              </w:rPr>
              <w:pict>
                <v:shape id="_x0000_s2053" type="#_x0000_t32" style="position:absolute;left:0;text-align:left;margin-left:185.1pt;margin-top:159.9pt;width:.75pt;height:17.25pt;z-index:251663360;mso-position-horizontal-relative:text;mso-position-vertical-relative:text" o:connectortype="straight"/>
              </w:pict>
            </w:r>
          </w:p>
          <w:tbl>
            <w:tblPr>
              <w:tblpPr w:leftFromText="180" w:rightFromText="180" w:vertAnchor="text" w:horzAnchor="page" w:tblpX="268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5"/>
            </w:tblGrid>
            <w:tr w:rsidR="008A3B66" w:rsidRPr="00CD0521" w:rsidTr="008A2476">
              <w:tblPrEx>
                <w:tblCellMar>
                  <w:top w:w="0" w:type="dxa"/>
                  <w:bottom w:w="0" w:type="dxa"/>
                </w:tblCellMar>
              </w:tblPrEx>
              <w:trPr>
                <w:trHeight w:val="900"/>
              </w:trPr>
              <w:tc>
                <w:tcPr>
                  <w:tcW w:w="2145" w:type="dxa"/>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立案（符合立案条件的，自受理之日起立案）</w:t>
                  </w:r>
                </w:p>
              </w:tc>
            </w:tr>
          </w:tbl>
          <w:tbl>
            <w:tblPr>
              <w:tblpPr w:leftFromText="180" w:rightFromText="180" w:vertAnchor="text" w:horzAnchor="page" w:tblpX="2671"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1"/>
            </w:tblGrid>
            <w:tr w:rsidR="008A3B66" w:rsidRPr="00CD0521" w:rsidTr="008A2476">
              <w:tblPrEx>
                <w:tblCellMar>
                  <w:top w:w="0" w:type="dxa"/>
                  <w:bottom w:w="0" w:type="dxa"/>
                </w:tblCellMar>
              </w:tblPrEx>
              <w:trPr>
                <w:trHeight w:val="915"/>
              </w:trPr>
              <w:tc>
                <w:tcPr>
                  <w:tcW w:w="0" w:type="auto"/>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调查取证（60个工作日内）</w:t>
                  </w:r>
                </w:p>
              </w:tc>
            </w:tr>
          </w:tbl>
          <w:tbl>
            <w:tblPr>
              <w:tblpPr w:leftFromText="180" w:rightFromText="180" w:vertAnchor="text" w:horzAnchor="page" w:tblpX="436" w:tblpY="3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0"/>
            </w:tblGrid>
            <w:tr w:rsidR="008A3B66" w:rsidRPr="00CD0521" w:rsidTr="008A2476">
              <w:tblPrEx>
                <w:tblCellMar>
                  <w:top w:w="0" w:type="dxa"/>
                  <w:bottom w:w="0" w:type="dxa"/>
                </w:tblCellMar>
              </w:tblPrEx>
              <w:trPr>
                <w:trHeight w:val="1320"/>
              </w:trPr>
              <w:tc>
                <w:tcPr>
                  <w:tcW w:w="2790" w:type="dxa"/>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当事人在接到听证通知书三日内要求听证的；人社局认为有必要听证的，应该在7日内举行听证</w:t>
                  </w:r>
                </w:p>
              </w:tc>
            </w:tr>
          </w:tbl>
          <w:tbl>
            <w:tblPr>
              <w:tblpPr w:leftFromText="180" w:rightFromText="180" w:vertAnchor="text" w:horzAnchor="page" w:tblpX="3991" w:tblpY="3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8A3B66" w:rsidRPr="00CD0521" w:rsidTr="008A2476">
              <w:tblPrEx>
                <w:tblCellMar>
                  <w:top w:w="0" w:type="dxa"/>
                  <w:bottom w:w="0" w:type="dxa"/>
                </w:tblCellMar>
              </w:tblPrEx>
              <w:trPr>
                <w:trHeight w:val="1305"/>
              </w:trPr>
              <w:tc>
                <w:tcPr>
                  <w:tcW w:w="2880" w:type="dxa"/>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案件处理（处罚）（15个工作日）</w:t>
                  </w:r>
                </w:p>
              </w:tc>
            </w:tr>
          </w:tbl>
          <w:tbl>
            <w:tblPr>
              <w:tblpPr w:leftFromText="180" w:rightFromText="180" w:vertAnchor="text" w:horzAnchor="page" w:tblpX="4036" w:tblpY="5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85"/>
            </w:tblGrid>
            <w:tr w:rsidR="008A3B66" w:rsidRPr="00CD0521" w:rsidTr="008A2476">
              <w:tblPrEx>
                <w:tblCellMar>
                  <w:top w:w="0" w:type="dxa"/>
                  <w:bottom w:w="0" w:type="dxa"/>
                </w:tblCellMar>
              </w:tblPrEx>
              <w:trPr>
                <w:trHeight w:val="1005"/>
              </w:trPr>
              <w:tc>
                <w:tcPr>
                  <w:tcW w:w="2685" w:type="dxa"/>
                </w:tcPr>
                <w:p w:rsidR="008A3B66" w:rsidRPr="00CD0521" w:rsidRDefault="008A3B66" w:rsidP="008A2476">
                  <w:pPr>
                    <w:spacing w:line="600" w:lineRule="exact"/>
                    <w:rPr>
                      <w:rFonts w:ascii="宋体" w:hAnsi="宋体"/>
                      <w:sz w:val="18"/>
                      <w:szCs w:val="18"/>
                    </w:rPr>
                  </w:pPr>
                  <w:r w:rsidRPr="00CD0521">
                    <w:rPr>
                      <w:rFonts w:ascii="宋体" w:hAnsi="宋体"/>
                      <w:noProof/>
                      <w:sz w:val="18"/>
                      <w:szCs w:val="18"/>
                    </w:rPr>
                    <w:pict>
                      <v:shape id="_x0000_s2057" type="#_x0000_t32" style="position:absolute;left:0;text-align:left;margin-left:63.85pt;margin-top:49.1pt;width:0;height:45pt;z-index:251667456;mso-position-horizontal-relative:text;mso-position-vertical-relative:text" o:connectortype="straight">
                        <v:stroke endarrow="block"/>
                      </v:shape>
                    </w:pict>
                  </w:r>
                  <w:r w:rsidRPr="00CD0521">
                    <w:rPr>
                      <w:rFonts w:ascii="宋体" w:hAnsi="宋体" w:hint="eastAsia"/>
                      <w:sz w:val="18"/>
                      <w:szCs w:val="18"/>
                    </w:rPr>
                    <w:t>送达（7日）</w:t>
                  </w:r>
                </w:p>
              </w:tc>
            </w:tr>
          </w:tbl>
          <w:tbl>
            <w:tblPr>
              <w:tblpPr w:leftFromText="180" w:rightFromText="180" w:vertAnchor="text" w:horzAnchor="page" w:tblpX="4111" w:tblpY="7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0"/>
            </w:tblGrid>
            <w:tr w:rsidR="008A3B66" w:rsidRPr="00CD0521" w:rsidTr="008A2476">
              <w:tblPrEx>
                <w:tblCellMar>
                  <w:top w:w="0" w:type="dxa"/>
                  <w:bottom w:w="0" w:type="dxa"/>
                </w:tblCellMar>
              </w:tblPrEx>
              <w:trPr>
                <w:trHeight w:val="1215"/>
              </w:trPr>
              <w:tc>
                <w:tcPr>
                  <w:tcW w:w="2490" w:type="dxa"/>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执行（当事人15天内，未执行的，自起诉期限届满之日起180内向法院申请强制执行）</w:t>
                  </w:r>
                </w:p>
              </w:tc>
            </w:tr>
          </w:tbl>
          <w:tbl>
            <w:tblPr>
              <w:tblpPr w:leftFromText="180" w:rightFromText="180" w:vertAnchor="text" w:horzAnchor="page" w:tblpX="4156" w:tblpY="102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0"/>
            </w:tblGrid>
            <w:tr w:rsidR="008A3B66" w:rsidRPr="00CD0521" w:rsidTr="008A2476">
              <w:tblPrEx>
                <w:tblCellMar>
                  <w:top w:w="0" w:type="dxa"/>
                  <w:bottom w:w="0" w:type="dxa"/>
                </w:tblCellMar>
              </w:tblPrEx>
              <w:trPr>
                <w:trHeight w:val="1020"/>
              </w:trPr>
              <w:tc>
                <w:tcPr>
                  <w:tcW w:w="2490" w:type="dxa"/>
                </w:tcPr>
                <w:p w:rsidR="008A3B66" w:rsidRPr="00CD0521" w:rsidRDefault="008A3B66" w:rsidP="008A2476">
                  <w:pPr>
                    <w:spacing w:line="600" w:lineRule="exact"/>
                    <w:rPr>
                      <w:rFonts w:ascii="宋体" w:hAnsi="宋体"/>
                      <w:sz w:val="18"/>
                      <w:szCs w:val="18"/>
                    </w:rPr>
                  </w:pPr>
                  <w:r w:rsidRPr="00CD0521">
                    <w:rPr>
                      <w:rFonts w:ascii="宋体" w:hAnsi="宋体" w:hint="eastAsia"/>
                      <w:sz w:val="18"/>
                      <w:szCs w:val="18"/>
                    </w:rPr>
                    <w:t>结案归档（案件办结后1个月内）</w:t>
                  </w:r>
                </w:p>
              </w:tc>
            </w:tr>
          </w:tbl>
          <w:p w:rsidR="008A3B66" w:rsidRPr="00CD0521" w:rsidRDefault="008A3B66" w:rsidP="008A2476">
            <w:pPr>
              <w:spacing w:line="600" w:lineRule="exact"/>
              <w:rPr>
                <w:rFonts w:ascii="宋体" w:hAnsi="宋体"/>
                <w:sz w:val="24"/>
              </w:rPr>
            </w:pPr>
            <w:r w:rsidRPr="00CD0521">
              <w:rPr>
                <w:rFonts w:ascii="宋体" w:hAnsi="宋体"/>
                <w:noProof/>
                <w:sz w:val="24"/>
              </w:rPr>
              <w:pict>
                <v:shape id="_x0000_s2054" type="#_x0000_t32" style="position:absolute;left:0;text-align:left;margin-left:91.35pt;margin-top:147.15pt;width:0;height:20.25pt;z-index:251664384;mso-position-horizontal-relative:text;mso-position-vertical-relative:text" o:connectortype="straight">
                  <v:stroke endarrow="block"/>
                </v:shape>
              </w:pict>
            </w:r>
            <w:r w:rsidRPr="00CD0521">
              <w:rPr>
                <w:rFonts w:ascii="宋体" w:hAnsi="宋体"/>
                <w:noProof/>
                <w:sz w:val="24"/>
              </w:rPr>
              <w:pict>
                <v:shape id="_x0000_s2052" type="#_x0000_t32" style="position:absolute;left:0;text-align:left;margin-left:91.35pt;margin-top:147.15pt;width:169.5pt;height:0;z-index:251662336;mso-position-horizontal-relative:text;mso-position-vertical-relative:text" o:connectortype="straight"/>
              </w:pict>
            </w:r>
          </w:p>
        </w:tc>
      </w:tr>
    </w:tbl>
    <w:p w:rsidR="00047421" w:rsidRPr="008A3B66" w:rsidRDefault="00047421"/>
    <w:sectPr w:rsidR="00047421" w:rsidRPr="008A3B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421" w:rsidRDefault="00047421" w:rsidP="008A3B66">
      <w:r>
        <w:separator/>
      </w:r>
    </w:p>
  </w:endnote>
  <w:endnote w:type="continuationSeparator" w:id="1">
    <w:p w:rsidR="00047421" w:rsidRDefault="00047421" w:rsidP="008A3B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421" w:rsidRDefault="00047421" w:rsidP="008A3B66">
      <w:r>
        <w:separator/>
      </w:r>
    </w:p>
  </w:footnote>
  <w:footnote w:type="continuationSeparator" w:id="1">
    <w:p w:rsidR="00047421" w:rsidRDefault="00047421" w:rsidP="008A3B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B66"/>
    <w:rsid w:val="00047421"/>
    <w:rsid w:val="008A3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6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B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A3B66"/>
    <w:rPr>
      <w:sz w:val="18"/>
      <w:szCs w:val="18"/>
    </w:rPr>
  </w:style>
  <w:style w:type="paragraph" w:styleId="a4">
    <w:name w:val="footer"/>
    <w:basedOn w:val="a"/>
    <w:link w:val="Char0"/>
    <w:uiPriority w:val="99"/>
    <w:semiHidden/>
    <w:unhideWhenUsed/>
    <w:rsid w:val="008A3B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A3B6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Company>微软中国</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2016-01-22T09:09:00Z</dcterms:created>
  <dcterms:modified xsi:type="dcterms:W3CDTF">2016-01-22T09:10:00Z</dcterms:modified>
</cp:coreProperties>
</file>