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CC" w:rsidRPr="008C37F2" w:rsidRDefault="001124CC" w:rsidP="001124CC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1124CC" w:rsidRPr="008C37F2" w:rsidRDefault="001124CC" w:rsidP="001124CC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6157EA">
        <w:rPr>
          <w:rFonts w:ascii="宋体" w:hAnsi="宋体" w:hint="eastAsia"/>
          <w:sz w:val="24"/>
        </w:rPr>
        <w:t xml:space="preserve">劳动监察大队 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劳务派遣单位、用工单位违反有关劳务派遣规定的处罚</w:t>
            </w: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5A7CBF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5A7CBF">
              <w:rPr>
                <w:rFonts w:ascii="宋体" w:hAnsi="宋体" w:hint="eastAsia"/>
                <w:sz w:val="24"/>
              </w:rPr>
              <w:t>劳务派遣单位、用工单位违反有关劳务派遣规定的</w:t>
            </w:r>
          </w:p>
          <w:p w:rsidR="001124CC" w:rsidRPr="008C37F2" w:rsidRDefault="001124CC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1124CC" w:rsidRPr="008C37F2" w:rsidRDefault="001124CC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  <w:p w:rsidR="001124CC" w:rsidRPr="008C37F2" w:rsidRDefault="001124CC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1124CC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中华人民共和国劳动合同法》第九十二条第二款：劳务派遣单位、用工单位违反本法有关劳务派遣规定的，由劳动行政部门责令限期改正；逾期不改正的，以每人五千元到一万元的标准处以罚款，对劳务派遣单位，吊销其劳务派遣业务经营许可证。用工单位给被派遣劳动者造成损害的，劳务派遣单位与用工单位承担连带赔偿责任。</w:t>
            </w:r>
          </w:p>
          <w:p w:rsidR="001124CC" w:rsidRPr="008C37F2" w:rsidRDefault="001124CC" w:rsidP="008A2476">
            <w:pPr>
              <w:rPr>
                <w:rFonts w:ascii="宋体" w:hAnsi="宋体" w:hint="eastAsia"/>
                <w:szCs w:val="20"/>
              </w:rPr>
            </w:pPr>
          </w:p>
          <w:p w:rsidR="001124CC" w:rsidRPr="008C37F2" w:rsidRDefault="001124CC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1124CC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1124CC" w:rsidRPr="008C37F2" w:rsidTr="001124CC">
        <w:trPr>
          <w:trHeight w:val="133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1124CC" w:rsidRPr="008C37F2" w:rsidRDefault="001124CC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1124CC" w:rsidRPr="008C37F2" w:rsidRDefault="001124CC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1124CC" w:rsidRPr="008C37F2" w:rsidRDefault="001124CC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1124CC" w:rsidRPr="008C37F2" w:rsidRDefault="001124CC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1124CC" w:rsidRPr="008C37F2" w:rsidRDefault="001124CC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1124CC" w:rsidRPr="008C37F2" w:rsidRDefault="001124CC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1124CC" w:rsidRPr="008C37F2" w:rsidRDefault="001124CC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1124CC" w:rsidRPr="008C37F2" w:rsidRDefault="001124CC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1124CC" w:rsidRPr="008C37F2" w:rsidRDefault="001124CC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1124CC" w:rsidRPr="008C37F2" w:rsidRDefault="001124CC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124CC" w:rsidRPr="008C37F2" w:rsidRDefault="001124CC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1124CC" w:rsidRPr="008C37F2" w:rsidRDefault="001124CC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1124CC" w:rsidRPr="008C37F2" w:rsidRDefault="001124CC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1124CC" w:rsidRPr="008C37F2" w:rsidRDefault="001124CC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1124CC" w:rsidRPr="008C37F2" w:rsidRDefault="001124CC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1124CC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1124CC" w:rsidRPr="008C37F2" w:rsidRDefault="001124CC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1124CC" w:rsidRPr="008C37F2" w:rsidRDefault="001124CC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1F08FA" w:rsidRDefault="001F08FA"/>
    <w:sectPr w:rsidR="001F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8FA" w:rsidRDefault="001F08FA" w:rsidP="001124CC">
      <w:r>
        <w:separator/>
      </w:r>
    </w:p>
  </w:endnote>
  <w:endnote w:type="continuationSeparator" w:id="1">
    <w:p w:rsidR="001F08FA" w:rsidRDefault="001F08FA" w:rsidP="00112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8FA" w:rsidRDefault="001F08FA" w:rsidP="001124CC">
      <w:r>
        <w:separator/>
      </w:r>
    </w:p>
  </w:footnote>
  <w:footnote w:type="continuationSeparator" w:id="1">
    <w:p w:rsidR="001F08FA" w:rsidRDefault="001F08FA" w:rsidP="00112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4CC"/>
    <w:rsid w:val="001124CC"/>
    <w:rsid w:val="001F0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2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2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2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24CC"/>
    <w:rPr>
      <w:sz w:val="18"/>
      <w:szCs w:val="18"/>
    </w:rPr>
  </w:style>
  <w:style w:type="table" w:styleId="a5">
    <w:name w:val="Table Grid"/>
    <w:basedOn w:val="a1"/>
    <w:rsid w:val="001124C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2016-01-22T08:17:00Z</dcterms:created>
  <dcterms:modified xsi:type="dcterms:W3CDTF">2016-01-22T08:17:00Z</dcterms:modified>
</cp:coreProperties>
</file>