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5E" w:rsidRDefault="0007045E">
      <w:pPr>
        <w:spacing w:line="600" w:lineRule="exact"/>
        <w:rPr>
          <w:rFonts w:ascii="仿宋_GB2312" w:eastAsia="仿宋_GB2312" w:hAnsi="黑体"/>
          <w:sz w:val="24"/>
        </w:rPr>
      </w:pPr>
    </w:p>
    <w:p w:rsidR="0007045E" w:rsidRDefault="0007045E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07045E" w:rsidRDefault="0007045E">
      <w:pPr>
        <w:spacing w:line="60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单位名称（盖章）：</w:t>
      </w:r>
      <w:r>
        <w:rPr>
          <w:rFonts w:ascii="仿宋_GB2312" w:eastAsia="仿宋_GB2312" w:hAnsi="黑体"/>
          <w:sz w:val="30"/>
          <w:szCs w:val="30"/>
        </w:rPr>
        <w:t xml:space="preserve">           </w:t>
      </w: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2015</w:t>
      </w:r>
      <w:r>
        <w:rPr>
          <w:rFonts w:ascii="仿宋_GB2312" w:eastAsia="仿宋_GB2312" w:hAnsi="黑体" w:hint="eastAsia"/>
          <w:sz w:val="30"/>
          <w:szCs w:val="30"/>
        </w:rPr>
        <w:t>年</w:t>
      </w:r>
      <w:r>
        <w:rPr>
          <w:rFonts w:ascii="仿宋_GB2312" w:eastAsia="仿宋_GB2312" w:hAnsi="黑体"/>
          <w:sz w:val="30"/>
          <w:szCs w:val="30"/>
        </w:rPr>
        <w:t>12</w:t>
      </w:r>
      <w:r>
        <w:rPr>
          <w:rFonts w:ascii="仿宋_GB2312" w:eastAsia="仿宋_GB2312" w:hAnsi="黑体" w:hint="eastAsia"/>
          <w:sz w:val="30"/>
          <w:szCs w:val="30"/>
        </w:rPr>
        <w:t>月</w:t>
      </w:r>
      <w:r>
        <w:rPr>
          <w:rFonts w:ascii="仿宋_GB2312" w:eastAsia="仿宋_GB2312" w:hAnsi="黑体"/>
          <w:sz w:val="30"/>
          <w:szCs w:val="30"/>
        </w:rPr>
        <w:t>21</w:t>
      </w:r>
      <w:r>
        <w:rPr>
          <w:rFonts w:ascii="仿宋_GB2312" w:eastAsia="仿宋_GB2312" w:hAnsi="黑体" w:hint="eastAsia"/>
          <w:sz w:val="30"/>
          <w:szCs w:val="30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黑体" w:hint="eastAsia"/>
              </w:rPr>
              <w:t>营业性文艺表演团体设立、变更审批</w:t>
            </w:r>
          </w:p>
        </w:tc>
      </w:tr>
      <w:tr w:rsidR="0007045E" w:rsidTr="00700DDE">
        <w:trPr>
          <w:trHeight w:val="3970"/>
        </w:trPr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设立、变更、延续、注销、补证。</w:t>
            </w:r>
          </w:p>
        </w:tc>
        <w:tc>
          <w:tcPr>
            <w:tcW w:w="1260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07045E" w:rsidRDefault="0007045E" w:rsidP="0007045E">
            <w:pPr>
              <w:pStyle w:val="a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  <w:bookmarkStart w:id="0" w:name="_Toc340563849"/>
            <w:bookmarkStart w:id="1" w:name="_Toc340566831"/>
            <w:bookmarkStart w:id="2" w:name="_Toc340567022"/>
            <w:bookmarkStart w:id="3" w:name="_Toc342384512"/>
            <w:r>
              <w:rPr>
                <w:rFonts w:ascii="仿宋_GB2312" w:eastAsia="仿宋_GB2312" w:hint="eastAsia"/>
                <w:sz w:val="32"/>
                <w:szCs w:val="32"/>
              </w:rPr>
              <w:t>本业务手册规定了文艺表演团体审批的各项工作程序和作业要求，适用于文艺表演团体设立的</w:t>
            </w:r>
            <w:r>
              <w:rPr>
                <w:rFonts w:ascii="仿宋_GB2312" w:eastAsia="仿宋_GB2312" w:hAnsi="宋体" w:cs="Calibri" w:hint="eastAsia"/>
                <w:bCs/>
                <w:sz w:val="32"/>
                <w:szCs w:val="32"/>
              </w:rPr>
              <w:t>咨询、受理和办理。</w:t>
            </w:r>
            <w:bookmarkEnd w:id="0"/>
            <w:bookmarkEnd w:id="1"/>
            <w:bookmarkEnd w:id="2"/>
            <w:bookmarkEnd w:id="3"/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受理期限：设立及变更演员申请，为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其他手续应当场受理。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申报材料符合受理条件的，当场予以受理；不符合条件的，当场一次性告知相对人；当场未予答复的，视为受理。</w:t>
            </w:r>
          </w:p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设立及变更演员申请为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个工作日。其他变更、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延续、补证手续应及时办结；注销手续应当场办结。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。</w:t>
            </w:r>
          </w:p>
          <w:p w:rsidR="0007045E" w:rsidRDefault="0007045E" w:rsidP="0007045E">
            <w:pPr>
              <w:pStyle w:val="a"/>
              <w:snapToGrid w:val="0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受理期限：设立及变更演员申请，为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07045E" w:rsidRDefault="0007045E" w:rsidP="0007045E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其他手续应当场受理。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申报材料符合受理条件的，当场予以受理；不符合条件的，当场一次性告知相对人；当场未予答复的，视为受理。</w:t>
            </w:r>
          </w:p>
          <w:p w:rsidR="0007045E" w:rsidRDefault="0007045E" w:rsidP="0007045E">
            <w:pPr>
              <w:pStyle w:val="a"/>
              <w:snapToGrid w:val="0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设立及变更演员申请为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个工作日。其他变更、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延续、补证手续应及时办结；注销手续应当场办结。</w:t>
            </w: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07045E" w:rsidRDefault="0007045E" w:rsidP="0007045E">
            <w:pPr>
              <w:spacing w:line="600" w:lineRule="exact"/>
              <w:ind w:firstLineChars="15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市场股</w:t>
            </w: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8849232</w:t>
            </w:r>
          </w:p>
        </w:tc>
        <w:tc>
          <w:tcPr>
            <w:tcW w:w="1260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8849232</w:t>
            </w: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文艺表演团体申请登记表；</w:t>
            </w:r>
          </w:p>
          <w:p w:rsidR="0007045E" w:rsidRDefault="0007045E" w:rsidP="0007045E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营业执照（事业单位法人证书、民办非企业单位登记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trike/>
                <w:color w:val="9999FF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证书）副本复印件；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法定代表人或者主要负责人身份证明复印件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营业执照（事业单位法人证书或民办非企业单位登记证书）已载明姓名及身份证明编号的，可以不用提供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；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color w:val="9999FF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4.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演员的艺术表演能力证明复印件，可以是：中专以上学校文艺表演类专业毕业证书、职称证书、中国演出行业协会颁发的演员资格证明、其他有效证明（演出或练习的视频资料等证明）。</w:t>
            </w:r>
          </w:p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1.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文艺表演团体申请登记表；</w:t>
            </w:r>
          </w:p>
          <w:p w:rsidR="0007045E" w:rsidRDefault="0007045E" w:rsidP="0007045E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营业执照（事业单位法人证书、民办非企业单位登记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trike/>
                <w:color w:val="9999FF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证书）副本复印件；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3.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法定代表人或者主要负责人身份证明复印件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营业执照（事业单位法人证书或民办非企业单位登记证书）已载明姓名及身份证明编号的，可以不用提供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；</w:t>
            </w:r>
          </w:p>
          <w:p w:rsidR="0007045E" w:rsidRDefault="0007045E" w:rsidP="0007045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Times New Roman"/>
                <w:color w:val="9999FF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4.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演员的艺术表演能力证明复印件，可以是：中专以上学校文艺表演类专业毕业证书、职称证书、中国演出行业协会颁发的演员资格证明、其他有效证明（演出或练习的视频资料等证明）。</w:t>
            </w:r>
          </w:p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 w:rsidP="0007045E">
            <w:pPr>
              <w:widowControl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《国务院关于印发注册资本登记制度改革方案的通知》（国发</w:t>
            </w:r>
            <w:r>
              <w:rPr>
                <w:rFonts w:ascii="仿宋_GB2312" w:eastAsia="仿宋_GB2312" w:hAnsi="仿宋_GB2312" w:cs="仿宋_GB2312" w:hint="eastAsia"/>
                <w:color w:val="252525"/>
                <w:sz w:val="32"/>
                <w:szCs w:val="32"/>
                <w:shd w:val="clear" w:color="auto" w:fill="FFFFFF"/>
              </w:rPr>
              <w:t>〔</w:t>
            </w:r>
            <w:r>
              <w:rPr>
                <w:rFonts w:ascii="仿宋_GB2312" w:eastAsia="仿宋_GB2312" w:hAnsi="仿宋_GB2312" w:cs="仿宋_GB2312"/>
                <w:color w:val="252525"/>
                <w:sz w:val="32"/>
                <w:szCs w:val="32"/>
                <w:shd w:val="clear" w:color="auto" w:fill="FFFFFF"/>
              </w:rPr>
              <w:t>2014</w:t>
            </w:r>
            <w:r>
              <w:rPr>
                <w:rFonts w:ascii="仿宋_GB2312" w:eastAsia="仿宋_GB2312" w:hAnsi="仿宋_GB2312" w:cs="仿宋_GB2312" w:hint="eastAsia"/>
                <w:color w:val="252525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仿宋_GB2312" w:eastAsia="仿宋_GB2312" w:hAnsi="仿宋_GB2312" w:cs="仿宋_GB2312"/>
                <w:color w:val="252525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252525"/>
                <w:sz w:val="32"/>
                <w:szCs w:val="32"/>
                <w:shd w:val="clear" w:color="auto" w:fill="FFFFFF"/>
              </w:rPr>
              <w:t>号）；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《国务院关于废止和修改部分行政法规的决定》（国务院令第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  <w:t>638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号）第十三条；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《营业性演出管理条例》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国务院令第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528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第六条、第七条；《营业性演出管理条例实施细则》（文化部第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号令）第七条；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《内地与香港（澳门）关于建立更紧密经贸关系的安排》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(CEPA)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补充协议九；《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文化部关于实施《〈内地与香港关于建立更紧密经贸关系的安排〉补充协议九》和《〈内地与澳门关于建立更紧密经贸关系的安排〉补充协议九》有关事项的通知》（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文市函〔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2012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1916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）；《文化部关于做好取消和下放营业性演出审批项目工作的通知》（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文市发〔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2013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〕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；《文化部关于落实“先照后证”改进文化市场行政审批工作的通知》（</w:t>
            </w:r>
            <w:r>
              <w:rPr>
                <w:rFonts w:ascii="仿宋_GB2312" w:eastAsia="仿宋_GB2312" w:hAnsi="仿宋_GB2312" w:hint="eastAsia"/>
                <w:sz w:val="32"/>
              </w:rPr>
              <w:t>文市函〔</w:t>
            </w:r>
            <w:r>
              <w:rPr>
                <w:rFonts w:ascii="仿宋_GB2312" w:eastAsia="仿宋_GB2312" w:hAnsi="仿宋_GB2312"/>
                <w:sz w:val="32"/>
              </w:rPr>
              <w:t>2015</w:t>
            </w:r>
            <w:r>
              <w:rPr>
                <w:rFonts w:ascii="仿宋_GB2312" w:eastAsia="仿宋_GB2312" w:hAnsi="仿宋_GB2312" w:hint="eastAsia"/>
                <w:sz w:val="32"/>
              </w:rPr>
              <w:t>〕</w:t>
            </w:r>
            <w:r>
              <w:rPr>
                <w:rFonts w:ascii="仿宋_GB2312" w:eastAsia="仿宋_GB2312" w:hAnsi="仿宋_GB2312"/>
                <w:sz w:val="32"/>
              </w:rPr>
              <w:t>627</w:t>
            </w:r>
            <w:r>
              <w:rPr>
                <w:rFonts w:ascii="仿宋_GB2312" w:eastAsia="仿宋_GB2312" w:hAnsi="仿宋_GB2312" w:hint="eastAsia"/>
                <w:sz w:val="32"/>
              </w:rPr>
              <w:t>号）</w:t>
            </w:r>
          </w:p>
          <w:p w:rsidR="0007045E" w:rsidRDefault="0007045E" w:rsidP="0007045E">
            <w:pPr>
              <w:tabs>
                <w:tab w:val="center" w:pos="4201"/>
                <w:tab w:val="right" w:leader="dot" w:pos="9298"/>
              </w:tabs>
              <w:spacing w:line="560" w:lineRule="exact"/>
              <w:ind w:firstLineChars="200" w:firstLine="3168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7045E"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不收费</w:t>
            </w:r>
            <w:bookmarkStart w:id="4" w:name="_GoBack"/>
            <w:bookmarkEnd w:id="4"/>
          </w:p>
        </w:tc>
      </w:tr>
      <w:tr w:rsidR="0007045E">
        <w:trPr>
          <w:trHeight w:val="13694"/>
        </w:trPr>
        <w:tc>
          <w:tcPr>
            <w:tcW w:w="1188" w:type="dxa"/>
            <w:vAlign w:val="center"/>
          </w:tcPr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07045E" w:rsidRDefault="0007045E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07045E" w:rsidRDefault="0007045E">
            <w:pPr>
              <w:rPr>
                <w:rFonts w:ascii="仿宋_GB2312" w:eastAsia="仿宋_GB2312"/>
                <w:sz w:val="24"/>
              </w:rPr>
            </w:pPr>
            <w:r w:rsidRPr="00C2081C">
              <w:rPr>
                <w:rFonts w:ascii="仿宋_GB2312" w:eastAsia="仿宋_GB2312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8.75pt;height:357pt">
                  <v:imagedata r:id="rId6" o:title=""/>
                </v:shape>
              </w:pict>
            </w:r>
          </w:p>
        </w:tc>
      </w:tr>
    </w:tbl>
    <w:p w:rsidR="0007045E" w:rsidRDefault="0007045E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07045E" w:rsidRDefault="0007045E"/>
    <w:sectPr w:rsidR="0007045E" w:rsidSect="00C2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45E" w:rsidRDefault="0007045E" w:rsidP="00C2081C">
      <w:r>
        <w:separator/>
      </w:r>
    </w:p>
  </w:endnote>
  <w:endnote w:type="continuationSeparator" w:id="1">
    <w:p w:rsidR="0007045E" w:rsidRDefault="0007045E" w:rsidP="00C2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45E" w:rsidRDefault="0007045E" w:rsidP="00C2081C">
      <w:r>
        <w:separator/>
      </w:r>
    </w:p>
  </w:footnote>
  <w:footnote w:type="continuationSeparator" w:id="1">
    <w:p w:rsidR="0007045E" w:rsidRDefault="0007045E" w:rsidP="00C2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5E" w:rsidRDefault="000704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06C99"/>
    <w:rsid w:val="00046817"/>
    <w:rsid w:val="00061897"/>
    <w:rsid w:val="0007045E"/>
    <w:rsid w:val="000F7178"/>
    <w:rsid w:val="001058F2"/>
    <w:rsid w:val="0011096C"/>
    <w:rsid w:val="001D4275"/>
    <w:rsid w:val="0020613F"/>
    <w:rsid w:val="002157B4"/>
    <w:rsid w:val="0026327A"/>
    <w:rsid w:val="0030755E"/>
    <w:rsid w:val="00380297"/>
    <w:rsid w:val="003A46F3"/>
    <w:rsid w:val="003C040E"/>
    <w:rsid w:val="00405021"/>
    <w:rsid w:val="00411332"/>
    <w:rsid w:val="0049088D"/>
    <w:rsid w:val="004E76D5"/>
    <w:rsid w:val="005F1DDA"/>
    <w:rsid w:val="00641741"/>
    <w:rsid w:val="006571AD"/>
    <w:rsid w:val="00700DDE"/>
    <w:rsid w:val="008020FF"/>
    <w:rsid w:val="0087507D"/>
    <w:rsid w:val="00925736"/>
    <w:rsid w:val="00940B86"/>
    <w:rsid w:val="009C4080"/>
    <w:rsid w:val="009D025E"/>
    <w:rsid w:val="009D5BC7"/>
    <w:rsid w:val="00A97B88"/>
    <w:rsid w:val="00AF2FF2"/>
    <w:rsid w:val="00AF3B6F"/>
    <w:rsid w:val="00B13E04"/>
    <w:rsid w:val="00B363ED"/>
    <w:rsid w:val="00B762CE"/>
    <w:rsid w:val="00B94E40"/>
    <w:rsid w:val="00BB736E"/>
    <w:rsid w:val="00BF4561"/>
    <w:rsid w:val="00C2081C"/>
    <w:rsid w:val="00CE69DF"/>
    <w:rsid w:val="00D3747B"/>
    <w:rsid w:val="00D52AD3"/>
    <w:rsid w:val="00E938CF"/>
    <w:rsid w:val="00F354ED"/>
    <w:rsid w:val="06C510AB"/>
    <w:rsid w:val="34D15BB4"/>
    <w:rsid w:val="440814E0"/>
    <w:rsid w:val="652E6413"/>
    <w:rsid w:val="7D05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1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20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08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20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081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2081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C2081C"/>
    <w:rPr>
      <w:rFonts w:cs="Times New Roman"/>
      <w:color w:val="CC0000"/>
    </w:rPr>
  </w:style>
  <w:style w:type="character" w:styleId="Hyperlink">
    <w:name w:val="Hyperlink"/>
    <w:basedOn w:val="DefaultParagraphFont"/>
    <w:uiPriority w:val="99"/>
    <w:rsid w:val="00C2081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081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C2081C"/>
    <w:pPr>
      <w:widowControl/>
      <w:snapToGrid w:val="0"/>
      <w:jc w:val="left"/>
    </w:pPr>
    <w:rPr>
      <w:kern w:val="0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C2081C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a">
    <w:name w:val="段"/>
    <w:uiPriority w:val="99"/>
    <w:rsid w:val="00C2081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2"/>
    </w:rPr>
  </w:style>
  <w:style w:type="paragraph" w:customStyle="1" w:styleId="p17">
    <w:name w:val="p17"/>
    <w:basedOn w:val="Normal"/>
    <w:uiPriority w:val="99"/>
    <w:rsid w:val="00C2081C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207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3</cp:revision>
  <cp:lastPrinted>2015-12-21T07:17:00Z</cp:lastPrinted>
  <dcterms:created xsi:type="dcterms:W3CDTF">2015-12-22T03:58:00Z</dcterms:created>
  <dcterms:modified xsi:type="dcterms:W3CDTF">2016-12-05T09:31:00Z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