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91" w:rsidRDefault="00F64991">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F64991" w:rsidRDefault="00F64991">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F64991">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性病防治监督</w:t>
            </w:r>
          </w:p>
        </w:tc>
      </w:tr>
      <w:tr w:rsidR="00F64991">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F64991" w:rsidRDefault="00F64991">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2"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区属各性病防治诊疗单位</w:t>
            </w:r>
          </w:p>
        </w:tc>
      </w:tr>
      <w:tr w:rsidR="00F64991">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F64991">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2"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F64991">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F64991">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F64991" w:rsidRDefault="00F64991">
            <w:pPr>
              <w:widowControl/>
              <w:spacing w:line="600" w:lineRule="atLeast"/>
              <w:rPr>
                <w:rFonts w:ascii="仿宋_GB2312" w:eastAsia="仿宋_GB2312"/>
                <w:kern w:val="0"/>
                <w:sz w:val="20"/>
                <w:szCs w:val="20"/>
              </w:rPr>
            </w:pPr>
          </w:p>
        </w:tc>
      </w:tr>
      <w:tr w:rsidR="00F64991">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本行政区域内性病防治工作信息</w:t>
            </w:r>
          </w:p>
        </w:tc>
      </w:tr>
      <w:tr w:rsidR="00F64991">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F64991" w:rsidRDefault="00F64991">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《性病防治管理办法》第四十条</w:t>
            </w:r>
            <w:r>
              <w:rPr>
                <w:rFonts w:ascii="宋体" w:hAnsi="宋体" w:cs="宋体"/>
                <w:color w:val="000000"/>
                <w:kern w:val="0"/>
                <w:sz w:val="20"/>
                <w:szCs w:val="20"/>
              </w:rPr>
              <w:t xml:space="preserve"> </w:t>
            </w:r>
            <w:r>
              <w:rPr>
                <w:rFonts w:ascii="宋体" w:hAnsi="宋体" w:cs="宋体" w:hint="eastAsia"/>
                <w:color w:val="000000"/>
                <w:kern w:val="0"/>
                <w:sz w:val="20"/>
                <w:szCs w:val="20"/>
              </w:rPr>
              <w:t>县级以上地方卫生行政部门负责对本行政区域内性病防治工作进行监督管理，定期开展性病防治工作绩效考核与督导检查。督导检查内容包括：（一）疾病预防控制机构性病防治工作职责落实情况；（二）开展性病诊疗业务的医疗机构工作职责落实情况；（三）不具备开展性病诊疗资质的医疗机构发现疑似性病患者的转诊情况；（四）疾病预防控制机构与开展性病诊疗业务的医疗机构性病防治培训情况。第四十一条</w:t>
            </w:r>
            <w:r>
              <w:rPr>
                <w:rFonts w:ascii="宋体" w:hAnsi="宋体" w:cs="宋体"/>
                <w:color w:val="000000"/>
                <w:kern w:val="0"/>
                <w:sz w:val="20"/>
                <w:szCs w:val="20"/>
              </w:rPr>
              <w:t xml:space="preserve"> </w:t>
            </w:r>
            <w:r>
              <w:rPr>
                <w:rFonts w:ascii="宋体" w:hAnsi="宋体" w:cs="宋体" w:hint="eastAsia"/>
                <w:color w:val="000000"/>
                <w:kern w:val="0"/>
                <w:sz w:val="20"/>
                <w:szCs w:val="20"/>
              </w:rPr>
              <w:t>卫生行政部门对开展性病诊疗服务的医疗机构进行校验和评审时，应当将性病诊治情况列入校验和评审内容。第四十二条</w:t>
            </w:r>
            <w:r>
              <w:rPr>
                <w:rFonts w:ascii="宋体" w:hAnsi="宋体" w:cs="宋体"/>
                <w:color w:val="000000"/>
                <w:kern w:val="0"/>
                <w:sz w:val="20"/>
                <w:szCs w:val="20"/>
              </w:rPr>
              <w:t xml:space="preserve"> </w:t>
            </w:r>
            <w:r>
              <w:rPr>
                <w:rFonts w:ascii="宋体" w:hAnsi="宋体" w:cs="宋体" w:hint="eastAsia"/>
                <w:color w:val="000000"/>
                <w:kern w:val="0"/>
                <w:sz w:val="20"/>
                <w:szCs w:val="20"/>
              </w:rPr>
              <w:t>卫生行政部门应当受理个人或者组织对违反本办法行为的举报，并依法进行处理。第四十三条</w:t>
            </w:r>
            <w:r>
              <w:rPr>
                <w:rFonts w:ascii="宋体" w:hAnsi="宋体" w:cs="宋体"/>
                <w:color w:val="000000"/>
                <w:kern w:val="0"/>
                <w:sz w:val="20"/>
                <w:szCs w:val="20"/>
              </w:rPr>
              <w:t xml:space="preserve"> </w:t>
            </w:r>
            <w:r>
              <w:rPr>
                <w:rFonts w:ascii="宋体" w:hAnsi="宋体" w:cs="宋体" w:hint="eastAsia"/>
                <w:color w:val="000000"/>
                <w:kern w:val="0"/>
                <w:sz w:val="20"/>
                <w:szCs w:val="20"/>
              </w:rPr>
              <w:t>卫生行政部门工作人员依法进行监督检查时，应当出示证件；被检查单位应当予以配合，如实反映情况，提供必要的资料，不得拒绝、阻碍或者隐瞒。</w:t>
            </w:r>
          </w:p>
        </w:tc>
      </w:tr>
      <w:tr w:rsidR="00F64991">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F64991" w:rsidRDefault="00F64991">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F64991">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F64991" w:rsidRDefault="00F64991">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F64991" w:rsidRDefault="00F64991">
            <w:pPr>
              <w:widowControl/>
              <w:spacing w:line="600" w:lineRule="atLeast"/>
              <w:jc w:val="center"/>
              <w:rPr>
                <w:rFonts w:eastAsia="黑体"/>
                <w:b/>
                <w:sz w:val="44"/>
              </w:rPr>
            </w:pPr>
          </w:p>
          <w:p w:rsidR="00F64991" w:rsidRDefault="00F64991">
            <w:pPr>
              <w:widowControl/>
              <w:spacing w:line="600" w:lineRule="atLeast"/>
              <w:jc w:val="center"/>
              <w:rPr>
                <w:rFonts w:eastAsia="黑体"/>
                <w:b/>
                <w:sz w:val="44"/>
              </w:rPr>
            </w:pPr>
            <w:r>
              <w:rPr>
                <w:rFonts w:eastAsia="黑体" w:hint="eastAsia"/>
                <w:b/>
                <w:sz w:val="44"/>
              </w:rPr>
              <w:t>性病防治监督流程图</w:t>
            </w:r>
          </w:p>
          <w:p w:rsidR="00F64991" w:rsidRDefault="00F64991">
            <w:pPr>
              <w:widowControl/>
              <w:spacing w:line="600" w:lineRule="atLeast"/>
              <w:jc w:val="center"/>
              <w:rPr>
                <w:rFonts w:eastAsia="黑体"/>
                <w:b/>
                <w:sz w:val="44"/>
              </w:rPr>
            </w:pPr>
            <w:r>
              <w:rPr>
                <w:noProof/>
              </w:rPr>
              <w:pict>
                <v:rect id="_x0000_s1026" style="position:absolute;left:0;text-align:left;margin-left:57.5pt;margin-top:29.35pt;width:204.75pt;height:29.25pt;z-index:251656192">
                  <v:textbox>
                    <w:txbxContent>
                      <w:p w:rsidR="00F64991" w:rsidRDefault="00F64991">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区域内性病防治工作信息</w:t>
                        </w:r>
                      </w:p>
                    </w:txbxContent>
                  </v:textbox>
                </v:rect>
              </w:pict>
            </w:r>
            <w:r>
              <w:rPr>
                <w:noProof/>
              </w:rPr>
              <w:pict>
                <v:group id="_x0000_s1027" style="position:absolute;left:0;text-align:left;margin-left:35.1pt;margin-top:122.5pt;width:248.25pt;height:200.4pt;z-index:251659264" coordorigin="10192,26370" coordsize="4965,4008">
                  <v:rect id="Rectangle 38" o:spid="_x0000_s1028" style="position:absolute;left:10192;top:27150;width:4965;height:468">
                    <v:textbox>
                      <w:txbxContent>
                        <w:p w:rsidR="00F64991" w:rsidRDefault="00F64991">
                          <w:pPr>
                            <w:jc w:val="center"/>
                            <w:rPr>
                              <w:rFonts w:eastAsia="仿宋_GB2312"/>
                              <w:sz w:val="24"/>
                            </w:rPr>
                          </w:pPr>
                          <w:r>
                            <w:rPr>
                              <w:rFonts w:eastAsia="仿宋_GB2312" w:hint="eastAsia"/>
                              <w:sz w:val="24"/>
                            </w:rPr>
                            <w:t>区卫监所制定年度监督计划</w:t>
                          </w:r>
                        </w:p>
                      </w:txbxContent>
                    </v:textbox>
                  </v:rect>
                  <v:line id="Line 40" o:spid="_x0000_s1029" style="position:absolute" from="12846,27720" to="12847,28500">
                    <v:stroke endarrow="block"/>
                  </v:line>
                  <v:rect id="Rectangle 41" o:spid="_x0000_s1030" style="position:absolute;left:10642;top:28530;width:4320;height:468">
                    <v:textbox>
                      <w:txbxContent>
                        <w:p w:rsidR="00F64991" w:rsidRDefault="00F64991">
                          <w:pPr>
                            <w:jc w:val="center"/>
                            <w:rPr>
                              <w:rFonts w:eastAsia="仿宋_GB2312"/>
                              <w:sz w:val="24"/>
                            </w:rPr>
                          </w:pPr>
                          <w:r>
                            <w:rPr>
                              <w:rFonts w:eastAsia="仿宋_GB2312" w:hint="eastAsia"/>
                              <w:sz w:val="24"/>
                            </w:rPr>
                            <w:t>开展现场执法监督</w:t>
                          </w:r>
                        </w:p>
                      </w:txbxContent>
                    </v:textbox>
                  </v:rect>
                  <v:line id="Line 40" o:spid="_x0000_s1031" style="position:absolute" from="12848,26370" to="12849,27150">
                    <v:stroke endarrow="block"/>
                  </v:line>
                  <v:line id="Line 40" o:spid="_x0000_s1032" style="position:absolute" from="12849,29100" to="12850,29880">
                    <v:stroke endarrow="block"/>
                  </v:line>
                  <v:rect id="Rectangle 41" o:spid="_x0000_s1033" style="position:absolute;left:10642;top:29910;width:4320;height:468">
                    <v:textbox>
                      <w:txbxContent>
                        <w:p w:rsidR="00F64991" w:rsidRDefault="00F64991">
                          <w:pPr>
                            <w:jc w:val="center"/>
                            <w:rPr>
                              <w:rFonts w:eastAsia="仿宋_GB2312"/>
                              <w:sz w:val="24"/>
                            </w:rPr>
                          </w:pPr>
                          <w:r>
                            <w:rPr>
                              <w:rFonts w:eastAsia="仿宋_GB2312" w:hint="eastAsia"/>
                              <w:sz w:val="24"/>
                            </w:rPr>
                            <w:t>形成监督报告，反馈问题并要求整改</w:t>
                          </w:r>
                        </w:p>
                      </w:txbxContent>
                    </v:textbox>
                  </v:rect>
                </v:group>
              </w:pict>
            </w:r>
            <w:r>
              <w:rPr>
                <w:noProof/>
              </w:rPr>
              <w:pict>
                <v:rect id="_x0000_s1034" style="position:absolute;left:0;text-align:left;margin-left:78.6pt;margin-top:82.45pt;width:166.55pt;height:35.25pt;z-index:251657216">
                  <v:textbox>
                    <w:txbxContent>
                      <w:p w:rsidR="00F64991" w:rsidRDefault="00F64991">
                        <w:pPr>
                          <w:jc w:val="center"/>
                          <w:rPr>
                            <w:rFonts w:eastAsia="仿宋_GB2312"/>
                            <w:sz w:val="24"/>
                          </w:rPr>
                        </w:pPr>
                        <w:r>
                          <w:rPr>
                            <w:rFonts w:eastAsia="仿宋_GB2312" w:hint="eastAsia"/>
                            <w:sz w:val="24"/>
                          </w:rPr>
                          <w:t>卫计局通过研究制定相应工作方案</w:t>
                        </w:r>
                      </w:p>
                    </w:txbxContent>
                  </v:textbox>
                </v:rect>
              </w:pict>
            </w:r>
            <w:r>
              <w:rPr>
                <w:noProof/>
              </w:rPr>
              <w:pict>
                <v:line id="_x0000_s1035" style="position:absolute;left:0;text-align:left;z-index:251658240" from="167.8pt,58.65pt" to="167.85pt,81.9pt">
                  <v:stroke endarrow="open"/>
                </v:line>
              </w:pict>
            </w:r>
          </w:p>
        </w:tc>
      </w:tr>
    </w:tbl>
    <w:p w:rsidR="00F64991" w:rsidRDefault="00F64991">
      <w:bookmarkStart w:id="0" w:name="_GoBack"/>
      <w:bookmarkEnd w:id="0"/>
    </w:p>
    <w:sectPr w:rsidR="00F64991" w:rsidSect="004554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7075446"/>
    <w:rsid w:val="002D0ACA"/>
    <w:rsid w:val="00455460"/>
    <w:rsid w:val="00C37D0F"/>
    <w:rsid w:val="00D61621"/>
    <w:rsid w:val="00F64991"/>
    <w:rsid w:val="570754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46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92</Words>
  <Characters>530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2016-01-06T08:28:00Z</dcterms:created>
  <dcterms:modified xsi:type="dcterms:W3CDTF">2016-11-03T07:52:00Z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