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A81" w:rsidRDefault="00F30A81">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F30A81" w:rsidRDefault="00F30A81">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F30A81">
        <w:tc>
          <w:tcPr>
            <w:tcW w:w="1188" w:type="dxa"/>
            <w:tcBorders>
              <w:top w:val="single" w:sz="4" w:space="0" w:color="000000"/>
              <w:left w:val="single" w:sz="4" w:space="0" w:color="000000"/>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突发公共卫生事件与传染病疫情监测信息报告管理工作进行监督、指导</w:t>
            </w:r>
          </w:p>
        </w:tc>
      </w:tr>
      <w:tr w:rsidR="00F30A81">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F30A81" w:rsidRDefault="00F30A81">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区属各单位</w:t>
            </w:r>
          </w:p>
        </w:tc>
      </w:tr>
      <w:tr w:rsidR="00F30A81">
        <w:tc>
          <w:tcPr>
            <w:tcW w:w="1188" w:type="dxa"/>
            <w:tcBorders>
              <w:top w:val="single" w:sz="4" w:space="0" w:color="000000"/>
              <w:left w:val="single" w:sz="4" w:space="0" w:color="000000"/>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0" w:type="dxa"/>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F30A81">
        <w:tc>
          <w:tcPr>
            <w:tcW w:w="1188" w:type="dxa"/>
            <w:tcBorders>
              <w:top w:val="single" w:sz="4" w:space="0" w:color="000000"/>
              <w:left w:val="single" w:sz="4" w:space="0" w:color="000000"/>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rPr>
                <w:rFonts w:ascii="仿宋_GB2312" w:eastAsia="仿宋_GB2312"/>
                <w:kern w:val="0"/>
                <w:sz w:val="20"/>
                <w:szCs w:val="20"/>
              </w:rPr>
            </w:pPr>
            <w:r>
              <w:rPr>
                <w:rFonts w:ascii="仿宋_GB2312" w:hAnsi="仿宋_GB2312" w:hint="eastAsia"/>
                <w:kern w:val="0"/>
                <w:sz w:val="20"/>
                <w:szCs w:val="20"/>
              </w:rPr>
              <w:t>区卫生监督所</w:t>
            </w:r>
          </w:p>
          <w:p w:rsidR="00F30A81" w:rsidRDefault="00F30A81">
            <w:pPr>
              <w:widowControl/>
              <w:spacing w:line="600" w:lineRule="atLeast"/>
              <w:rPr>
                <w:rFonts w:ascii="仿宋_GB2312" w:eastAsia="仿宋_GB2312"/>
                <w:kern w:val="0"/>
                <w:sz w:val="20"/>
                <w:szCs w:val="20"/>
              </w:rPr>
            </w:pPr>
            <w:r>
              <w:rPr>
                <w:rFonts w:ascii="仿宋_GB2312" w:hAnsi="仿宋_GB2312" w:hint="eastAsia"/>
                <w:kern w:val="0"/>
                <w:sz w:val="20"/>
                <w:szCs w:val="20"/>
              </w:rPr>
              <w:t>区疾病预防控制中心</w:t>
            </w:r>
          </w:p>
        </w:tc>
      </w:tr>
      <w:tr w:rsidR="00F30A81">
        <w:tc>
          <w:tcPr>
            <w:tcW w:w="1188" w:type="dxa"/>
            <w:tcBorders>
              <w:top w:val="single" w:sz="4" w:space="0" w:color="000000"/>
              <w:left w:val="single" w:sz="4" w:space="0" w:color="000000"/>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F30A81">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F30A81" w:rsidRDefault="00F30A81">
            <w:pPr>
              <w:widowControl/>
              <w:spacing w:line="600" w:lineRule="atLeast"/>
              <w:rPr>
                <w:rFonts w:ascii="仿宋_GB2312" w:eastAsia="仿宋_GB2312"/>
                <w:kern w:val="0"/>
                <w:sz w:val="20"/>
                <w:szCs w:val="20"/>
              </w:rPr>
            </w:pPr>
          </w:p>
        </w:tc>
      </w:tr>
      <w:tr w:rsidR="00F30A81">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本行政区域的突发公共卫生事件与传染病疫情监测信息报告管理工作开展情况信息</w:t>
            </w:r>
          </w:p>
        </w:tc>
      </w:tr>
      <w:tr w:rsidR="00F30A81">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F30A81" w:rsidRDefault="00F30A81">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《突发公共卫生事件与传染病疫情监测信息报告管理办法》第三十三条第二款：县级以上地方人民政府卫生行政部门对本行政区域的突发公共卫生事件与传染病疫情监测信息报告管理工作进行监督、指导。</w:t>
            </w:r>
          </w:p>
        </w:tc>
      </w:tr>
      <w:tr w:rsidR="00F30A81">
        <w:tc>
          <w:tcPr>
            <w:tcW w:w="1188" w:type="dxa"/>
            <w:tcBorders>
              <w:top w:val="single" w:sz="4" w:space="0" w:color="000000"/>
              <w:left w:val="single" w:sz="4" w:space="0" w:color="000000"/>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F30A81" w:rsidRDefault="00F30A81">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F30A81">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F30A81" w:rsidRDefault="00F30A8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F30A81" w:rsidRDefault="00F30A81">
            <w:pPr>
              <w:widowControl/>
              <w:spacing w:line="600" w:lineRule="atLeast"/>
              <w:jc w:val="center"/>
              <w:rPr>
                <w:rFonts w:eastAsia="黑体"/>
                <w:b/>
                <w:sz w:val="44"/>
              </w:rPr>
            </w:pPr>
          </w:p>
          <w:p w:rsidR="00F30A81" w:rsidRDefault="00F30A81">
            <w:pPr>
              <w:widowControl/>
              <w:spacing w:line="600" w:lineRule="atLeast"/>
              <w:jc w:val="center"/>
              <w:rPr>
                <w:rFonts w:eastAsia="黑体"/>
                <w:b/>
                <w:sz w:val="44"/>
              </w:rPr>
            </w:pPr>
            <w:r>
              <w:rPr>
                <w:rFonts w:eastAsia="黑体" w:hint="eastAsia"/>
                <w:b/>
                <w:sz w:val="44"/>
              </w:rPr>
              <w:t>突发公共卫生事件与传染病疫情监测信息报告管理工作进行监督、指导</w:t>
            </w:r>
          </w:p>
          <w:p w:rsidR="00F30A81" w:rsidRDefault="00F30A81">
            <w:pPr>
              <w:widowControl/>
              <w:spacing w:line="600" w:lineRule="atLeast"/>
              <w:jc w:val="center"/>
              <w:rPr>
                <w:rFonts w:eastAsia="黑体"/>
                <w:b/>
                <w:sz w:val="44"/>
              </w:rPr>
            </w:pPr>
            <w:r>
              <w:rPr>
                <w:rFonts w:eastAsia="黑体" w:hint="eastAsia"/>
                <w:b/>
                <w:sz w:val="44"/>
              </w:rPr>
              <w:t>流程图</w:t>
            </w:r>
          </w:p>
          <w:p w:rsidR="00F30A81" w:rsidRDefault="00F30A81">
            <w:pPr>
              <w:widowControl/>
              <w:spacing w:line="600" w:lineRule="atLeast"/>
              <w:jc w:val="center"/>
              <w:rPr>
                <w:rFonts w:eastAsia="黑体"/>
                <w:b/>
                <w:sz w:val="44"/>
              </w:rPr>
            </w:pPr>
            <w:r>
              <w:rPr>
                <w:noProof/>
              </w:rPr>
              <w:pict>
                <v:group id="_x0000_s1026" style="position:absolute;left:0;text-align:left;margin-left:35.1pt;margin-top:125.35pt;width:248.25pt;height:187.2pt;z-index:251659264" coordorigin="10192,26439" coordsize="4965,3744">
                  <v:line id="Line 33" o:spid="_x0000_s1027" style="position:absolute" from="11557,26439" to="11558,27063">
                    <v:stroke endarrow="block"/>
                  </v:line>
                  <v:rect id="Rectangle 34" o:spid="_x0000_s1028" style="position:absolute;left:10297;top:27063;width:2520;height:780">
                    <v:textbox>
                      <w:txbxContent>
                        <w:p w:rsidR="00F30A81" w:rsidRDefault="00F30A81">
                          <w:pPr>
                            <w:rPr>
                              <w:rFonts w:eastAsia="仿宋_GB2312"/>
                              <w:sz w:val="24"/>
                            </w:rPr>
                          </w:pPr>
                          <w:r>
                            <w:rPr>
                              <w:rFonts w:eastAsia="仿宋_GB2312" w:hint="eastAsia"/>
                              <w:sz w:val="24"/>
                            </w:rPr>
                            <w:t>区卫监所制定监督计划</w:t>
                          </w:r>
                        </w:p>
                      </w:txbxContent>
                    </v:textbox>
                  </v:rect>
                  <v:line id="Line 35" o:spid="_x0000_s1029" style="position:absolute" from="14077,26439" to="14078,27063">
                    <v:stroke endarrow="block"/>
                  </v:line>
                  <v:rect id="Rectangle 36" o:spid="_x0000_s1030" style="position:absolute;left:12997;top:27063;width:2160;height:780">
                    <v:textbox>
                      <w:txbxContent>
                        <w:p w:rsidR="00F30A81" w:rsidRDefault="00F30A81">
                          <w:pPr>
                            <w:rPr>
                              <w:rFonts w:eastAsia="仿宋_GB2312"/>
                              <w:sz w:val="24"/>
                            </w:rPr>
                          </w:pPr>
                          <w:r>
                            <w:rPr>
                              <w:rFonts w:eastAsia="仿宋_GB2312" w:hint="eastAsia"/>
                              <w:sz w:val="24"/>
                            </w:rPr>
                            <w:t>区疾控中心制定指导计划</w:t>
                          </w:r>
                        </w:p>
                      </w:txbxContent>
                    </v:textbox>
                  </v:rect>
                  <v:line id="Line 37" o:spid="_x0000_s1031" style="position:absolute" from="11557,27843" to="11558,28467">
                    <v:stroke endarrow="block"/>
                  </v:line>
                  <v:rect id="Rectangle 38" o:spid="_x0000_s1032" style="position:absolute;left:10192;top:28467;width:4965;height:468">
                    <v:textbox>
                      <w:txbxContent>
                        <w:p w:rsidR="00F30A81" w:rsidRDefault="00F30A81">
                          <w:pPr>
                            <w:jc w:val="center"/>
                            <w:rPr>
                              <w:rFonts w:eastAsia="仿宋_GB2312"/>
                              <w:sz w:val="24"/>
                            </w:rPr>
                          </w:pPr>
                          <w:r>
                            <w:rPr>
                              <w:rFonts w:eastAsia="仿宋_GB2312" w:hint="eastAsia"/>
                              <w:sz w:val="24"/>
                            </w:rPr>
                            <w:t>针对辖区内单位进行监督、指导</w:t>
                          </w:r>
                        </w:p>
                      </w:txbxContent>
                    </v:textbox>
                  </v:rect>
                  <v:line id="Line 39" o:spid="_x0000_s1033" style="position:absolute" from="14077,27843" to="14078,28467">
                    <v:stroke endarrow="block"/>
                  </v:line>
                  <v:line id="Line 40" o:spid="_x0000_s1034" style="position:absolute" from="12997,28935" to="12998,29715">
                    <v:stroke endarrow="block"/>
                  </v:line>
                  <v:rect id="Rectangle 41" o:spid="_x0000_s1035" style="position:absolute;left:10837;top:29715;width:4320;height:468">
                    <v:textbox>
                      <w:txbxContent>
                        <w:p w:rsidR="00F30A81" w:rsidRDefault="00F30A81">
                          <w:pPr>
                            <w:jc w:val="center"/>
                            <w:rPr>
                              <w:rFonts w:eastAsia="仿宋_GB2312"/>
                              <w:sz w:val="24"/>
                            </w:rPr>
                          </w:pPr>
                          <w:r>
                            <w:rPr>
                              <w:rFonts w:eastAsia="仿宋_GB2312" w:hint="eastAsia"/>
                              <w:sz w:val="24"/>
                            </w:rPr>
                            <w:t>形成报告并反馈意见、要求整改</w:t>
                          </w:r>
                        </w:p>
                      </w:txbxContent>
                    </v:textbox>
                  </v:rect>
                </v:group>
              </w:pict>
            </w:r>
            <w:r>
              <w:rPr>
                <w:noProof/>
              </w:rPr>
              <w:pict>
                <v:rect id="_x0000_s1036" style="position:absolute;left:0;text-align:left;margin-left:78.6pt;margin-top:82.45pt;width:166.55pt;height:35.25pt;z-index:251657216">
                  <v:textbox>
                    <w:txbxContent>
                      <w:p w:rsidR="00F30A81" w:rsidRDefault="00F30A81">
                        <w:pPr>
                          <w:jc w:val="center"/>
                          <w:rPr>
                            <w:rFonts w:eastAsia="仿宋_GB2312"/>
                            <w:sz w:val="24"/>
                          </w:rPr>
                        </w:pPr>
                        <w:r>
                          <w:rPr>
                            <w:rFonts w:eastAsia="仿宋_GB2312" w:hint="eastAsia"/>
                            <w:sz w:val="24"/>
                          </w:rPr>
                          <w:t>卫计局通过研究制定相应工作方案</w:t>
                        </w:r>
                      </w:p>
                    </w:txbxContent>
                  </v:textbox>
                </v:rect>
              </w:pict>
            </w:r>
            <w:r>
              <w:rPr>
                <w:noProof/>
              </w:rPr>
              <w:pict>
                <v:rect id="_x0000_s1037" style="position:absolute;left:0;text-align:left;margin-left:69.6pt;margin-top:21.7pt;width:200.2pt;height:37.5pt;z-index:251656192">
                  <v:textbox>
                    <w:txbxContent>
                      <w:p w:rsidR="00F30A81" w:rsidRDefault="00F30A81">
                        <w:pPr>
                          <w:jc w:val="center"/>
                          <w:rPr>
                            <w:rFonts w:eastAsia="仿宋_GB2312"/>
                            <w:sz w:val="24"/>
                          </w:rPr>
                        </w:pPr>
                        <w:r>
                          <w:rPr>
                            <w:rFonts w:eastAsia="仿宋_GB2312" w:hint="eastAsia"/>
                            <w:sz w:val="24"/>
                          </w:rPr>
                          <w:t>收集</w:t>
                        </w:r>
                        <w:r>
                          <w:rPr>
                            <w:rFonts w:ascii="宋体" w:hAnsi="宋体" w:cs="宋体" w:hint="eastAsia"/>
                            <w:color w:val="000000"/>
                            <w:kern w:val="0"/>
                            <w:sz w:val="20"/>
                            <w:szCs w:val="20"/>
                          </w:rPr>
                          <w:t>区域的突发公共卫生事件与传染病疫情监测信息报告管理工作开展情况信息</w:t>
                        </w:r>
                      </w:p>
                    </w:txbxContent>
                  </v:textbox>
                </v:rect>
              </w:pict>
            </w:r>
            <w:r>
              <w:rPr>
                <w:noProof/>
              </w:rPr>
              <w:pict>
                <v:line id="_x0000_s1038" style="position:absolute;left:0;text-align:left;z-index:251658240" from="167.8pt,58.65pt" to="167.85pt,81.9pt">
                  <v:stroke endarrow="open"/>
                </v:line>
              </w:pict>
            </w:r>
          </w:p>
        </w:tc>
      </w:tr>
    </w:tbl>
    <w:p w:rsidR="00F30A81" w:rsidRDefault="00F30A81">
      <w:bookmarkStart w:id="0" w:name="_GoBack"/>
      <w:bookmarkEnd w:id="0"/>
    </w:p>
    <w:sectPr w:rsidR="00F30A81" w:rsidSect="008C2C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04361B1"/>
    <w:rsid w:val="002D3F18"/>
    <w:rsid w:val="004D3F65"/>
    <w:rsid w:val="008C2C6E"/>
    <w:rsid w:val="00E331AB"/>
    <w:rsid w:val="00F30A81"/>
    <w:rsid w:val="604361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6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63</Words>
  <Characters>363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2016-01-06T08:45:00Z</dcterms:created>
  <dcterms:modified xsi:type="dcterms:W3CDTF">2016-11-03T07:53:00Z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