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CC" w:rsidRDefault="008237CC">
      <w:pPr>
        <w:widowControl/>
        <w:spacing w:line="600" w:lineRule="atLeast"/>
        <w:jc w:val="center"/>
        <w:rPr>
          <w:rFonts w:ascii="?????_GBK" w:hAnsi="?????_GBK" w:cs="?????_GBK"/>
          <w:kern w:val="0"/>
          <w:sz w:val="36"/>
          <w:szCs w:val="36"/>
        </w:rPr>
      </w:pPr>
      <w:r>
        <w:rPr>
          <w:rFonts w:ascii="?????_GBK" w:hAnsi="?????_GBK" w:cs="宋体" w:hint="eastAsia"/>
          <w:kern w:val="0"/>
          <w:sz w:val="36"/>
          <w:szCs w:val="36"/>
        </w:rPr>
        <w:t>行政权力实施程序和运行流程</w:t>
      </w:r>
    </w:p>
    <w:p w:rsidR="008237CC" w:rsidRDefault="008237CC">
      <w:pPr>
        <w:widowControl/>
        <w:spacing w:line="600" w:lineRule="atLeas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cs="宋体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 w:cs="宋体"/>
          <w:kern w:val="0"/>
          <w:sz w:val="30"/>
          <w:szCs w:val="30"/>
        </w:rPr>
        <w:t xml:space="preserve">        </w:t>
      </w:r>
      <w:r>
        <w:rPr>
          <w:rFonts w:ascii="仿宋_GB2312" w:hAnsi="仿宋_GB2312" w:cs="宋体" w:hint="eastAsia"/>
          <w:kern w:val="0"/>
          <w:sz w:val="30"/>
          <w:szCs w:val="30"/>
        </w:rPr>
        <w:t>填报日期：</w:t>
      </w:r>
      <w:r>
        <w:rPr>
          <w:rFonts w:ascii="仿宋_GB2312" w:hAnsi="仿宋_GB2312" w:cs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cs="宋体" w:hint="eastAsia"/>
          <w:kern w:val="0"/>
          <w:sz w:val="30"/>
          <w:szCs w:val="30"/>
        </w:rPr>
        <w:t>年</w:t>
      </w:r>
      <w:r>
        <w:rPr>
          <w:rFonts w:ascii="仿宋_GB2312" w:hAnsi="仿宋_GB2312" w:cs="仿宋_GB2312"/>
          <w:kern w:val="0"/>
          <w:sz w:val="30"/>
          <w:szCs w:val="30"/>
        </w:rPr>
        <w:t>12</w:t>
      </w:r>
      <w:r>
        <w:rPr>
          <w:rFonts w:ascii="仿宋_GB2312" w:hAnsi="仿宋_GB2312" w:cs="宋体" w:hint="eastAsia"/>
          <w:kern w:val="0"/>
          <w:sz w:val="30"/>
          <w:szCs w:val="30"/>
        </w:rPr>
        <w:t>月</w:t>
      </w:r>
      <w:r>
        <w:rPr>
          <w:rFonts w:ascii="仿宋_GB2312" w:hAnsi="仿宋_GB2312" w:cs="仿宋_GB2312"/>
          <w:kern w:val="0"/>
          <w:sz w:val="30"/>
          <w:szCs w:val="30"/>
        </w:rPr>
        <w:t>27</w:t>
      </w:r>
      <w:r>
        <w:rPr>
          <w:rFonts w:ascii="仿宋_GB2312" w:hAnsi="仿宋_GB2312" w:cs="宋体" w:hint="eastAsia"/>
          <w:kern w:val="0"/>
          <w:sz w:val="30"/>
          <w:szCs w:val="30"/>
        </w:rPr>
        <w:t>日</w:t>
      </w:r>
    </w:p>
    <w:p w:rsidR="008237CC" w:rsidRDefault="008237CC">
      <w:pPr>
        <w:widowControl/>
        <w:spacing w:line="60" w:lineRule="atLeast"/>
        <w:rPr>
          <w:rFonts w:ascii="仿宋_GB2312" w:eastAsia="仿宋_GB2312" w:cs="仿宋_GB2312"/>
          <w:kern w:val="0"/>
          <w:sz w:val="10"/>
          <w:szCs w:val="10"/>
        </w:rPr>
      </w:pPr>
    </w:p>
    <w:tbl>
      <w:tblPr>
        <w:tblW w:w="8522" w:type="dxa"/>
        <w:tblInd w:w="-106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8237C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疫苗接种单位未依法履行法定义务的处罚</w:t>
            </w:r>
          </w:p>
        </w:tc>
      </w:tr>
      <w:tr w:rsidR="008237CC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未履行法定义务的接种单位</w:t>
            </w:r>
          </w:p>
        </w:tc>
      </w:tr>
      <w:tr w:rsidR="008237C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个月以上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个月以下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个月内</w:t>
            </w:r>
          </w:p>
        </w:tc>
      </w:tr>
      <w:tr w:rsidR="008237C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8237C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cs="仿宋_GB2312"/>
                <w:kern w:val="0"/>
                <w:sz w:val="20"/>
                <w:szCs w:val="20"/>
              </w:rPr>
              <w:t>2987137</w:t>
            </w:r>
          </w:p>
        </w:tc>
      </w:tr>
      <w:tr w:rsidR="008237CC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受种对象举报；上级卫生行政机关交办、本级卫生行政机构报请的或者有关部门移送；上级或本级卫生监督或业务指导机构监督检查、督导、考核反馈。</w:t>
            </w:r>
          </w:p>
        </w:tc>
      </w:tr>
      <w:tr w:rsidR="008237CC">
        <w:trPr>
          <w:trHeight w:hRule="exact"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接种实施流程各环节相关登记、预检、咨询预约、接种记录、公示制度等证据材料材料</w:t>
            </w:r>
          </w:p>
          <w:p w:rsidR="008237CC" w:rsidRDefault="008237CC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8237CC">
        <w:trPr>
          <w:trHeight w:val="379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42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苗流通和预防接种管理条例》第五十七条接种单位有下列情形之一的，由所在地的县级人民政府卫生主管部门责令改正，给予警告；拒不改正的，对主要负责人、直接负责的主管人员依法给予警告、降级的处分，对负有责任的医疗卫生人员责令暂停</w:t>
            </w:r>
            <w:r>
              <w:rPr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个月以上６个月以下的执业活动：（一）未依照规定建立并保存真实、完整的疫苗接收或者购进记录的；（二）未在其接种场所的显著位置公示第一类疫苗的品种和接种方法的；（三）医疗卫生人员在接种前，未依照本条例规定告知、询问受种者或者其监护人有关情况的；（四）实施预防接种的医疗卫生人员未依照规定填写并保存接种记录的；（五）未依照规定对接种疫苗的情况进行登记并报告的。</w:t>
            </w:r>
          </w:p>
        </w:tc>
      </w:tr>
      <w:tr w:rsidR="008237C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8237CC">
        <w:trPr>
          <w:trHeight w:val="1345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8237CC" w:rsidRDefault="008237CC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37CC" w:rsidRDefault="008237CC">
            <w:pPr>
              <w:widowControl/>
              <w:spacing w:line="600" w:lineRule="atLeast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</w:rPr>
              <w:t>疫苗接种单位未依法履行法定义务的行政处罚流程</w:t>
            </w:r>
          </w:p>
          <w:p w:rsidR="008237CC" w:rsidRDefault="008237CC">
            <w:pPr>
              <w:widowControl/>
              <w:spacing w:line="600" w:lineRule="atLeast"/>
              <w:rPr>
                <w:rFonts w:cs="Calibri"/>
                <w:szCs w:val="21"/>
              </w:rPr>
            </w:pPr>
            <w:r>
              <w:rPr>
                <w:noProof/>
              </w:rPr>
              <w:pict>
                <v:rect id="_x0000_s1026" style="position:absolute;left:0;text-align:left;margin-left:21pt;margin-top:129.1pt;width:306pt;height:46.2pt;z-index:251651584">
                  <v:textbox>
                    <w:txbxContent>
                      <w:p w:rsidR="008237CC" w:rsidRDefault="008237CC">
                        <w:pPr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调查取证：</w:t>
                        </w:r>
                        <w:r>
                          <w:rPr>
                            <w:rFonts w:eastAsia="仿宋_GB2312" w:cs="仿宋_GB2312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名以上卫生执法人员向当事人进行现场检查、调查、勘察、制作询问笔录或调取相关证据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80.8pt;margin-top:249.4pt;width:172.9pt;height:62.25pt;z-index:251665920;mso-wrap-distance-top:3.6pt;mso-wrap-distance-bottom:3.6pt">
                  <v:textbox>
                    <w:txbxContent>
                      <w:p w:rsidR="008237CC" w:rsidRDefault="008237CC">
                        <w:pPr>
                          <w:jc w:val="center"/>
                          <w:rPr>
                            <w:rFonts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告知：制作《卫生行政处罚事先告知书》，告知陈述答辩或听证权利送达当事人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>
                <v:group id="_x0000_s1028" style="position:absolute;left:0;text-align:left;margin-left:44.85pt;margin-top:179.05pt;width:248.25pt;height:319.8pt;z-index:251648512" coordorigin="10192,23787" coordsize="4965,6396">
                  <v:line id="Line 31" o:spid="_x0000_s1029" style="position:absolute" from="12637,23787" to="12638,24099">
                    <v:stroke endarrow="block"/>
                  </v:line>
                  <v:line id="Line 33" o:spid="_x0000_s1030" style="position:absolute" from="11557,26439" to="11558,27063">
                    <v:stroke endarrow="block"/>
                  </v:line>
                  <v:rect id="Rectangle 34" o:spid="_x0000_s1031" style="position:absolute;left:10297;top:27063;width:2520;height:780">
                    <v:textbox>
                      <w:txbxContent>
                        <w:p w:rsidR="008237CC" w:rsidRDefault="008237CC">
                          <w:pPr>
                            <w:rPr>
                              <w:rFonts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听取当事人陈述、申辩</w:t>
                          </w:r>
                        </w:p>
                      </w:txbxContent>
                    </v:textbox>
                  </v:rect>
                  <v:line id="Line 6" o:spid="_x0000_s1032" style="position:absolute" from="14077,26439" to="14078,27063">
                    <v:stroke endarrow="block"/>
                  </v:line>
                  <v:rect id="Rectangle 36" o:spid="_x0000_s1033" style="position:absolute;left:12997;top:27063;width:2160;height:780">
                    <v:textbox>
                      <w:txbxContent>
                        <w:p w:rsidR="008237CC" w:rsidRDefault="008237CC">
                          <w:pPr>
                            <w:rPr>
                              <w:rFonts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34" style="position:absolute" from="11557,27843" to="11558,28467">
                    <v:stroke endarrow="block"/>
                  </v:line>
                  <v:rect id="Rectangle 38" o:spid="_x0000_s1035" style="position:absolute;left:10192;top:28467;width:4965;height:468">
                    <v:textbox>
                      <w:txbxContent>
                        <w:p w:rsidR="008237CC" w:rsidRDefault="008237CC">
                          <w:pPr>
                            <w:jc w:val="center"/>
                            <w:rPr>
                              <w:rFonts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36" style="position:absolute" from="14077,27843" to="14078,28467">
                    <v:stroke endarrow="block"/>
                  </v:line>
                  <v:line id="Line 40" o:spid="_x0000_s1037" style="position:absolute" from="12997,28935" to="12998,29715">
                    <v:stroke endarrow="block"/>
                  </v:line>
                  <v:rect id="Rectangle 41" o:spid="_x0000_s1038" style="position:absolute;left:10837;top:29715;width:4320;height:468">
                    <v:textbox>
                      <w:txbxContent>
                        <w:p w:rsidR="008237CC" w:rsidRDefault="008237CC">
                          <w:pPr>
                            <w:jc w:val="center"/>
                            <w:rPr>
                              <w:rFonts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line id="Line 46" o:spid="_x0000_s1039" style="position:absolute" from="12622,24567" to="12637,25182">
                    <v:stroke endarrow="block"/>
                  </v:line>
                  <v:rect id="Rectangle 47" o:spid="_x0000_s1040" style="position:absolute;left:11257;top:24099;width:2880;height:468">
                    <v:textbox>
                      <w:txbxContent>
                        <w:p w:rsidR="008237CC" w:rsidRDefault="008237CC">
                          <w:pPr>
                            <w:jc w:val="center"/>
                            <w:rPr>
                              <w:rFonts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案件审理：形成初审意见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</w:rPr>
              <w:pict>
                <v:rect id="_x0000_s1041" style="position:absolute;left:0;text-align:left;margin-left:89.9pt;margin-top:7.3pt;width:153pt;height:38.85pt;z-index:251664896">
                  <v:textbox>
                    <w:txbxContent>
                      <w:p w:rsidR="008237CC" w:rsidRDefault="008237CC">
                        <w:pPr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受理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042" type="#_x0000_t202" style="position:absolute;left:0;text-align:left;margin-left:96.75pt;margin-top:224.35pt;width:57.8pt;height:21.75pt;z-index:251666944" strokecolor="white">
                  <v:textbox>
                    <w:txbxContent>
                      <w:p w:rsidR="008237CC" w:rsidRDefault="008237CC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3" type="#_x0000_t202" style="position:absolute;left:0;text-align:left;margin-left:121.2pt;margin-top:56.35pt;width:43.55pt;height:21pt;z-index:251649536" strokecolor="white">
                  <v:textbox>
                    <w:txbxContent>
                      <w:p w:rsidR="008237CC" w:rsidRDefault="008237CC">
                        <w:r>
                          <w:t>7</w:t>
                        </w:r>
                        <w:r>
                          <w:rPr>
                            <w:rFonts w:cs="宋体"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4" type="#_x0000_t202" style="position:absolute;left:0;text-align:left;margin-left:196.05pt;margin-top:445.7pt;width:73.45pt;height:26.25pt;z-index:251650560" strokecolor="white">
                  <v:textbox>
                    <w:txbxContent>
                      <w:p w:rsidR="008237CC" w:rsidRDefault="008237CC">
                        <w:r>
                          <w:t>7</w:t>
                        </w:r>
                        <w:r>
                          <w:rPr>
                            <w:rFonts w:cs="宋体"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45" style="position:absolute;left:0;text-align:left;z-index:251652608" from="167.6pt,106.05pt" to="167.65pt,129.3pt">
                  <v:stroke endarrow="open"/>
                </v:line>
              </w:pict>
            </w:r>
            <w:r>
              <w:rPr>
                <w:noProof/>
              </w:rPr>
              <w:pict>
                <v:rect id="_x0000_s1046" style="position:absolute;left:0;text-align:left;margin-left:119.55pt;margin-top:82.45pt;width:99pt;height:23.4pt;z-index:251653632">
                  <v:textbox>
                    <w:txbxContent>
                      <w:p w:rsidR="008237CC" w:rsidRDefault="008237CC">
                        <w:pPr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7" style="position:absolute;left:0;text-align:left;z-index:251654656" from="189.7pt,567.1pt" to="206.25pt,567.55pt">
                  <v:stroke endarrow="block"/>
                </v:line>
              </w:pict>
            </w:r>
            <w:r>
              <w:rPr>
                <w:noProof/>
              </w:rPr>
              <w:pict>
                <v:shape id="_x0000_s1048" type="#_x0000_t202" style="position:absolute;left:0;text-align:left;margin-left:215.05pt;margin-top:554.2pt;width:60.8pt;height:25.5pt;z-index:251655680">
                  <v:textbox>
                    <w:txbxContent>
                      <w:p w:rsidR="008237CC" w:rsidRDefault="008237CC">
                        <w:r>
                          <w:rPr>
                            <w:rFonts w:cs="宋体"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49" style="position:absolute;left:0;text-align:left;margin-left:78.65pt;margin-top:555.55pt;width:99.75pt;height:23.4pt;z-index:251656704">
                  <v:textbox>
                    <w:txbxContent>
                      <w:p w:rsidR="008237CC" w:rsidRDefault="008237CC">
                        <w:pPr>
                          <w:jc w:val="center"/>
                        </w:pPr>
                        <w:r>
                          <w:rPr>
                            <w:rFonts w:cs="宋体" w:hint="eastAsia"/>
                          </w:rPr>
                          <w:t>申请强制执行</w:t>
                        </w:r>
                      </w:p>
                      <w:p w:rsidR="008237CC" w:rsidRDefault="008237CC">
                        <w:pPr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0" style="position:absolute;left:0;text-align:left;z-index:251657728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51" style="position:absolute;left:0;text-align:left;z-index:25165875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_x0000_s1052" style="position:absolute;left:0;text-align:left;margin-left:101pt;margin-top:511.45pt;width:54pt;height:23.4pt;z-index:251659776">
                  <v:textbox>
                    <w:txbxContent>
                      <w:p w:rsidR="008237CC" w:rsidRDefault="008237CC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3" style="position:absolute;left:0;text-align:left;margin-left:215.75pt;margin-top:512.2pt;width:54pt;height:23.4pt;z-index:251660800">
                  <v:textbox>
                    <w:txbxContent>
                      <w:p w:rsidR="008237CC" w:rsidRDefault="008237CC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4" style="position:absolute;left:0;text-align:left;z-index:251661824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_x0000_s1055" style="position:absolute;left:0;text-align:left;z-index:251662848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line id="_x0000_s1056" style="position:absolute;left:0;text-align:left;z-index:251663872" from="167.8pt,58.65pt" to="167.85pt,81.9pt">
                  <v:stroke endarrow="open"/>
                </v:line>
              </w:pict>
            </w:r>
          </w:p>
          <w:p w:rsidR="008237CC" w:rsidRDefault="008237CC">
            <w:pPr>
              <w:rPr>
                <w:rFonts w:cs="Calibri"/>
                <w:szCs w:val="21"/>
              </w:rPr>
            </w:pPr>
          </w:p>
          <w:p w:rsidR="008237CC" w:rsidRDefault="008237CC">
            <w:pPr>
              <w:rPr>
                <w:rFonts w:cs="Calibri"/>
                <w:szCs w:val="21"/>
              </w:rPr>
            </w:pPr>
          </w:p>
          <w:p w:rsidR="008237CC" w:rsidRDefault="008237CC">
            <w:pPr>
              <w:rPr>
                <w:rFonts w:cs="Calibri"/>
                <w:szCs w:val="21"/>
              </w:rPr>
            </w:pPr>
          </w:p>
          <w:p w:rsidR="008237CC" w:rsidRDefault="008237CC">
            <w:pPr>
              <w:rPr>
                <w:rFonts w:cs="Calibri"/>
                <w:szCs w:val="21"/>
              </w:rPr>
            </w:pPr>
          </w:p>
          <w:p w:rsidR="008237CC" w:rsidRDefault="008237CC">
            <w:pPr>
              <w:rPr>
                <w:rFonts w:cs="Calibri"/>
                <w:szCs w:val="21"/>
              </w:rPr>
            </w:pPr>
          </w:p>
          <w:p w:rsidR="008237CC" w:rsidRDefault="008237CC">
            <w:pPr>
              <w:rPr>
                <w:rFonts w:cs="Calibri"/>
                <w:szCs w:val="21"/>
              </w:rPr>
            </w:pPr>
          </w:p>
          <w:p w:rsidR="008237CC" w:rsidRDefault="008237CC">
            <w:pPr>
              <w:rPr>
                <w:rFonts w:cs="Calibri"/>
                <w:szCs w:val="21"/>
              </w:rPr>
            </w:pPr>
          </w:p>
          <w:p w:rsidR="008237CC" w:rsidRDefault="008237CC">
            <w:pPr>
              <w:rPr>
                <w:rFonts w:cs="Calibri"/>
                <w:szCs w:val="21"/>
              </w:rPr>
            </w:pPr>
          </w:p>
          <w:p w:rsidR="008237CC" w:rsidRDefault="008237CC">
            <w:pPr>
              <w:rPr>
                <w:rFonts w:cs="Calibri"/>
                <w:szCs w:val="21"/>
              </w:rPr>
            </w:pPr>
          </w:p>
          <w:p w:rsidR="008237CC" w:rsidRDefault="008237CC">
            <w:pPr>
              <w:rPr>
                <w:rFonts w:cs="Calibri"/>
                <w:szCs w:val="21"/>
              </w:rPr>
            </w:pPr>
          </w:p>
          <w:p w:rsidR="008237CC" w:rsidRDefault="008237CC">
            <w:pPr>
              <w:tabs>
                <w:tab w:val="left" w:pos="4577"/>
              </w:tabs>
              <w:jc w:val="left"/>
            </w:pPr>
            <w:r>
              <w:rPr>
                <w:rFonts w:cs="Calibri"/>
                <w:szCs w:val="21"/>
              </w:rPr>
              <w:tab/>
            </w:r>
            <w:bookmarkStart w:id="0" w:name="_GoBack"/>
            <w:bookmarkEnd w:id="0"/>
          </w:p>
        </w:tc>
      </w:tr>
    </w:tbl>
    <w:p w:rsidR="008237CC" w:rsidRDefault="008237CC"/>
    <w:sectPr w:rsidR="008237CC" w:rsidSect="006A4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2C5128"/>
    <w:rsid w:val="003210B0"/>
    <w:rsid w:val="005F6D93"/>
    <w:rsid w:val="006A4B78"/>
    <w:rsid w:val="008237CC"/>
    <w:rsid w:val="00AA5746"/>
    <w:rsid w:val="00B45C93"/>
    <w:rsid w:val="00C122EB"/>
    <w:rsid w:val="00C705F6"/>
    <w:rsid w:val="00FE7E9D"/>
    <w:rsid w:val="5A2C5128"/>
    <w:rsid w:val="6E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B7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100</Words>
  <Characters>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2016-01-06T02:49:00Z</dcterms:created>
  <dcterms:modified xsi:type="dcterms:W3CDTF">2016-11-30T08:52:00Z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