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98" w:rsidRDefault="00860498">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860498" w:rsidRDefault="00860498">
      <w:pPr>
        <w:widowControl/>
        <w:spacing w:line="600" w:lineRule="atLeast"/>
        <w:rPr>
          <w:rFonts w:ascii="仿宋_GB2312" w:eastAsia="仿宋_GB2312" w:cs="仿宋_GB2312"/>
          <w:kern w:val="0"/>
          <w:sz w:val="30"/>
          <w:szCs w:val="30"/>
        </w:rPr>
      </w:pPr>
      <w:r>
        <w:rPr>
          <w:rFonts w:ascii="仿宋_GB2312" w:hAnsi="仿宋_GB2312" w:cs="宋体" w:hint="eastAsia"/>
          <w:kern w:val="0"/>
          <w:sz w:val="30"/>
          <w:szCs w:val="30"/>
        </w:rPr>
        <w:t>单位名称（盖章）：</w:t>
      </w:r>
      <w:r>
        <w:rPr>
          <w:rFonts w:ascii="仿宋_GB2312" w:hAnsi="仿宋_GB2312" w:cs="宋体"/>
          <w:kern w:val="0"/>
          <w:sz w:val="30"/>
          <w:szCs w:val="30"/>
        </w:rPr>
        <w:t xml:space="preserve">         </w:t>
      </w:r>
      <w:r>
        <w:rPr>
          <w:rFonts w:ascii="仿宋_GB2312" w:hAnsi="仿宋_GB2312" w:cs="宋体" w:hint="eastAsia"/>
          <w:kern w:val="0"/>
          <w:sz w:val="30"/>
          <w:szCs w:val="30"/>
        </w:rPr>
        <w:t>填报日期：</w:t>
      </w:r>
      <w:r>
        <w:rPr>
          <w:rFonts w:ascii="仿宋_GB2312" w:hAnsi="仿宋_GB2312" w:cs="仿宋_GB2312"/>
          <w:kern w:val="0"/>
          <w:sz w:val="30"/>
          <w:szCs w:val="30"/>
        </w:rPr>
        <w:t xml:space="preserve"> 2015</w:t>
      </w:r>
      <w:r>
        <w:rPr>
          <w:rFonts w:ascii="仿宋_GB2312" w:hAnsi="仿宋_GB2312" w:cs="宋体" w:hint="eastAsia"/>
          <w:kern w:val="0"/>
          <w:sz w:val="30"/>
          <w:szCs w:val="30"/>
        </w:rPr>
        <w:t>年</w:t>
      </w:r>
      <w:r>
        <w:rPr>
          <w:rFonts w:ascii="仿宋_GB2312" w:hAnsi="仿宋_GB2312" w:cs="仿宋_GB2312"/>
          <w:kern w:val="0"/>
          <w:sz w:val="30"/>
          <w:szCs w:val="30"/>
        </w:rPr>
        <w:t>12</w:t>
      </w:r>
      <w:r>
        <w:rPr>
          <w:rFonts w:ascii="仿宋_GB2312" w:hAnsi="仿宋_GB2312" w:cs="宋体" w:hint="eastAsia"/>
          <w:kern w:val="0"/>
          <w:sz w:val="30"/>
          <w:szCs w:val="30"/>
        </w:rPr>
        <w:t>月</w:t>
      </w:r>
      <w:r>
        <w:rPr>
          <w:rFonts w:ascii="仿宋_GB2312" w:hAnsi="仿宋_GB2312" w:cs="仿宋_GB2312"/>
          <w:kern w:val="0"/>
          <w:sz w:val="30"/>
          <w:szCs w:val="30"/>
        </w:rPr>
        <w:t>27</w:t>
      </w:r>
      <w:r>
        <w:rPr>
          <w:rFonts w:ascii="仿宋_GB2312" w:hAnsi="仿宋_GB2312" w:cs="宋体" w:hint="eastAsia"/>
          <w:kern w:val="0"/>
          <w:sz w:val="30"/>
          <w:szCs w:val="30"/>
        </w:rPr>
        <w:t>日</w:t>
      </w:r>
    </w:p>
    <w:p w:rsidR="00860498" w:rsidRDefault="00860498">
      <w:pPr>
        <w:widowControl/>
        <w:spacing w:line="60" w:lineRule="atLeast"/>
        <w:rPr>
          <w:rFonts w:ascii="仿宋_GB2312" w:eastAsia="仿宋_GB2312" w:cs="仿宋_GB2312"/>
          <w:kern w:val="0"/>
          <w:sz w:val="10"/>
          <w:szCs w:val="10"/>
        </w:rPr>
      </w:pPr>
    </w:p>
    <w:tbl>
      <w:tblPr>
        <w:tblW w:w="8522" w:type="dxa"/>
        <w:tblInd w:w="-106" w:type="dxa"/>
        <w:tblLayout w:type="fixed"/>
        <w:tblLook w:val="00A0"/>
      </w:tblPr>
      <w:tblGrid>
        <w:gridCol w:w="1188"/>
        <w:gridCol w:w="3060"/>
        <w:gridCol w:w="1260"/>
        <w:gridCol w:w="3014"/>
      </w:tblGrid>
      <w:tr w:rsidR="00860498">
        <w:tc>
          <w:tcPr>
            <w:tcW w:w="1188" w:type="dxa"/>
            <w:tcBorders>
              <w:top w:val="single" w:sz="4" w:space="0" w:color="000000"/>
              <w:left w:val="single" w:sz="4" w:space="0" w:color="000000"/>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疾病预防控制机构、接种单位违反疫苗进购及接种管理的处罚行政处罚</w:t>
            </w:r>
          </w:p>
        </w:tc>
      </w:tr>
      <w:tr w:rsidR="00860498">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60498" w:rsidRDefault="00860498">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违反疫苗进购进渠道、接种规范管理的单位</w:t>
            </w:r>
          </w:p>
        </w:tc>
      </w:tr>
      <w:tr w:rsidR="00860498">
        <w:tc>
          <w:tcPr>
            <w:tcW w:w="1188" w:type="dxa"/>
            <w:tcBorders>
              <w:top w:val="single" w:sz="4" w:space="0" w:color="000000"/>
              <w:left w:val="single" w:sz="4" w:space="0" w:color="000000"/>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3</w:t>
            </w:r>
            <w:r>
              <w:rPr>
                <w:rFonts w:ascii="仿宋_GB2312" w:hAnsi="仿宋_GB2312" w:cs="宋体" w:hint="eastAsia"/>
                <w:kern w:val="0"/>
                <w:sz w:val="20"/>
                <w:szCs w:val="20"/>
              </w:rPr>
              <w:t>个月内</w:t>
            </w:r>
          </w:p>
        </w:tc>
      </w:tr>
      <w:tr w:rsidR="00860498">
        <w:tc>
          <w:tcPr>
            <w:tcW w:w="1188" w:type="dxa"/>
            <w:tcBorders>
              <w:top w:val="single" w:sz="4" w:space="0" w:color="000000"/>
              <w:left w:val="single" w:sz="4" w:space="0" w:color="000000"/>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rPr>
                <w:rFonts w:ascii="仿宋_GB2312" w:eastAsia="仿宋_GB2312" w:cs="仿宋_GB2312"/>
                <w:kern w:val="0"/>
                <w:sz w:val="20"/>
                <w:szCs w:val="20"/>
              </w:rPr>
            </w:pPr>
            <w:r>
              <w:rPr>
                <w:rFonts w:ascii="仿宋_GB2312" w:hAnsi="仿宋_GB2312" w:cs="宋体" w:hint="eastAsia"/>
                <w:kern w:val="0"/>
                <w:sz w:val="20"/>
                <w:szCs w:val="20"/>
              </w:rPr>
              <w:t>卫生监督所</w:t>
            </w:r>
          </w:p>
        </w:tc>
      </w:tr>
      <w:tr w:rsidR="00860498">
        <w:tc>
          <w:tcPr>
            <w:tcW w:w="1188" w:type="dxa"/>
            <w:tcBorders>
              <w:top w:val="single" w:sz="4" w:space="0" w:color="000000"/>
              <w:left w:val="single" w:sz="4" w:space="0" w:color="000000"/>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2987137</w:t>
            </w:r>
          </w:p>
        </w:tc>
      </w:tr>
      <w:tr w:rsidR="00860498">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60498" w:rsidRDefault="00860498">
            <w:pPr>
              <w:widowControl/>
              <w:rPr>
                <w:rFonts w:ascii="宋体" w:cs="宋体"/>
                <w:color w:val="000000"/>
                <w:kern w:val="0"/>
                <w:sz w:val="20"/>
                <w:szCs w:val="20"/>
              </w:rPr>
            </w:pPr>
            <w:r>
              <w:rPr>
                <w:rFonts w:ascii="仿宋_GB2312" w:hAnsi="仿宋_GB2312" w:cs="宋体" w:hint="eastAsia"/>
                <w:kern w:val="0"/>
                <w:sz w:val="20"/>
                <w:szCs w:val="20"/>
              </w:rPr>
              <w:t>社会投诉、举报；上级卫生行政机关交办、本级卫生行政机构报请的或者有关部门移送；上级或本级卫生监督机构监督检查</w:t>
            </w:r>
          </w:p>
        </w:tc>
      </w:tr>
      <w:tr w:rsidR="00860498">
        <w:trPr>
          <w:trHeight w:hRule="exact" w:val="1359"/>
        </w:trPr>
        <w:tc>
          <w:tcPr>
            <w:tcW w:w="1188" w:type="dxa"/>
            <w:tcBorders>
              <w:top w:val="single" w:sz="4" w:space="0" w:color="000000"/>
              <w:left w:val="single" w:sz="4" w:space="0" w:color="000000"/>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二类疫苗购销凭证、接种信息记录、疑似预防接种异常反应报告调查等资料、群体性预防接种实施方案、接种登记等证据材料。</w:t>
            </w:r>
          </w:p>
          <w:p w:rsidR="00860498" w:rsidRDefault="00860498">
            <w:pPr>
              <w:widowControl/>
              <w:spacing w:line="600" w:lineRule="atLeast"/>
              <w:rPr>
                <w:rFonts w:ascii="仿宋_GB2312" w:eastAsia="仿宋_GB2312" w:cs="仿宋_GB2312"/>
                <w:kern w:val="0"/>
                <w:sz w:val="24"/>
                <w:szCs w:val="24"/>
              </w:rPr>
            </w:pPr>
          </w:p>
        </w:tc>
      </w:tr>
      <w:tr w:rsidR="00860498">
        <w:trPr>
          <w:trHeight w:val="3799"/>
        </w:trPr>
        <w:tc>
          <w:tcPr>
            <w:tcW w:w="1188" w:type="dxa"/>
            <w:tcBorders>
              <w:top w:val="single" w:sz="4" w:space="0" w:color="000000"/>
              <w:left w:val="single" w:sz="4" w:space="0" w:color="000000"/>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60498" w:rsidRDefault="00860498">
            <w:pPr>
              <w:widowControl/>
              <w:spacing w:line="420" w:lineRule="atLeast"/>
              <w:rPr>
                <w:rFonts w:ascii="仿宋_GB2312" w:eastAsia="仿宋_GB2312" w:cs="仿宋_GB2312"/>
                <w:kern w:val="0"/>
                <w:sz w:val="24"/>
                <w:szCs w:val="24"/>
              </w:rPr>
            </w:pPr>
            <w:r>
              <w:rPr>
                <w:rFonts w:ascii="宋体" w:hAnsi="宋体" w:cs="宋体" w:hint="eastAsia"/>
                <w:color w:val="000000"/>
                <w:kern w:val="0"/>
                <w:sz w:val="20"/>
                <w:szCs w:val="20"/>
              </w:rPr>
              <w:t>《疫苗流通和预防接种管理条例》第五十八条疾病预防控制机构、接种单位有下列情形之一的，由县级以上地方人民政府卫生主管部门责令改正，造成受种者人身损害或者其他严重后果的，对主要负责人、直接负责的主管人员依法给予撤职、开除的处分，并由原发证部门吊销负有责任的医疗卫生人员的执业证书：（一）从不具有疫苗经营资格的单位或者个人购进第二类疫苗的；（二）接种疫苗未遵守预防接种工作规范、免疫程序、疫苗使用指导原则、接种方案的；（三）发现预防接种异常反应或者疑似预防接种异常反应，未依照规定及时处理或者报告的；（四）擅自进行群体性预防接种的。第六十九条卫生主管部门、疾病预防控制机构、接种单位以外的单位或者个人违反本条例规定进行群体性预防接种的，由县级以上人民政府卫生主管部门责令立即改正，没收违法持有的疫苗，并处违法持有的疫苗货值金额</w:t>
            </w:r>
            <w:r>
              <w:rPr>
                <w:color w:val="000000"/>
                <w:kern w:val="0"/>
                <w:sz w:val="20"/>
              </w:rPr>
              <w:t>2</w:t>
            </w:r>
            <w:r>
              <w:rPr>
                <w:rFonts w:ascii="宋体" w:hAnsi="宋体" w:cs="宋体" w:hint="eastAsia"/>
                <w:color w:val="000000"/>
                <w:kern w:val="0"/>
                <w:sz w:val="20"/>
              </w:rPr>
              <w:t>倍以上</w:t>
            </w:r>
            <w:r>
              <w:rPr>
                <w:color w:val="000000"/>
                <w:kern w:val="0"/>
                <w:sz w:val="20"/>
              </w:rPr>
              <w:t>5</w:t>
            </w:r>
            <w:r>
              <w:rPr>
                <w:rFonts w:ascii="宋体" w:hAnsi="宋体" w:cs="宋体" w:hint="eastAsia"/>
                <w:color w:val="000000"/>
                <w:kern w:val="0"/>
                <w:sz w:val="20"/>
              </w:rPr>
              <w:t>倍以下的罚款；有违法所得的，没收违法所得。</w:t>
            </w:r>
          </w:p>
        </w:tc>
      </w:tr>
      <w:tr w:rsidR="00860498">
        <w:tc>
          <w:tcPr>
            <w:tcW w:w="1188" w:type="dxa"/>
            <w:tcBorders>
              <w:top w:val="single" w:sz="4" w:space="0" w:color="000000"/>
              <w:left w:val="single" w:sz="4" w:space="0" w:color="000000"/>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60498" w:rsidRDefault="00860498">
            <w:pPr>
              <w:widowControl/>
              <w:spacing w:line="600" w:lineRule="atLeast"/>
              <w:rPr>
                <w:rFonts w:ascii="仿宋_GB2312" w:eastAsia="仿宋_GB2312" w:cs="仿宋_GB2312"/>
                <w:kern w:val="0"/>
                <w:sz w:val="24"/>
                <w:szCs w:val="24"/>
              </w:rPr>
            </w:pPr>
            <w:r>
              <w:rPr>
                <w:rFonts w:ascii="仿宋_GB2312" w:hAnsi="仿宋_GB2312" w:cs="宋体" w:hint="eastAsia"/>
                <w:kern w:val="0"/>
                <w:sz w:val="24"/>
                <w:szCs w:val="24"/>
              </w:rPr>
              <w:t>无</w:t>
            </w:r>
          </w:p>
        </w:tc>
      </w:tr>
      <w:tr w:rsidR="00860498">
        <w:trPr>
          <w:trHeight w:val="13457"/>
        </w:trPr>
        <w:tc>
          <w:tcPr>
            <w:tcW w:w="1188" w:type="dxa"/>
            <w:tcBorders>
              <w:top w:val="single" w:sz="4" w:space="0" w:color="000000"/>
              <w:left w:val="single" w:sz="4" w:space="0" w:color="000000"/>
              <w:bottom w:val="single" w:sz="4" w:space="0" w:color="000000"/>
              <w:right w:val="single" w:sz="4" w:space="0" w:color="000000"/>
            </w:tcBorders>
            <w:vAlign w:val="center"/>
          </w:tcPr>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运</w:t>
            </w:r>
          </w:p>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行</w:t>
            </w:r>
          </w:p>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流</w:t>
            </w:r>
          </w:p>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程</w:t>
            </w:r>
          </w:p>
          <w:p w:rsidR="00860498" w:rsidRDefault="00860498">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60498" w:rsidRDefault="00860498">
            <w:pPr>
              <w:widowControl/>
              <w:spacing w:line="600" w:lineRule="atLeast"/>
              <w:jc w:val="center"/>
              <w:rPr>
                <w:rFonts w:ascii="黑体" w:eastAsia="黑体" w:hAnsi="宋体" w:cs="黑体"/>
                <w:b/>
                <w:bCs/>
                <w:color w:val="000000"/>
                <w:kern w:val="0"/>
                <w:sz w:val="32"/>
                <w:szCs w:val="32"/>
              </w:rPr>
            </w:pPr>
            <w:r>
              <w:rPr>
                <w:rFonts w:ascii="黑体" w:eastAsia="黑体" w:hAnsi="宋体" w:cs="黑体" w:hint="eastAsia"/>
                <w:b/>
                <w:bCs/>
                <w:color w:val="000000"/>
                <w:kern w:val="0"/>
                <w:sz w:val="32"/>
                <w:szCs w:val="32"/>
              </w:rPr>
              <w:t>违反疫苗进购及接种管理的处罚行政处罚流程</w:t>
            </w:r>
          </w:p>
          <w:p w:rsidR="00860498" w:rsidRDefault="00860498">
            <w:pPr>
              <w:widowControl/>
              <w:spacing w:line="600" w:lineRule="atLeast"/>
              <w:rPr>
                <w:rFonts w:eastAsia="黑体"/>
                <w:b/>
                <w:bCs/>
                <w:sz w:val="44"/>
                <w:szCs w:val="44"/>
              </w:rPr>
            </w:pPr>
            <w:r>
              <w:rPr>
                <w:noProof/>
              </w:rPr>
              <w:pict>
                <v:rect id="_x0000_s1026" style="position:absolute;left:0;text-align:left;margin-left:26.85pt;margin-top:15.1pt;width:297pt;height:39pt;z-index:251664896">
                  <v:textbox>
                    <w:txbxContent>
                      <w:p w:rsidR="00860498" w:rsidRDefault="00860498">
                        <w:pPr>
                          <w:jc w:val="center"/>
                          <w:rPr>
                            <w:rFonts w:eastAsia="仿宋_GB2312"/>
                            <w:sz w:val="24"/>
                            <w:szCs w:val="24"/>
                          </w:rPr>
                        </w:pPr>
                        <w:r>
                          <w:rPr>
                            <w:rFonts w:eastAsia="仿宋_GB2312" w:cs="仿宋_GB2312" w:hint="eastAsia"/>
                            <w:sz w:val="24"/>
                            <w:szCs w:val="24"/>
                          </w:rPr>
                          <w:t>受理：监督检查发现或投诉举报涉嫌违反《疫苗流通和预防接种管理条例》规定的违法行为</w:t>
                        </w:r>
                      </w:p>
                    </w:txbxContent>
                  </v:textbox>
                </v:rect>
              </w:pict>
            </w:r>
            <w:r>
              <w:rPr>
                <w:noProof/>
              </w:rPr>
              <w:pict>
                <v:shapetype id="_x0000_t202" coordsize="21600,21600" o:spt="202" path="m,l,21600r21600,l21600,xe">
                  <v:stroke joinstyle="miter"/>
                  <v:path gradientshapeok="t" o:connecttype="rect"/>
                </v:shapetype>
                <v:shape id="_x0000_s1027" type="#_x0000_t202" style="position:absolute;left:0;text-align:left;margin-left:80.8pt;margin-top:249.4pt;width:172.9pt;height:62.25pt;z-index:251665920;mso-wrap-distance-top:3.6pt;mso-wrap-distance-bottom:3.6pt">
                  <v:textbox>
                    <w:txbxContent>
                      <w:p w:rsidR="00860498" w:rsidRDefault="00860498">
                        <w:pPr>
                          <w:jc w:val="center"/>
                          <w:rPr>
                            <w:rFonts w:eastAsia="仿宋_GB2312" w:cs="仿宋_GB2312"/>
                            <w:sz w:val="24"/>
                            <w:szCs w:val="24"/>
                          </w:rPr>
                        </w:pPr>
                        <w:r>
                          <w:rPr>
                            <w:rFonts w:eastAsia="仿宋_GB2312" w:cs="仿宋_GB2312" w:hint="eastAsia"/>
                            <w:sz w:val="24"/>
                            <w:szCs w:val="24"/>
                          </w:rPr>
                          <w:t>告知：制作《卫生行政处罚事先告知书》，告知陈述答辩或听证权利送达当事接种单位</w:t>
                        </w:r>
                      </w:p>
                    </w:txbxContent>
                  </v:textbox>
                  <w10:wrap type="square"/>
                </v:shape>
              </w:pict>
            </w:r>
            <w:r>
              <w:rPr>
                <w:noProof/>
              </w:rPr>
              <w:pict>
                <v:group id="_x0000_s1028" style="position:absolute;left:0;text-align:left;margin-left:44.85pt;margin-top:179.05pt;width:248.25pt;height:319.8pt;z-index:251648512" coordorigin="10192,23787" coordsize="4965,6396">
                  <v:line id="Line 31" o:spid="_x0000_s1029" style="position:absolute" from="12637,23787" to="12638,24099">
                    <v:stroke endarrow="block"/>
                  </v:line>
                  <v:line id="Line 33" o:spid="_x0000_s1030" style="position:absolute" from="11557,26439" to="11558,27063">
                    <v:stroke endarrow="block"/>
                  </v:line>
                  <v:rect id="Rectangle 34" o:spid="_x0000_s1031" style="position:absolute;left:10297;top:27063;width:2520;height:780">
                    <v:textbox>
                      <w:txbxContent>
                        <w:p w:rsidR="00860498" w:rsidRDefault="00860498">
                          <w:pPr>
                            <w:rPr>
                              <w:rFonts w:eastAsia="仿宋_GB2312"/>
                              <w:sz w:val="24"/>
                              <w:szCs w:val="24"/>
                            </w:rPr>
                          </w:pPr>
                          <w:r>
                            <w:rPr>
                              <w:rFonts w:eastAsia="仿宋_GB2312" w:cs="仿宋_GB2312" w:hint="eastAsia"/>
                              <w:sz w:val="24"/>
                              <w:szCs w:val="24"/>
                            </w:rPr>
                            <w:t>听取当事单位主要责任人陈述、申辩</w:t>
                          </w:r>
                        </w:p>
                      </w:txbxContent>
                    </v:textbox>
                  </v:rect>
                  <v:line id="Line 37" o:spid="_x0000_s1032" style="position:absolute" from="14077,26439" to="14078,27063">
                    <v:stroke endarrow="block"/>
                  </v:line>
                  <v:rect id="Rectangle 36" o:spid="_x0000_s1033" style="position:absolute;left:12997;top:27063;width:2160;height:780">
                    <v:textbox>
                      <w:txbxContent>
                        <w:p w:rsidR="00860498" w:rsidRDefault="00860498">
                          <w:pPr>
                            <w:rPr>
                              <w:rFonts w:eastAsia="仿宋_GB2312"/>
                              <w:sz w:val="24"/>
                              <w:szCs w:val="24"/>
                            </w:rPr>
                          </w:pPr>
                          <w:r>
                            <w:rPr>
                              <w:rFonts w:eastAsia="仿宋_GB2312" w:cs="仿宋_GB2312" w:hint="eastAsia"/>
                              <w:sz w:val="24"/>
                              <w:szCs w:val="24"/>
                            </w:rPr>
                            <w:t>当事单位要求听证的，进入听证程序</w:t>
                          </w:r>
                        </w:p>
                      </w:txbxContent>
                    </v:textbox>
                  </v:rect>
                  <v:line id="Line 37" o:spid="_x0000_s1034" style="position:absolute" from="11557,27843" to="11558,28467">
                    <v:stroke endarrow="block"/>
                  </v:line>
                  <v:rect id="Rectangle 38" o:spid="_x0000_s1035" style="position:absolute;left:10192;top:28467;width:4965;height:468">
                    <v:textbox>
                      <w:txbxContent>
                        <w:p w:rsidR="00860498" w:rsidRDefault="00860498">
                          <w:pPr>
                            <w:jc w:val="center"/>
                            <w:rPr>
                              <w:rFonts w:eastAsia="仿宋_GB2312"/>
                              <w:sz w:val="24"/>
                              <w:szCs w:val="24"/>
                            </w:rPr>
                          </w:pPr>
                          <w:r>
                            <w:rPr>
                              <w:rFonts w:eastAsia="仿宋_GB2312"/>
                              <w:sz w:val="24"/>
                              <w:szCs w:val="24"/>
                            </w:rPr>
                            <w:t>3</w:t>
                          </w:r>
                          <w:r>
                            <w:rPr>
                              <w:rFonts w:eastAsia="仿宋_GB2312" w:cs="仿宋_GB2312" w:hint="eastAsia"/>
                              <w:sz w:val="24"/>
                              <w:szCs w:val="24"/>
                            </w:rPr>
                            <w:t>个月内作出行政处罚决定（案审领导小组）</w:t>
                          </w:r>
                        </w:p>
                      </w:txbxContent>
                    </v:textbox>
                  </v:rect>
                  <v:line id="Line 39" o:spid="_x0000_s1036" style="position:absolute" from="14077,27843" to="14078,28467">
                    <v:stroke endarrow="block"/>
                  </v:line>
                  <v:line id="Line 40" o:spid="_x0000_s1037" style="position:absolute" from="12997,28935" to="12998,29715">
                    <v:stroke endarrow="block"/>
                  </v:line>
                  <v:rect id="Rectangle 41" o:spid="_x0000_s1038" style="position:absolute;left:10837;top:29715;width:4320;height:468">
                    <v:textbox>
                      <w:txbxContent>
                        <w:p w:rsidR="00860498" w:rsidRDefault="00860498">
                          <w:pPr>
                            <w:jc w:val="center"/>
                            <w:rPr>
                              <w:rFonts w:eastAsia="仿宋_GB2312"/>
                              <w:sz w:val="24"/>
                              <w:szCs w:val="24"/>
                            </w:rPr>
                          </w:pPr>
                          <w:r>
                            <w:rPr>
                              <w:rFonts w:eastAsia="仿宋_GB2312" w:cs="仿宋_GB2312" w:hint="eastAsia"/>
                              <w:sz w:val="24"/>
                              <w:szCs w:val="24"/>
                            </w:rPr>
                            <w:t>送达行政处罚决定书，填制送达回证</w:t>
                          </w:r>
                        </w:p>
                      </w:txbxContent>
                    </v:textbox>
                  </v:rect>
                  <v:line id="Line 46" o:spid="_x0000_s1039" style="position:absolute" from="12622,24567" to="12637,25182">
                    <v:stroke endarrow="block"/>
                  </v:line>
                  <v:rect id="Rectangle 47" o:spid="_x0000_s1040" style="position:absolute;left:11257;top:24099;width:2880;height:468">
                    <v:textbox>
                      <w:txbxContent>
                        <w:p w:rsidR="00860498" w:rsidRDefault="00860498">
                          <w:pPr>
                            <w:jc w:val="center"/>
                            <w:rPr>
                              <w:rFonts w:eastAsia="仿宋_GB2312"/>
                              <w:sz w:val="24"/>
                              <w:szCs w:val="24"/>
                            </w:rPr>
                          </w:pPr>
                          <w:r>
                            <w:rPr>
                              <w:rFonts w:eastAsia="仿宋_GB2312" w:cs="仿宋_GB2312" w:hint="eastAsia"/>
                              <w:sz w:val="24"/>
                              <w:szCs w:val="24"/>
                            </w:rPr>
                            <w:t>案件审理：形成初审意见</w:t>
                          </w:r>
                        </w:p>
                      </w:txbxContent>
                    </v:textbox>
                  </v:rect>
                </v:group>
              </w:pict>
            </w:r>
            <w:r>
              <w:rPr>
                <w:noProof/>
              </w:rPr>
              <w:pict>
                <v:shape id="_x0000_s1041" type="#_x0000_t202" style="position:absolute;left:0;text-align:left;margin-left:96.75pt;margin-top:224.35pt;width:57.8pt;height:21.75pt;z-index:251666944" strokecolor="white">
                  <v:textbox>
                    <w:txbxContent>
                      <w:p w:rsidR="00860498" w:rsidRDefault="00860498"/>
                    </w:txbxContent>
                  </v:textbox>
                </v:shape>
              </w:pict>
            </w:r>
            <w:r>
              <w:rPr>
                <w:noProof/>
              </w:rPr>
              <w:pict>
                <v:shape id="_x0000_s1042" type="#_x0000_t202" style="position:absolute;left:0;text-align:left;margin-left:121.2pt;margin-top:56.35pt;width:43.55pt;height:21pt;z-index:251649536" strokecolor="white">
                  <v:textbox>
                    <w:txbxContent>
                      <w:p w:rsidR="00860498" w:rsidRDefault="00860498">
                        <w:r>
                          <w:t>7</w:t>
                        </w:r>
                        <w:r>
                          <w:rPr>
                            <w:rFonts w:cs="宋体" w:hint="eastAsia"/>
                          </w:rPr>
                          <w:t>天内</w:t>
                        </w:r>
                      </w:p>
                    </w:txbxContent>
                  </v:textbox>
                </v:shape>
              </w:pict>
            </w:r>
            <w:r>
              <w:rPr>
                <w:noProof/>
              </w:rPr>
              <w:pict>
                <v:shape id="_x0000_s1043" type="#_x0000_t202" style="position:absolute;left:0;text-align:left;margin-left:196.05pt;margin-top:445.7pt;width:73.45pt;height:26.25pt;z-index:251650560" strokecolor="white">
                  <v:textbox>
                    <w:txbxContent>
                      <w:p w:rsidR="00860498" w:rsidRDefault="00860498">
                        <w:r>
                          <w:t>7</w:t>
                        </w:r>
                        <w:r>
                          <w:rPr>
                            <w:rFonts w:cs="宋体" w:hint="eastAsia"/>
                          </w:rPr>
                          <w:t>天内送达</w:t>
                        </w:r>
                      </w:p>
                    </w:txbxContent>
                  </v:textbox>
                </v:shape>
              </w:pict>
            </w:r>
            <w:r>
              <w:rPr>
                <w:noProof/>
              </w:rPr>
              <w:pict>
                <v:rect id="_x0000_s1044" style="position:absolute;left:0;text-align:left;margin-left:21pt;margin-top:129.1pt;width:306pt;height:53.85pt;z-index:251651584">
                  <v:textbox>
                    <w:txbxContent>
                      <w:p w:rsidR="00860498" w:rsidRDefault="00860498">
                        <w:pPr>
                          <w:rPr>
                            <w:rFonts w:eastAsia="仿宋_GB2312"/>
                            <w:sz w:val="24"/>
                            <w:szCs w:val="24"/>
                          </w:rPr>
                        </w:pPr>
                        <w:r>
                          <w:rPr>
                            <w:rFonts w:eastAsia="仿宋_GB2312" w:cs="仿宋_GB2312" w:hint="eastAsia"/>
                            <w:sz w:val="24"/>
                            <w:szCs w:val="24"/>
                          </w:rPr>
                          <w:t>调查取证：</w:t>
                        </w:r>
                        <w:r>
                          <w:rPr>
                            <w:rFonts w:eastAsia="仿宋_GB2312" w:cs="仿宋_GB2312"/>
                            <w:sz w:val="24"/>
                            <w:szCs w:val="24"/>
                          </w:rPr>
                          <w:t>2</w:t>
                        </w:r>
                        <w:r>
                          <w:rPr>
                            <w:rFonts w:eastAsia="仿宋_GB2312" w:cs="仿宋_GB2312" w:hint="eastAsia"/>
                            <w:sz w:val="24"/>
                            <w:szCs w:val="24"/>
                          </w:rPr>
                          <w:t>名以上卫生执法人员向当事人进行现场检查、调查、勘察、制作询问笔录或调取相关证据</w:t>
                        </w:r>
                      </w:p>
                    </w:txbxContent>
                  </v:textbox>
                </v:rect>
              </w:pict>
            </w:r>
            <w:r>
              <w:rPr>
                <w:noProof/>
              </w:rPr>
              <w:pict>
                <v:line id="_x0000_s1045" style="position:absolute;left:0;text-align:left;z-index:251652608" from="167.6pt,106.05pt" to="167.65pt,129.3pt">
                  <v:stroke endarrow="open"/>
                </v:line>
              </w:pict>
            </w:r>
            <w:r>
              <w:rPr>
                <w:noProof/>
              </w:rPr>
              <w:pict>
                <v:rect id="_x0000_s1046" style="position:absolute;left:0;text-align:left;margin-left:119.55pt;margin-top:82.45pt;width:99pt;height:23.4pt;z-index:251653632">
                  <v:textbox>
                    <w:txbxContent>
                      <w:p w:rsidR="00860498" w:rsidRDefault="00860498">
                        <w:pPr>
                          <w:jc w:val="center"/>
                          <w:rPr>
                            <w:rFonts w:eastAsia="仿宋_GB2312"/>
                            <w:sz w:val="24"/>
                            <w:szCs w:val="24"/>
                          </w:rPr>
                        </w:pPr>
                        <w:r>
                          <w:rPr>
                            <w:rFonts w:eastAsia="仿宋_GB2312" w:cs="仿宋_GB2312" w:hint="eastAsia"/>
                            <w:sz w:val="24"/>
                            <w:szCs w:val="24"/>
                          </w:rPr>
                          <w:t>立案</w:t>
                        </w:r>
                      </w:p>
                    </w:txbxContent>
                  </v:textbox>
                </v:rect>
              </w:pict>
            </w:r>
            <w:r>
              <w:rPr>
                <w:noProof/>
              </w:rPr>
              <w:pict>
                <v:line id="_x0000_s1047" style="position:absolute;left:0;text-align:left;z-index:251663872" from="167.8pt,58.65pt" to="167.85pt,81.9pt">
                  <v:stroke endarrow="open"/>
                </v:line>
              </w:pict>
            </w:r>
          </w:p>
          <w:p w:rsidR="00860498" w:rsidRDefault="00860498">
            <w:pPr>
              <w:jc w:val="right"/>
              <w:rPr>
                <w:rFonts w:eastAsia="黑体"/>
                <w:sz w:val="44"/>
                <w:szCs w:val="44"/>
              </w:rPr>
            </w:pPr>
            <w:r>
              <w:rPr>
                <w:noProof/>
              </w:rPr>
              <w:pict>
                <v:line id="_x0000_s1048" style="position:absolute;left:0;text-align:left;z-index:251662848" from="128.9pt,471.7pt" to="128.9pt,492.4pt">
                  <v:stroke endarrow="block"/>
                </v:line>
              </w:pict>
            </w:r>
            <w:r>
              <w:rPr>
                <w:noProof/>
              </w:rPr>
              <w:pict>
                <v:line id="_x0000_s1049" style="position:absolute;left:0;text-align:left;z-index:251661824" from="242.9pt,471.7pt" to="242.95pt,492.4pt">
                  <v:stroke endarrow="block"/>
                </v:line>
              </w:pict>
            </w:r>
            <w:r>
              <w:rPr>
                <w:noProof/>
              </w:rPr>
              <w:pict>
                <v:rect id="_x0000_s1050" style="position:absolute;left:0;text-align:left;margin-left:215.5pt;margin-top:499pt;width:54pt;height:23.4pt;z-index:251660800">
                  <v:textbox>
                    <w:txbxContent>
                      <w:p w:rsidR="00860498" w:rsidRDefault="00860498">
                        <w:pPr>
                          <w:jc w:val="center"/>
                          <w:rPr>
                            <w:rFonts w:ascii="仿宋_GB2312" w:eastAsia="仿宋_GB2312"/>
                            <w:sz w:val="24"/>
                            <w:szCs w:val="24"/>
                          </w:rPr>
                        </w:pPr>
                        <w:r>
                          <w:rPr>
                            <w:rFonts w:ascii="仿宋_GB2312" w:eastAsia="仿宋_GB2312" w:cs="仿宋_GB2312" w:hint="eastAsia"/>
                            <w:sz w:val="24"/>
                            <w:szCs w:val="24"/>
                          </w:rPr>
                          <w:t>执行</w:t>
                        </w:r>
                      </w:p>
                    </w:txbxContent>
                  </v:textbox>
                </v:rect>
              </w:pict>
            </w:r>
            <w:r>
              <w:rPr>
                <w:noProof/>
              </w:rPr>
              <w:pict>
                <v:rect id="_x0000_s1051" style="position:absolute;left:0;text-align:left;margin-left:101pt;margin-top:503.65pt;width:54pt;height:23.4pt;z-index:251659776">
                  <v:textbox>
                    <w:txbxContent>
                      <w:p w:rsidR="00860498" w:rsidRDefault="00860498">
                        <w:pPr>
                          <w:jc w:val="center"/>
                          <w:rPr>
                            <w:rFonts w:ascii="仿宋_GB2312" w:eastAsia="仿宋_GB2312"/>
                            <w:sz w:val="24"/>
                            <w:szCs w:val="24"/>
                          </w:rPr>
                        </w:pPr>
                        <w:r>
                          <w:rPr>
                            <w:rFonts w:ascii="仿宋_GB2312" w:eastAsia="仿宋_GB2312" w:cs="仿宋_GB2312" w:hint="eastAsia"/>
                            <w:sz w:val="24"/>
                            <w:szCs w:val="24"/>
                          </w:rPr>
                          <w:t>不执行</w:t>
                        </w:r>
                      </w:p>
                    </w:txbxContent>
                  </v:textbox>
                </v:rect>
              </w:pict>
            </w:r>
            <w:r>
              <w:rPr>
                <w:noProof/>
              </w:rPr>
              <w:pict>
                <v:line id="_x0000_s1052" style="position:absolute;left:0;text-align:left;z-index:251658752" from="128.9pt,528.4pt" to="128.95pt,542.35pt">
                  <v:stroke endarrow="block"/>
                </v:line>
              </w:pict>
            </w:r>
            <w:r>
              <w:rPr>
                <w:noProof/>
              </w:rPr>
              <w:pict>
                <v:line id="_x0000_s1053" style="position:absolute;left:0;text-align:left;z-index:251657728" from="245.2pt,522.4pt" to="245.25pt,536.35pt">
                  <v:stroke endarrow="block"/>
                </v:line>
              </w:pict>
            </w:r>
            <w:r>
              <w:rPr>
                <w:noProof/>
              </w:rPr>
              <w:pict>
                <v:line id="_x0000_s1054" style="position:absolute;left:0;text-align:left;z-index:251654656" from="189.7pt,551.35pt" to="206.25pt,551.8pt">
                  <v:stroke endarrow="block"/>
                </v:line>
              </w:pict>
            </w:r>
            <w:r>
              <w:rPr>
                <w:noProof/>
              </w:rPr>
              <w:pict>
                <v:rect id="_x0000_s1055" style="position:absolute;left:0;text-align:left;margin-left:78.65pt;margin-top:542.35pt;width:99.75pt;height:23.4pt;z-index:251656704">
                  <v:textbox>
                    <w:txbxContent>
                      <w:p w:rsidR="00860498" w:rsidRDefault="00860498">
                        <w:pPr>
                          <w:jc w:val="center"/>
                        </w:pPr>
                        <w:r>
                          <w:rPr>
                            <w:rFonts w:cs="宋体" w:hint="eastAsia"/>
                          </w:rPr>
                          <w:t>申请强制执行</w:t>
                        </w:r>
                      </w:p>
                      <w:p w:rsidR="00860498" w:rsidRDefault="00860498">
                        <w:pPr>
                          <w:jc w:val="center"/>
                          <w:rPr>
                            <w:rFonts w:eastAsia="仿宋_GB2312"/>
                            <w:sz w:val="24"/>
                            <w:szCs w:val="24"/>
                          </w:rPr>
                        </w:pPr>
                        <w:r>
                          <w:rPr>
                            <w:rFonts w:eastAsia="仿宋_GB2312" w:cs="仿宋_GB2312" w:hint="eastAsia"/>
                            <w:sz w:val="24"/>
                            <w:szCs w:val="24"/>
                          </w:rPr>
                          <w:t>结案归档</w:t>
                        </w:r>
                      </w:p>
                    </w:txbxContent>
                  </v:textbox>
                </v:rect>
              </w:pict>
            </w:r>
            <w:r>
              <w:rPr>
                <w:noProof/>
              </w:rPr>
              <w:pict>
                <v:shape id="_x0000_s1056" type="#_x0000_t202" style="position:absolute;left:0;text-align:left;margin-left:215.75pt;margin-top:536.35pt;width:60.8pt;height:25.5pt;z-index:251655680">
                  <v:textbox>
                    <w:txbxContent>
                      <w:p w:rsidR="00860498" w:rsidRDefault="00860498">
                        <w:r>
                          <w:rPr>
                            <w:rFonts w:cs="宋体" w:hint="eastAsia"/>
                          </w:rPr>
                          <w:t>结案归档</w:t>
                        </w:r>
                      </w:p>
                    </w:txbxContent>
                  </v:textbox>
                </v:shape>
              </w:pict>
            </w:r>
          </w:p>
        </w:tc>
      </w:tr>
    </w:tbl>
    <w:p w:rsidR="00860498" w:rsidRDefault="00860498">
      <w:bookmarkStart w:id="0" w:name="_GoBack"/>
      <w:bookmarkEnd w:id="0"/>
    </w:p>
    <w:sectPr w:rsidR="00860498" w:rsidSect="00CF33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2385A33"/>
    <w:rsid w:val="003F479D"/>
    <w:rsid w:val="00416BD1"/>
    <w:rsid w:val="00634A23"/>
    <w:rsid w:val="006E71DB"/>
    <w:rsid w:val="00860498"/>
    <w:rsid w:val="008E3C18"/>
    <w:rsid w:val="00A920E1"/>
    <w:rsid w:val="00CF3397"/>
    <w:rsid w:val="00D25113"/>
    <w:rsid w:val="22385A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39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115</Words>
  <Characters>661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2016-01-06T03:01:00Z</dcterms:created>
  <dcterms:modified xsi:type="dcterms:W3CDTF">2016-11-30T08:52:00Z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