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EA" w:rsidRDefault="007204EA">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7204EA" w:rsidRDefault="007204EA">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7204EA" w:rsidRPr="00302108">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eastAsia="仿宋_GB2312"/>
                <w:kern w:val="0"/>
                <w:sz w:val="24"/>
                <w:szCs w:val="24"/>
              </w:rPr>
            </w:pPr>
            <w:r w:rsidRPr="00302108">
              <w:rPr>
                <w:rFonts w:ascii="宋体" w:hAnsi="宋体" w:cs="宋体" w:hint="eastAsia"/>
                <w:color w:val="000000"/>
                <w:kern w:val="0"/>
                <w:sz w:val="20"/>
                <w:szCs w:val="20"/>
              </w:rPr>
              <w:t>违反病原微生物实验室相关规范与操作规程的处罚</w:t>
            </w:r>
          </w:p>
        </w:tc>
      </w:tr>
      <w:tr w:rsidR="007204EA" w:rsidRPr="00302108">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rPr>
                <w:rFonts w:ascii="宋体" w:cs="宋体"/>
                <w:color w:val="000000"/>
                <w:kern w:val="0"/>
                <w:sz w:val="20"/>
                <w:szCs w:val="20"/>
              </w:rPr>
            </w:pPr>
            <w:r w:rsidRPr="00302108">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7204EA" w:rsidRPr="00302108" w:rsidRDefault="007204EA">
            <w:pPr>
              <w:widowControl/>
              <w:rPr>
                <w:rFonts w:ascii="仿宋_GB2312" w:eastAsia="仿宋_GB2312"/>
                <w:kern w:val="0"/>
                <w:sz w:val="24"/>
                <w:szCs w:val="24"/>
              </w:rPr>
            </w:pPr>
            <w:r w:rsidRPr="00302108">
              <w:rPr>
                <w:rFonts w:ascii="宋体" w:hAnsi="宋体" w:cs="宋体" w:hint="eastAsia"/>
                <w:color w:val="000000"/>
                <w:kern w:val="0"/>
                <w:sz w:val="20"/>
                <w:szCs w:val="20"/>
              </w:rPr>
              <w:t>违反病原微生物实验室相关规范与操作规程的单位</w:t>
            </w:r>
          </w:p>
        </w:tc>
      </w:tr>
      <w:tr w:rsidR="007204EA" w:rsidRPr="00302108">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宋体" w:cs="宋体"/>
                <w:kern w:val="0"/>
                <w:sz w:val="20"/>
                <w:szCs w:val="20"/>
              </w:rPr>
            </w:pPr>
            <w:r w:rsidRPr="00302108">
              <w:rPr>
                <w:rFonts w:ascii="宋体" w:hAnsi="宋体" w:cs="宋体"/>
                <w:kern w:val="0"/>
                <w:sz w:val="20"/>
                <w:szCs w:val="20"/>
              </w:rPr>
              <w:t>3</w:t>
            </w:r>
            <w:r w:rsidRPr="00302108">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eastAsia="仿宋_GB2312"/>
                <w:kern w:val="0"/>
                <w:sz w:val="20"/>
                <w:szCs w:val="20"/>
              </w:rPr>
            </w:pPr>
            <w:r w:rsidRPr="00302108">
              <w:rPr>
                <w:rFonts w:ascii="仿宋_GB2312" w:hAnsi="仿宋_GB2312"/>
                <w:kern w:val="0"/>
                <w:sz w:val="20"/>
                <w:szCs w:val="20"/>
              </w:rPr>
              <w:t>3</w:t>
            </w:r>
            <w:r w:rsidRPr="00302108">
              <w:rPr>
                <w:rFonts w:ascii="仿宋_GB2312" w:hAnsi="仿宋_GB2312" w:hint="eastAsia"/>
                <w:kern w:val="0"/>
                <w:sz w:val="20"/>
                <w:szCs w:val="20"/>
              </w:rPr>
              <w:t>个月内</w:t>
            </w:r>
          </w:p>
        </w:tc>
      </w:tr>
      <w:tr w:rsidR="007204EA" w:rsidRPr="00302108">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eastAsia="仿宋_GB2312"/>
                <w:kern w:val="0"/>
                <w:sz w:val="20"/>
                <w:szCs w:val="20"/>
              </w:rPr>
            </w:pPr>
            <w:r w:rsidRPr="00302108">
              <w:rPr>
                <w:rFonts w:ascii="仿宋_GB2312" w:hAnsi="仿宋_GB2312" w:hint="eastAsia"/>
                <w:kern w:val="0"/>
                <w:sz w:val="20"/>
                <w:szCs w:val="20"/>
              </w:rPr>
              <w:t>卫生监督所</w:t>
            </w:r>
          </w:p>
        </w:tc>
      </w:tr>
      <w:tr w:rsidR="007204EA" w:rsidRPr="00302108">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宋体" w:hAnsi="宋体" w:cs="宋体"/>
                <w:kern w:val="0"/>
                <w:sz w:val="20"/>
                <w:szCs w:val="20"/>
              </w:rPr>
            </w:pPr>
            <w:r w:rsidRPr="00302108">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hAnsi="仿宋_GB2312"/>
                <w:kern w:val="0"/>
                <w:sz w:val="20"/>
                <w:szCs w:val="20"/>
              </w:rPr>
            </w:pPr>
            <w:r w:rsidRPr="00302108">
              <w:rPr>
                <w:rFonts w:ascii="仿宋_GB2312" w:hAnsi="仿宋_GB2312"/>
                <w:kern w:val="0"/>
                <w:sz w:val="20"/>
                <w:szCs w:val="20"/>
              </w:rPr>
              <w:t>2987137</w:t>
            </w:r>
          </w:p>
        </w:tc>
      </w:tr>
      <w:tr w:rsidR="007204EA" w:rsidRPr="00302108">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eastAsia="仿宋_GB2312"/>
                <w:kern w:val="0"/>
                <w:sz w:val="20"/>
                <w:szCs w:val="20"/>
              </w:rPr>
            </w:pPr>
            <w:r w:rsidRPr="00302108">
              <w:rPr>
                <w:rFonts w:ascii="仿宋_GB2312" w:hAnsi="仿宋_GB2312" w:hint="eastAsia"/>
                <w:kern w:val="0"/>
                <w:sz w:val="20"/>
                <w:szCs w:val="20"/>
              </w:rPr>
              <w:t>监督管理中发现；社会举报；上级卫生行政机关交办；有关部门移送。</w:t>
            </w:r>
          </w:p>
        </w:tc>
      </w:tr>
      <w:tr w:rsidR="007204EA" w:rsidRPr="00302108">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eastAsia="仿宋_GB2312"/>
                <w:kern w:val="0"/>
                <w:sz w:val="24"/>
                <w:szCs w:val="24"/>
              </w:rPr>
            </w:pPr>
            <w:r w:rsidRPr="00302108">
              <w:rPr>
                <w:rFonts w:ascii="宋体" w:hAnsi="宋体" w:cs="宋体" w:hint="eastAsia"/>
                <w:color w:val="000000"/>
                <w:kern w:val="0"/>
                <w:sz w:val="20"/>
                <w:szCs w:val="20"/>
              </w:rPr>
              <w:t>违反病原微生物实验室相关规范与操作规程的证据材料</w:t>
            </w:r>
          </w:p>
        </w:tc>
      </w:tr>
      <w:tr w:rsidR="007204EA" w:rsidRPr="00302108">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420" w:lineRule="atLeast"/>
              <w:rPr>
                <w:rFonts w:ascii="仿宋_GB2312" w:eastAsia="仿宋_GB2312"/>
                <w:kern w:val="0"/>
                <w:sz w:val="24"/>
                <w:szCs w:val="24"/>
              </w:rPr>
            </w:pPr>
            <w:r w:rsidRPr="00302108">
              <w:rPr>
                <w:rFonts w:ascii="宋体" w:hAnsi="宋体" w:cs="宋体" w:hint="eastAsia"/>
                <w:color w:val="000000"/>
                <w:kern w:val="0"/>
                <w:sz w:val="20"/>
                <w:szCs w:val="20"/>
              </w:rPr>
              <w:t>《病原微生物实验室生物安全管理条例》第六十条</w:t>
            </w:r>
            <w:r w:rsidRPr="00302108">
              <w:rPr>
                <w:rFonts w:ascii="宋体" w:hAnsi="宋体" w:cs="宋体"/>
                <w:color w:val="000000"/>
                <w:kern w:val="0"/>
                <w:sz w:val="20"/>
                <w:szCs w:val="20"/>
              </w:rPr>
              <w:t xml:space="preserve"> </w:t>
            </w:r>
            <w:r w:rsidRPr="00302108">
              <w:rPr>
                <w:rFonts w:ascii="宋体" w:hAnsi="宋体" w:cs="宋体" w:hint="eastAsia"/>
                <w:color w:val="000000"/>
                <w:kern w:val="0"/>
                <w:sz w:val="20"/>
                <w:szCs w:val="20"/>
              </w:rPr>
              <w:t>第（一）、（二）、（三）、（四）、（五）、（六）、（八）项：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sidRPr="00302108">
              <w:rPr>
                <w:color w:val="000000"/>
                <w:kern w:val="0"/>
                <w:sz w:val="20"/>
                <w:szCs w:val="20"/>
              </w:rPr>
              <w:t>(</w:t>
            </w:r>
            <w:r w:rsidRPr="00302108">
              <w:rPr>
                <w:rFonts w:ascii="宋体" w:hAnsi="宋体" w:cs="宋体" w:hint="eastAsia"/>
                <w:color w:val="000000"/>
                <w:kern w:val="0"/>
                <w:sz w:val="20"/>
              </w:rPr>
              <w:t>一</w:t>
            </w:r>
            <w:r w:rsidRPr="00302108">
              <w:rPr>
                <w:color w:val="000000"/>
                <w:kern w:val="0"/>
                <w:sz w:val="20"/>
                <w:szCs w:val="20"/>
              </w:rPr>
              <w:t>)</w:t>
            </w:r>
            <w:r w:rsidRPr="00302108">
              <w:rPr>
                <w:rFonts w:ascii="宋体" w:hAnsi="宋体" w:cs="宋体" w:hint="eastAsia"/>
                <w:color w:val="000000"/>
                <w:kern w:val="0"/>
                <w:sz w:val="20"/>
              </w:rPr>
              <w:t>未依照规定在明显位置标示国务院卫生主管部门和兽医主管部门规定的生物危险标识和生物安全实验室级别标志的；</w:t>
            </w:r>
            <w:r w:rsidRPr="00302108">
              <w:rPr>
                <w:color w:val="000000"/>
                <w:kern w:val="0"/>
                <w:sz w:val="20"/>
                <w:szCs w:val="20"/>
              </w:rPr>
              <w:t>(</w:t>
            </w:r>
            <w:r w:rsidRPr="00302108">
              <w:rPr>
                <w:rFonts w:ascii="宋体" w:hAnsi="宋体" w:cs="宋体" w:hint="eastAsia"/>
                <w:color w:val="000000"/>
                <w:kern w:val="0"/>
                <w:sz w:val="20"/>
              </w:rPr>
              <w:t>二</w:t>
            </w:r>
            <w:r w:rsidRPr="00302108">
              <w:rPr>
                <w:color w:val="000000"/>
                <w:kern w:val="0"/>
                <w:sz w:val="20"/>
                <w:szCs w:val="20"/>
              </w:rPr>
              <w:t>)</w:t>
            </w:r>
            <w:r w:rsidRPr="00302108">
              <w:rPr>
                <w:rFonts w:ascii="宋体" w:hAnsi="宋体" w:cs="宋体" w:hint="eastAsia"/>
                <w:color w:val="000000"/>
                <w:kern w:val="0"/>
                <w:sz w:val="20"/>
              </w:rPr>
              <w:t>未向原批准部门报告实验活动结果以及工作情况的；</w:t>
            </w:r>
            <w:r w:rsidRPr="00302108">
              <w:rPr>
                <w:color w:val="000000"/>
                <w:kern w:val="0"/>
                <w:sz w:val="20"/>
                <w:szCs w:val="20"/>
              </w:rPr>
              <w:t>(</w:t>
            </w:r>
            <w:r w:rsidRPr="00302108">
              <w:rPr>
                <w:rFonts w:ascii="宋体" w:hAnsi="宋体" w:cs="宋体" w:hint="eastAsia"/>
                <w:color w:val="000000"/>
                <w:kern w:val="0"/>
                <w:sz w:val="20"/>
              </w:rPr>
              <w:t>三</w:t>
            </w:r>
            <w:r w:rsidRPr="00302108">
              <w:rPr>
                <w:color w:val="000000"/>
                <w:kern w:val="0"/>
                <w:sz w:val="20"/>
                <w:szCs w:val="20"/>
              </w:rPr>
              <w:t>)</w:t>
            </w:r>
            <w:r w:rsidRPr="00302108">
              <w:rPr>
                <w:rFonts w:ascii="宋体" w:hAnsi="宋体" w:cs="宋体" w:hint="eastAsia"/>
                <w:color w:val="000000"/>
                <w:kern w:val="0"/>
                <w:sz w:val="20"/>
              </w:rPr>
              <w:t>未依照规定采集病原微生物样本，或者对所采集样本的来源、采集过程和方法等未作详细记录的；</w:t>
            </w:r>
            <w:r w:rsidRPr="00302108">
              <w:rPr>
                <w:color w:val="000000"/>
                <w:kern w:val="0"/>
                <w:sz w:val="20"/>
                <w:szCs w:val="20"/>
              </w:rPr>
              <w:t>(</w:t>
            </w:r>
            <w:r w:rsidRPr="00302108">
              <w:rPr>
                <w:rFonts w:ascii="宋体" w:hAnsi="宋体" w:cs="宋体" w:hint="eastAsia"/>
                <w:color w:val="000000"/>
                <w:kern w:val="0"/>
                <w:sz w:val="20"/>
              </w:rPr>
              <w:t>四</w:t>
            </w:r>
            <w:r w:rsidRPr="00302108">
              <w:rPr>
                <w:color w:val="000000"/>
                <w:kern w:val="0"/>
                <w:sz w:val="20"/>
                <w:szCs w:val="20"/>
              </w:rPr>
              <w:t>)</w:t>
            </w:r>
            <w:r w:rsidRPr="00302108">
              <w:rPr>
                <w:rFonts w:ascii="宋体" w:hAnsi="宋体" w:cs="宋体" w:hint="eastAsia"/>
                <w:color w:val="000000"/>
                <w:kern w:val="0"/>
                <w:sz w:val="20"/>
              </w:rPr>
              <w:t>新建、改建或者扩建一级、二级实验室未向设区的市级人民政府卫生主管部门或者兽医主管部门备案的；</w:t>
            </w:r>
            <w:r w:rsidRPr="00302108">
              <w:rPr>
                <w:color w:val="000000"/>
                <w:kern w:val="0"/>
                <w:sz w:val="20"/>
                <w:szCs w:val="20"/>
              </w:rPr>
              <w:t>(</w:t>
            </w:r>
            <w:r w:rsidRPr="00302108">
              <w:rPr>
                <w:rFonts w:ascii="宋体" w:hAnsi="宋体" w:cs="宋体" w:hint="eastAsia"/>
                <w:color w:val="000000"/>
                <w:kern w:val="0"/>
                <w:sz w:val="20"/>
              </w:rPr>
              <w:t>五</w:t>
            </w:r>
            <w:r w:rsidRPr="00302108">
              <w:rPr>
                <w:color w:val="000000"/>
                <w:kern w:val="0"/>
                <w:sz w:val="20"/>
                <w:szCs w:val="20"/>
              </w:rPr>
              <w:t>)</w:t>
            </w:r>
            <w:r w:rsidRPr="00302108">
              <w:rPr>
                <w:rFonts w:ascii="宋体" w:hAnsi="宋体" w:cs="宋体" w:hint="eastAsia"/>
                <w:color w:val="000000"/>
                <w:kern w:val="0"/>
                <w:sz w:val="20"/>
              </w:rPr>
              <w:t>未依照规定定期对工作人员进行培训，或者工作人员考核不合格允许其上岗，或者批准未采取防护措施的人员进入实验室的；</w:t>
            </w:r>
            <w:r w:rsidRPr="00302108">
              <w:rPr>
                <w:color w:val="000000"/>
                <w:kern w:val="0"/>
                <w:sz w:val="20"/>
                <w:szCs w:val="20"/>
              </w:rPr>
              <w:t>(</w:t>
            </w:r>
            <w:r w:rsidRPr="00302108">
              <w:rPr>
                <w:rFonts w:ascii="宋体" w:hAnsi="宋体" w:cs="宋体" w:hint="eastAsia"/>
                <w:color w:val="000000"/>
                <w:kern w:val="0"/>
                <w:sz w:val="20"/>
              </w:rPr>
              <w:t>六</w:t>
            </w:r>
            <w:r w:rsidRPr="00302108">
              <w:rPr>
                <w:color w:val="000000"/>
                <w:kern w:val="0"/>
                <w:sz w:val="20"/>
                <w:szCs w:val="20"/>
              </w:rPr>
              <w:t>)</w:t>
            </w:r>
            <w:r w:rsidRPr="00302108">
              <w:rPr>
                <w:rFonts w:ascii="宋体" w:hAnsi="宋体" w:cs="宋体" w:hint="eastAsia"/>
                <w:color w:val="000000"/>
                <w:kern w:val="0"/>
                <w:sz w:val="20"/>
              </w:rPr>
              <w:t>实验室工作人员未遵守实验室生物安全技术规范和操作规程的；</w:t>
            </w:r>
            <w:r w:rsidRPr="00302108">
              <w:rPr>
                <w:color w:val="000000"/>
                <w:kern w:val="0"/>
                <w:sz w:val="20"/>
                <w:szCs w:val="20"/>
              </w:rPr>
              <w:t>(</w:t>
            </w:r>
            <w:r w:rsidRPr="00302108">
              <w:rPr>
                <w:rFonts w:ascii="宋体" w:hAnsi="宋体" w:cs="宋体" w:hint="eastAsia"/>
                <w:color w:val="000000"/>
                <w:kern w:val="0"/>
                <w:sz w:val="20"/>
              </w:rPr>
              <w:t>七</w:t>
            </w:r>
            <w:r w:rsidRPr="00302108">
              <w:rPr>
                <w:color w:val="000000"/>
                <w:kern w:val="0"/>
                <w:sz w:val="20"/>
                <w:szCs w:val="20"/>
              </w:rPr>
              <w:t>)</w:t>
            </w:r>
            <w:r w:rsidRPr="00302108">
              <w:rPr>
                <w:rFonts w:ascii="宋体" w:hAnsi="宋体" w:cs="宋体" w:hint="eastAsia"/>
                <w:color w:val="000000"/>
                <w:kern w:val="0"/>
                <w:sz w:val="20"/>
              </w:rPr>
              <w:t>未依照规定建立或者保存实验档案的；</w:t>
            </w:r>
            <w:r w:rsidRPr="00302108">
              <w:rPr>
                <w:color w:val="000000"/>
                <w:kern w:val="0"/>
                <w:sz w:val="20"/>
                <w:szCs w:val="20"/>
              </w:rPr>
              <w:t>(</w:t>
            </w:r>
            <w:r w:rsidRPr="00302108">
              <w:rPr>
                <w:rFonts w:ascii="宋体" w:hAnsi="宋体" w:cs="宋体" w:hint="eastAsia"/>
                <w:color w:val="000000"/>
                <w:kern w:val="0"/>
                <w:sz w:val="20"/>
              </w:rPr>
              <w:t>八</w:t>
            </w:r>
            <w:r w:rsidRPr="00302108">
              <w:rPr>
                <w:color w:val="000000"/>
                <w:kern w:val="0"/>
                <w:sz w:val="20"/>
                <w:szCs w:val="20"/>
              </w:rPr>
              <w:t>)</w:t>
            </w:r>
            <w:r w:rsidRPr="00302108">
              <w:rPr>
                <w:rFonts w:ascii="宋体" w:hAnsi="宋体" w:cs="宋体" w:hint="eastAsia"/>
                <w:color w:val="000000"/>
                <w:kern w:val="0"/>
                <w:sz w:val="20"/>
              </w:rPr>
              <w:t>未依照规定制定实验室感染应急处置预案并备案的。</w:t>
            </w:r>
          </w:p>
        </w:tc>
      </w:tr>
      <w:tr w:rsidR="007204EA" w:rsidRPr="00302108">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7204EA" w:rsidRPr="00302108" w:rsidRDefault="007204EA">
            <w:pPr>
              <w:widowControl/>
              <w:spacing w:line="600" w:lineRule="atLeast"/>
              <w:rPr>
                <w:rFonts w:ascii="仿宋_GB2312" w:eastAsia="仿宋_GB2312"/>
                <w:kern w:val="0"/>
                <w:sz w:val="24"/>
                <w:szCs w:val="24"/>
              </w:rPr>
            </w:pPr>
            <w:r w:rsidRPr="00302108">
              <w:rPr>
                <w:rFonts w:ascii="仿宋_GB2312" w:hAnsi="仿宋_GB2312" w:hint="eastAsia"/>
                <w:kern w:val="0"/>
                <w:sz w:val="24"/>
                <w:szCs w:val="24"/>
              </w:rPr>
              <w:t>无</w:t>
            </w:r>
          </w:p>
        </w:tc>
      </w:tr>
    </w:tbl>
    <w:p w:rsidR="007204EA" w:rsidRDefault="007204EA">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7204EA" w:rsidRPr="00302108">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7204EA" w:rsidRPr="00302108" w:rsidRDefault="007204EA">
            <w:pPr>
              <w:widowControl/>
              <w:spacing w:line="600" w:lineRule="atLeast"/>
              <w:jc w:val="center"/>
              <w:rPr>
                <w:rFonts w:ascii="仿宋_GB2312" w:eastAsia="仿宋_GB2312"/>
                <w:b/>
                <w:bCs/>
                <w:kern w:val="0"/>
                <w:sz w:val="24"/>
                <w:szCs w:val="24"/>
              </w:rPr>
            </w:pPr>
            <w:bookmarkStart w:id="0" w:name="_GoBack"/>
            <w:r w:rsidRPr="00302108">
              <w:rPr>
                <w:rFonts w:ascii="仿宋_GB2312" w:hAnsi="仿宋_GB2312" w:hint="eastAsia"/>
                <w:b/>
                <w:bCs/>
                <w:kern w:val="0"/>
                <w:sz w:val="24"/>
                <w:szCs w:val="24"/>
              </w:rPr>
              <w:t>运</w:t>
            </w:r>
          </w:p>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行</w:t>
            </w:r>
          </w:p>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流</w:t>
            </w:r>
          </w:p>
          <w:p w:rsidR="007204EA" w:rsidRPr="00302108" w:rsidRDefault="007204EA">
            <w:pPr>
              <w:widowControl/>
              <w:spacing w:line="600" w:lineRule="atLeast"/>
              <w:jc w:val="center"/>
              <w:rPr>
                <w:rFonts w:ascii="仿宋_GB2312" w:eastAsia="仿宋_GB2312"/>
                <w:b/>
                <w:bCs/>
                <w:kern w:val="0"/>
                <w:sz w:val="24"/>
                <w:szCs w:val="24"/>
              </w:rPr>
            </w:pPr>
            <w:r w:rsidRPr="00302108">
              <w:rPr>
                <w:rFonts w:ascii="仿宋_GB2312" w:hAnsi="仿宋_GB2312" w:hint="eastAsia"/>
                <w:b/>
                <w:bCs/>
                <w:kern w:val="0"/>
                <w:sz w:val="24"/>
                <w:szCs w:val="24"/>
              </w:rPr>
              <w:t>程</w:t>
            </w:r>
          </w:p>
          <w:p w:rsidR="007204EA" w:rsidRPr="00302108" w:rsidRDefault="007204EA">
            <w:pPr>
              <w:widowControl/>
              <w:spacing w:line="600" w:lineRule="atLeast"/>
              <w:jc w:val="center"/>
              <w:rPr>
                <w:rFonts w:eastAsia="黑体"/>
                <w:b/>
                <w:sz w:val="32"/>
                <w:szCs w:val="32"/>
              </w:rPr>
            </w:pPr>
            <w:r w:rsidRPr="00302108">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7204EA" w:rsidRPr="00302108" w:rsidRDefault="007204EA">
            <w:pPr>
              <w:widowControl/>
              <w:jc w:val="center"/>
              <w:rPr>
                <w:rFonts w:eastAsia="黑体"/>
                <w:b/>
                <w:sz w:val="44"/>
                <w:szCs w:val="44"/>
              </w:rPr>
            </w:pPr>
            <w:r w:rsidRPr="00302108">
              <w:rPr>
                <w:rFonts w:eastAsia="黑体" w:hint="eastAsia"/>
                <w:b/>
                <w:sz w:val="44"/>
                <w:szCs w:val="44"/>
              </w:rPr>
              <w:t>违反病原微生物实验室相关规范与操作规程的行政处罚流程图</w:t>
            </w:r>
          </w:p>
          <w:p w:rsidR="007204EA" w:rsidRPr="00302108" w:rsidRDefault="007204EA">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7204EA" w:rsidRDefault="007204EA">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7204EA" w:rsidRDefault="007204EA">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7204EA" w:rsidRDefault="007204EA">
                        <w:pPr>
                          <w:jc w:val="center"/>
                        </w:pPr>
                        <w:r>
                          <w:rPr>
                            <w:rFonts w:hint="eastAsia"/>
                          </w:rPr>
                          <w:t>申请强制执行</w:t>
                        </w:r>
                      </w:p>
                      <w:p w:rsidR="007204EA" w:rsidRDefault="007204EA">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7204EA" w:rsidRDefault="007204EA">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7204EA" w:rsidRDefault="007204EA">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7204EA" w:rsidRDefault="007204EA">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7204EA" w:rsidRDefault="007204EA">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7204EA" w:rsidRDefault="007204EA">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7204EA" w:rsidRDefault="007204EA">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7204EA" w:rsidRDefault="007204EA">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7204EA" w:rsidRDefault="007204EA">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7204EA" w:rsidRDefault="007204EA">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7204EA" w:rsidRDefault="007204EA">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7204EA" w:rsidRDefault="007204EA">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7204EA" w:rsidRDefault="007204EA">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7204EA" w:rsidRDefault="007204EA">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bookmarkEnd w:id="0"/>
    </w:tbl>
    <w:p w:rsidR="007204EA" w:rsidRDefault="007204EA"/>
    <w:sectPr w:rsidR="007204EA" w:rsidSect="002B69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9FC210B"/>
    <w:rsid w:val="00182675"/>
    <w:rsid w:val="002B6922"/>
    <w:rsid w:val="00302108"/>
    <w:rsid w:val="007204EA"/>
    <w:rsid w:val="009E4AE8"/>
    <w:rsid w:val="19FC21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2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123</Words>
  <Characters>705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2016-01-04T07:58:00Z</dcterms:created>
  <dcterms:modified xsi:type="dcterms:W3CDTF">2016-11-03T07:40:00Z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