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F4" w:rsidRPr="00CD0521" w:rsidRDefault="00EC7CF4" w:rsidP="00EC7CF4">
      <w:pPr>
        <w:spacing w:line="600" w:lineRule="exact"/>
        <w:jc w:val="center"/>
        <w:rPr>
          <w:rFonts w:ascii="宋体" w:hAnsi="宋体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EC7CF4" w:rsidRPr="00CD0521" w:rsidRDefault="00EC7CF4" w:rsidP="00EC7CF4">
      <w:pPr>
        <w:spacing w:line="600" w:lineRule="exact"/>
        <w:rPr>
          <w:rFonts w:ascii="宋体" w:hAnsi="宋体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 w:rsidRPr="00CD0521">
        <w:rPr>
          <w:rFonts w:ascii="宋体" w:hAnsi="宋体" w:hint="eastAsia"/>
          <w:sz w:val="24"/>
        </w:rPr>
        <w:t>劳动监察大队</w:t>
      </w:r>
      <w:r w:rsidRPr="00CD0521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EC7CF4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对违反《工会法》有关规定的责令改正</w:t>
            </w:r>
          </w:p>
        </w:tc>
      </w:tr>
      <w:tr w:rsidR="00EC7CF4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其他行政权力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自然人</w:t>
            </w:r>
            <w:r w:rsidRPr="00CD0521">
              <w:rPr>
                <w:rFonts w:ascii="宋体" w:hAnsi="宋体" w:hint="eastAsia"/>
                <w:sz w:val="24"/>
              </w:rPr>
              <w:t>、法人其他组织</w:t>
            </w:r>
          </w:p>
        </w:tc>
      </w:tr>
      <w:tr w:rsidR="00EC7CF4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</w:t>
            </w:r>
          </w:p>
        </w:tc>
      </w:tr>
      <w:tr w:rsidR="00EC7CF4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EC7CF4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EC7CF4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用人单位违反《劳动保障监察条例》第二十九条规定的。</w:t>
            </w:r>
          </w:p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EC7CF4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</w:t>
            </w:r>
            <w:r w:rsidRPr="00CD0521">
              <w:rPr>
                <w:rFonts w:ascii="宋体" w:hAnsi="宋体"/>
                <w:color w:val="333333"/>
                <w:szCs w:val="21"/>
              </w:rPr>
              <w:lastRenderedPageBreak/>
              <w:t>当推荐代表投诉。投诉人书写投诉文书确有困难的可以口头投诉，由承办人（举报投诉窗口值班监察员）进行必要书面记录，并由投诉人确认。</w:t>
            </w:r>
          </w:p>
        </w:tc>
      </w:tr>
      <w:tr w:rsidR="00EC7CF4" w:rsidRPr="00CD0521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F4" w:rsidRPr="00CD0521" w:rsidRDefault="00EC7CF4" w:rsidP="008A2476">
            <w:pPr>
              <w:rPr>
                <w:rFonts w:ascii="宋体" w:hAnsi="宋体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《劳动保障监察条例》第二十九条：用人单位违反《中华人民共和国工会法》，有下列行为之一的，由劳动保障行政部门责令改正： </w:t>
            </w:r>
          </w:p>
          <w:p w:rsidR="00EC7CF4" w:rsidRPr="00CD0521" w:rsidRDefault="00EC7CF4" w:rsidP="008A2476">
            <w:pPr>
              <w:rPr>
                <w:rFonts w:ascii="宋体" w:hAnsi="宋体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　　（一）阻挠劳动者依法参加和组织工会，或者阻挠上级工会帮助、指导劳动者筹建工会的； </w:t>
            </w:r>
          </w:p>
          <w:p w:rsidR="00EC7CF4" w:rsidRPr="00CD0521" w:rsidRDefault="00EC7CF4" w:rsidP="008A2476">
            <w:pPr>
              <w:rPr>
                <w:rFonts w:ascii="宋体" w:hAnsi="宋体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　　（二）无正当理由调动依法履行职责的工会工作人员的工作岗位，进行打击报复的； </w:t>
            </w:r>
          </w:p>
          <w:p w:rsidR="00EC7CF4" w:rsidRPr="00CD0521" w:rsidRDefault="00EC7CF4" w:rsidP="008A2476">
            <w:pPr>
              <w:rPr>
                <w:rFonts w:ascii="宋体" w:hAnsi="宋体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　　（三）劳动者因参加工会活动而被解除劳动合同的； </w:t>
            </w:r>
          </w:p>
          <w:p w:rsidR="00EC7CF4" w:rsidRPr="00CD0521" w:rsidRDefault="00EC7CF4" w:rsidP="008A2476">
            <w:pPr>
              <w:rPr>
                <w:rFonts w:ascii="宋体" w:hAnsi="宋体" w:cs="宋体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　　（四）工会工作人员因依法履行职责被解除劳动合同的。《工会法》第五十条：违反本法第三条、第十一条规定，阻挠职工依法参加和组织工会或者阻挠上级工会帮助、指导职工筹建工会的，由劳动行政部门责令其改正；拒不改正的，由劳动行政部门提请县级以上人民政府处理；以暴力、威胁等手段阻挠造成严重后果，构成犯罪的，依法追究刑事责任。</w:t>
            </w:r>
          </w:p>
        </w:tc>
      </w:tr>
      <w:tr w:rsidR="00EC7CF4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F4" w:rsidRPr="00CD0521" w:rsidRDefault="00EC7CF4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3A747E" w:rsidRPr="00CD0521" w:rsidTr="003A74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7E" w:rsidRPr="00CD0521" w:rsidRDefault="003A747E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3A747E" w:rsidRPr="00CD0521" w:rsidRDefault="003A747E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3A747E" w:rsidRPr="00CD0521" w:rsidRDefault="003A747E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3A747E" w:rsidRPr="00CD0521" w:rsidRDefault="003A747E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3A747E" w:rsidRPr="00CD0521" w:rsidRDefault="003A747E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45"/>
            </w:tblGrid>
            <w:tr w:rsidR="003A747E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870"/>
              </w:trPr>
              <w:tc>
                <w:tcPr>
                  <w:tcW w:w="2145" w:type="dxa"/>
                </w:tcPr>
                <w:p w:rsidR="003A747E" w:rsidRPr="00CD0521" w:rsidRDefault="003A747E" w:rsidP="008A2476">
                  <w:pPr>
                    <w:spacing w:line="6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CD0521">
                    <w:rPr>
                      <w:rFonts w:ascii="宋体" w:hAnsi="宋体" w:hint="eastAsia"/>
                      <w:sz w:val="18"/>
                      <w:szCs w:val="18"/>
                    </w:rPr>
                    <w:t>受理登记（5个工作日）</w:t>
                  </w:r>
                </w:p>
              </w:tc>
            </w:tr>
          </w:tbl>
          <w:p w:rsidR="003A747E" w:rsidRPr="003A747E" w:rsidRDefault="003A747E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3A747E">
              <w:rPr>
                <w:rFonts w:ascii="宋体" w:hAnsi="宋体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267.6pt;margin-top:502.65pt;width:.75pt;height:36.75pt;z-index:251658240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sz w:val="24"/>
              </w:rPr>
              <w:pict>
                <v:shape id="_x0000_s2051" type="#_x0000_t32" style="position:absolute;left:0;text-align:left;margin-left:181.35pt;margin-top:91.65pt;width:.05pt;height:22.5pt;z-index:251658240;mso-position-horizontal-relative:text;mso-position-vertical-relative:text" o:connectortype="straight">
                  <v:stroke endarrow="block"/>
                </v:shape>
              </w:pict>
            </w:r>
            <w:r w:rsidRPr="003A747E">
              <w:rPr>
                <w:rFonts w:ascii="宋体" w:hAnsi="宋体"/>
                <w:sz w:val="24"/>
              </w:rPr>
              <w:pict>
                <v:shape id="_x0000_s2050" type="#_x0000_t32" style="position:absolute;left:0;text-align:left;margin-left:181.35pt;margin-top:1.65pt;width:.05pt;height:28.5pt;z-index:251658240;mso-position-horizontal-relative:text;mso-position-vertical-relative:text" o:connectortype="straight">
                  <v:stroke endarrow="block"/>
                </v:shape>
              </w:pict>
            </w:r>
            <w:r w:rsidRPr="003A747E">
              <w:rPr>
                <w:rFonts w:ascii="宋体" w:hAnsi="宋体"/>
                <w:sz w:val="24"/>
              </w:rPr>
              <w:pict>
                <v:shape id="_x0000_s2054" type="#_x0000_t32" style="position:absolute;left:0;text-align:left;margin-left:266.1pt;margin-top:264.15pt;width:0;height:47.25pt;z-index:251658240;mso-position-horizontal-relative:text;mso-position-vertical-relative:text" o:connectortype="straight">
                  <v:stroke endarrow="block"/>
                </v:shape>
              </w:pict>
            </w:r>
            <w:r w:rsidRPr="003A747E">
              <w:rPr>
                <w:rFonts w:ascii="宋体" w:hAnsi="宋体"/>
                <w:sz w:val="24"/>
              </w:rPr>
              <w:pict>
                <v:shape id="_x0000_s2053" type="#_x0000_t32" style="position:absolute;left:0;text-align:left;margin-left:260.85pt;margin-top:177.15pt;width:0;height:20.25pt;z-index:251658240;mso-position-horizontal-relative:text;mso-position-vertical-relative:text" o:connectortype="straight">
                  <v:stroke endarrow="block"/>
                </v:shape>
              </w:pict>
            </w:r>
            <w:r w:rsidRPr="003A747E">
              <w:rPr>
                <w:rFonts w:ascii="宋体" w:hAnsi="宋体"/>
                <w:sz w:val="24"/>
              </w:rPr>
              <w:pict>
                <v:shape id="_x0000_s2052" type="#_x0000_t32" style="position:absolute;left:0;text-align:left;margin-left:185.1pt;margin-top:159.9pt;width:.75pt;height:17.25pt;z-index:251658240;mso-position-horizontal-relative:text;mso-position-vertical-relative:text" o:connectortype="straight"/>
              </w:pict>
            </w:r>
          </w:p>
          <w:tbl>
            <w:tblPr>
              <w:tblpPr w:leftFromText="180" w:rightFromText="180" w:vertAnchor="text" w:horzAnchor="page" w:tblpX="268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45"/>
            </w:tblGrid>
            <w:tr w:rsidR="003A747E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2145" w:type="dxa"/>
                </w:tcPr>
                <w:p w:rsidR="003A747E" w:rsidRPr="00CD0521" w:rsidRDefault="003A747E" w:rsidP="008A2476">
                  <w:pPr>
                    <w:spacing w:line="6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CD0521">
                    <w:rPr>
                      <w:rFonts w:ascii="宋体" w:hAnsi="宋体" w:hint="eastAsia"/>
                      <w:sz w:val="18"/>
                      <w:szCs w:val="18"/>
                    </w:rPr>
                    <w:t>立案（符合立案条件的，自受理之日起立案）</w:t>
                  </w:r>
                </w:p>
              </w:tc>
            </w:tr>
          </w:tbl>
          <w:tbl>
            <w:tblPr>
              <w:tblpPr w:leftFromText="180" w:rightFromText="180" w:vertAnchor="text" w:horzAnchor="page" w:tblpX="2671" w:tblpY="16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21"/>
            </w:tblGrid>
            <w:tr w:rsidR="003A747E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915"/>
              </w:trPr>
              <w:tc>
                <w:tcPr>
                  <w:tcW w:w="0" w:type="auto"/>
                </w:tcPr>
                <w:p w:rsidR="003A747E" w:rsidRPr="00CD0521" w:rsidRDefault="003A747E" w:rsidP="008A2476">
                  <w:pPr>
                    <w:spacing w:line="6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CD0521">
                    <w:rPr>
                      <w:rFonts w:ascii="宋体" w:hAnsi="宋体" w:hint="eastAsia"/>
                      <w:sz w:val="18"/>
                      <w:szCs w:val="18"/>
                    </w:rPr>
                    <w:t>调查取证（60个工作日内）</w:t>
                  </w:r>
                </w:p>
              </w:tc>
            </w:tr>
          </w:tbl>
          <w:tbl>
            <w:tblPr>
              <w:tblpPr w:leftFromText="180" w:rightFromText="180" w:vertAnchor="text" w:horzAnchor="page" w:tblpX="436" w:tblpY="33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90"/>
            </w:tblGrid>
            <w:tr w:rsidR="003A747E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2790" w:type="dxa"/>
                </w:tcPr>
                <w:p w:rsidR="003A747E" w:rsidRPr="00CD0521" w:rsidRDefault="003A747E" w:rsidP="008A2476">
                  <w:pPr>
                    <w:spacing w:line="6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CD0521">
                    <w:rPr>
                      <w:rFonts w:ascii="宋体" w:hAnsi="宋体" w:hint="eastAsia"/>
                      <w:sz w:val="18"/>
                      <w:szCs w:val="18"/>
                    </w:rPr>
                    <w:t>当事人在接到听证通知书三日内要求听证的；人社局认为有必要听证的，应该在7日内举行听证</w:t>
                  </w:r>
                </w:p>
              </w:tc>
            </w:tr>
          </w:tbl>
          <w:tbl>
            <w:tblPr>
              <w:tblpPr w:leftFromText="180" w:rightFromText="180" w:vertAnchor="text" w:horzAnchor="page" w:tblpX="3991" w:tblpY="33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80"/>
            </w:tblGrid>
            <w:tr w:rsidR="003A747E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305"/>
              </w:trPr>
              <w:tc>
                <w:tcPr>
                  <w:tcW w:w="2880" w:type="dxa"/>
                </w:tcPr>
                <w:p w:rsidR="003A747E" w:rsidRPr="00CD0521" w:rsidRDefault="003A747E" w:rsidP="008A2476">
                  <w:pPr>
                    <w:spacing w:line="6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CD0521">
                    <w:rPr>
                      <w:rFonts w:ascii="宋体" w:hAnsi="宋体" w:hint="eastAsia"/>
                      <w:sz w:val="18"/>
                      <w:szCs w:val="18"/>
                    </w:rPr>
                    <w:t>案件处理（处罚）（15个工作日）</w:t>
                  </w:r>
                </w:p>
              </w:tc>
            </w:tr>
          </w:tbl>
          <w:tbl>
            <w:tblPr>
              <w:tblpPr w:leftFromText="180" w:rightFromText="180" w:vertAnchor="text" w:horzAnchor="page" w:tblpX="4036" w:tblpY="56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85"/>
            </w:tblGrid>
            <w:tr w:rsidR="003A747E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5"/>
              </w:trPr>
              <w:tc>
                <w:tcPr>
                  <w:tcW w:w="2685" w:type="dxa"/>
                </w:tcPr>
                <w:p w:rsidR="003A747E" w:rsidRPr="00CD0521" w:rsidRDefault="003A747E" w:rsidP="008A2476">
                  <w:pPr>
                    <w:spacing w:line="6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CD0521">
                    <w:rPr>
                      <w:rFonts w:ascii="宋体" w:hAnsi="宋体"/>
                      <w:noProof/>
                      <w:sz w:val="18"/>
                      <w:szCs w:val="18"/>
                    </w:rPr>
                    <w:pict>
                      <v:shape id="_x0000_s2055" type="#_x0000_t32" style="position:absolute;left:0;text-align:left;margin-left:63.85pt;margin-top:49.1pt;width:0;height:45pt;z-index:251658240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18"/>
                      <w:szCs w:val="18"/>
                    </w:rPr>
                    <w:t>送达（7日）</w:t>
                  </w:r>
                </w:p>
              </w:tc>
            </w:tr>
          </w:tbl>
          <w:tbl>
            <w:tblPr>
              <w:tblpPr w:leftFromText="180" w:rightFromText="180" w:vertAnchor="text" w:horzAnchor="page" w:tblpX="4111" w:tblpY="75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90"/>
            </w:tblGrid>
            <w:tr w:rsidR="003A747E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15"/>
              </w:trPr>
              <w:tc>
                <w:tcPr>
                  <w:tcW w:w="2490" w:type="dxa"/>
                </w:tcPr>
                <w:p w:rsidR="003A747E" w:rsidRPr="00CD0521" w:rsidRDefault="003A747E" w:rsidP="008A2476">
                  <w:pPr>
                    <w:spacing w:line="6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CD0521">
                    <w:rPr>
                      <w:rFonts w:ascii="宋体" w:hAnsi="宋体" w:hint="eastAsia"/>
                      <w:sz w:val="18"/>
                      <w:szCs w:val="18"/>
                    </w:rPr>
                    <w:t>执行（当事人15天内，未执行的，自起诉期限届满之日起180内向法院申请强制执行）</w:t>
                  </w:r>
                </w:p>
              </w:tc>
            </w:tr>
          </w:tbl>
          <w:tbl>
            <w:tblPr>
              <w:tblpPr w:leftFromText="180" w:rightFromText="180" w:vertAnchor="text" w:horzAnchor="page" w:tblpX="4156" w:tblpY="10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90"/>
            </w:tblGrid>
            <w:tr w:rsidR="003A747E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20"/>
              </w:trPr>
              <w:tc>
                <w:tcPr>
                  <w:tcW w:w="2490" w:type="dxa"/>
                </w:tcPr>
                <w:p w:rsidR="003A747E" w:rsidRPr="00CD0521" w:rsidRDefault="003A747E" w:rsidP="008A2476">
                  <w:pPr>
                    <w:spacing w:line="6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CD0521">
                    <w:rPr>
                      <w:rFonts w:ascii="宋体" w:hAnsi="宋体" w:hint="eastAsia"/>
                      <w:sz w:val="18"/>
                      <w:szCs w:val="18"/>
                    </w:rPr>
                    <w:t>结案归档（案件办结后1个月内）</w:t>
                  </w:r>
                </w:p>
              </w:tc>
            </w:tr>
          </w:tbl>
          <w:p w:rsidR="003A747E" w:rsidRPr="00CD0521" w:rsidRDefault="003A747E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sz w:val="24"/>
              </w:rPr>
              <w:pict>
                <v:shape id="_x0000_s2058" type="#_x0000_t32" style="position:absolute;left:0;text-align:left;margin-left:86.85pt;margin-top:147.15pt;width:0;height:20.25pt;z-index:251658240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sz w:val="24"/>
              </w:rPr>
              <w:pict>
                <v:shape id="_x0000_s2057" type="#_x0000_t32" style="position:absolute;left:0;text-align:left;margin-left:86.85pt;margin-top:147.15pt;width:174pt;height:0;z-index:251658240;mso-position-horizontal-relative:text;mso-position-vertical-relative:text" o:connectortype="straight"/>
              </w:pict>
            </w:r>
          </w:p>
        </w:tc>
      </w:tr>
    </w:tbl>
    <w:p w:rsidR="00C8556A" w:rsidRPr="003A747E" w:rsidRDefault="00C8556A"/>
    <w:sectPr w:rsidR="00C8556A" w:rsidRPr="003A747E" w:rsidSect="00053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1E" w:rsidRDefault="000B221E" w:rsidP="00EC7CF4">
      <w:r>
        <w:separator/>
      </w:r>
    </w:p>
  </w:endnote>
  <w:endnote w:type="continuationSeparator" w:id="1">
    <w:p w:rsidR="000B221E" w:rsidRDefault="000B221E" w:rsidP="00EC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1E" w:rsidRDefault="000B221E" w:rsidP="00EC7CF4">
      <w:r>
        <w:separator/>
      </w:r>
    </w:p>
  </w:footnote>
  <w:footnote w:type="continuationSeparator" w:id="1">
    <w:p w:rsidR="000B221E" w:rsidRDefault="000B221E" w:rsidP="00EC7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CF4"/>
    <w:rsid w:val="0005382C"/>
    <w:rsid w:val="000B221E"/>
    <w:rsid w:val="003A747E"/>
    <w:rsid w:val="00C8556A"/>
    <w:rsid w:val="00EC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2016-01-22T09:10:00Z</dcterms:created>
  <dcterms:modified xsi:type="dcterms:W3CDTF">2016-01-22T09:11:00Z</dcterms:modified>
</cp:coreProperties>
</file>